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5D405" w14:textId="2D831278" w:rsidR="00EB30A8" w:rsidRDefault="00A23C08" w:rsidP="00FB7C11">
      <w:pPr>
        <w:pStyle w:val="Heading1"/>
        <w:bidi/>
        <w:spacing w:before="5600"/>
        <w:jc w:val="center"/>
        <w:rPr>
          <w:rFonts w:cs="B Titr"/>
          <w:sz w:val="40"/>
          <w:szCs w:val="40"/>
        </w:rPr>
      </w:pPr>
      <w:r>
        <w:rPr>
          <w:rFonts w:cs="B Titr"/>
          <w:sz w:val="40"/>
          <w:szCs w:val="40"/>
        </w:rPr>
        <w:t>فصل سوم: روش‌شناسی پژوهش</w:t>
      </w:r>
    </w:p>
    <w:p w14:paraId="18686009" w14:textId="77777777" w:rsidR="00FB7C11" w:rsidRDefault="00FB7C11" w:rsidP="00FB7C11">
      <w:pPr>
        <w:pStyle w:val="Heading1"/>
        <w:bidi/>
        <w:spacing w:before="5600"/>
        <w:jc w:val="center"/>
        <w:rPr>
          <w:rFonts w:cs="B Titr"/>
          <w:sz w:val="40"/>
          <w:szCs w:val="40"/>
        </w:rPr>
      </w:pPr>
    </w:p>
    <w:p w14:paraId="1F739138" w14:textId="77777777" w:rsidR="00EB30A8" w:rsidRDefault="00EB30A8">
      <w:pPr>
        <w:bidi/>
        <w:jc w:val="lowKashida"/>
      </w:pPr>
    </w:p>
    <w:p w14:paraId="2F96DD2C" w14:textId="77777777" w:rsidR="00EB30A8" w:rsidRDefault="00A23C08">
      <w:pPr>
        <w:pStyle w:val="Heading2"/>
        <w:keepNext/>
        <w:bidi/>
        <w:spacing w:before="240" w:after="80"/>
        <w:jc w:val="lowKashida"/>
        <w:rPr>
          <w:sz w:val="32"/>
          <w:szCs w:val="32"/>
        </w:rPr>
      </w:pPr>
      <w:r>
        <w:rPr>
          <w:sz w:val="32"/>
          <w:szCs w:val="32"/>
        </w:rPr>
        <w:t>۳-۱ مقدمه</w:t>
      </w:r>
    </w:p>
    <w:p w14:paraId="49AFB3EE" w14:textId="77777777" w:rsidR="00EB30A8" w:rsidRPr="00FB7C11" w:rsidRDefault="00A23C08" w:rsidP="00FB7C11">
      <w:pPr>
        <w:bidi/>
        <w:jc w:val="both"/>
      </w:pPr>
      <w:r w:rsidRPr="00FB7C11">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14:paraId="74968E38" w14:textId="5F40BD26" w:rsidR="00EB30A8" w:rsidRPr="00FB7C11" w:rsidRDefault="00A23C08" w:rsidP="00FB7C11">
      <w:pPr>
        <w:bidi/>
        <w:jc w:val="both"/>
      </w:pPr>
      <w:r w:rsidRPr="00FB7C11">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sidRPr="00FB7C11">
        <w:rPr>
          <w:rFonts w:hint="cs"/>
          <w:rtl/>
        </w:rPr>
        <w:t>که</w:t>
      </w:r>
      <w:r w:rsidRPr="00FB7C11">
        <w:rPr>
          <w:rtl/>
        </w:rPr>
        <w:t xml:space="preserve"> </w:t>
      </w:r>
      <w:r w:rsidRPr="00FB7C11">
        <w:rPr>
          <w:rFonts w:hint="cs"/>
          <w:rtl/>
        </w:rPr>
        <w:t>روش</w:t>
      </w:r>
      <w:r w:rsidRPr="00FB7C11">
        <w:rPr>
          <w:rtl/>
        </w:rPr>
        <w:t xml:space="preserve"> </w:t>
      </w:r>
      <w:r w:rsidRPr="00FB7C11">
        <w:rPr>
          <w:rFonts w:hint="cs"/>
          <w:rtl/>
        </w:rPr>
        <w:t>باید</w:t>
      </w:r>
      <w:r w:rsidRPr="00FB7C11">
        <w:rPr>
          <w:rtl/>
        </w:rPr>
        <w:t xml:space="preserve"> </w:t>
      </w:r>
      <w:r w:rsidRPr="00FB7C11">
        <w:rPr>
          <w:rFonts w:hint="cs"/>
          <w:rtl/>
        </w:rPr>
        <w:t>پرسش</w:t>
      </w:r>
      <w:r w:rsidRPr="00FB7C11">
        <w:rPr>
          <w:rtl/>
        </w:rPr>
        <w:t xml:space="preserve"> </w:t>
      </w:r>
      <w:r w:rsidRPr="00FB7C11">
        <w:rPr>
          <w:rFonts w:hint="cs"/>
          <w:rtl/>
        </w:rPr>
        <w:t>را</w:t>
      </w:r>
      <w:r w:rsidRPr="00FB7C11">
        <w:rPr>
          <w:rtl/>
        </w:rPr>
        <w:t xml:space="preserve"> </w:t>
      </w:r>
      <w:r w:rsidRPr="00FB7C11">
        <w:rPr>
          <w:rFonts w:hint="cs"/>
          <w:rtl/>
        </w:rPr>
        <w:t>دنبال</w:t>
      </w:r>
      <w:r w:rsidRPr="00FB7C11">
        <w:rPr>
          <w:rtl/>
        </w:rPr>
        <w:t xml:space="preserve"> </w:t>
      </w:r>
      <w:r w:rsidRPr="00FB7C11">
        <w:rPr>
          <w:rFonts w:hint="cs"/>
          <w:rtl/>
        </w:rPr>
        <w:t>کند،</w:t>
      </w:r>
      <w:r w:rsidRPr="00FB7C11">
        <w:rPr>
          <w:rtl/>
        </w:rPr>
        <w:t xml:space="preserve"> </w:t>
      </w:r>
      <w:r w:rsidRPr="00FB7C11">
        <w:rPr>
          <w:rFonts w:hint="cs"/>
          <w:rtl/>
        </w:rPr>
        <w:t>نه</w:t>
      </w:r>
      <w:r w:rsidRPr="00FB7C11">
        <w:rPr>
          <w:rtl/>
        </w:rPr>
        <w:t xml:space="preserve"> </w:t>
      </w:r>
      <w:r w:rsidRPr="00FB7C11">
        <w:rPr>
          <w:rFonts w:hint="cs"/>
          <w:rtl/>
        </w:rPr>
        <w:t>پرسش</w:t>
      </w:r>
      <w:r w:rsidRPr="00FB7C11">
        <w:rPr>
          <w:rtl/>
        </w:rPr>
        <w:t xml:space="preserve"> </w:t>
      </w:r>
      <w:r w:rsidRPr="00FB7C11">
        <w:rPr>
          <w:rFonts w:hint="cs"/>
          <w:rtl/>
        </w:rPr>
        <w:t>روش</w:t>
      </w:r>
      <w:r w:rsidRPr="00FB7C11">
        <w:rPr>
          <w:rtl/>
        </w:rPr>
        <w:t xml:space="preserve"> </w:t>
      </w:r>
      <w:r w:rsidRPr="00FB7C11">
        <w:rPr>
          <w:rFonts w:hint="cs"/>
          <w:rtl/>
        </w:rPr>
        <w:t>را</w:t>
      </w:r>
      <w:r w:rsidRPr="00FB7C11">
        <w:rPr>
          <w:rtl/>
        </w:rPr>
        <w:t xml:space="preserve"> </w:t>
      </w:r>
      <w:r w:rsidRPr="00FB7C11">
        <w:rPr>
          <w:rFonts w:hint="cs"/>
          <w:rtl/>
        </w:rPr>
        <w:t>در</w:t>
      </w:r>
      <w:r w:rsidRPr="00FB7C11">
        <w:rPr>
          <w:rtl/>
        </w:rPr>
        <w:t xml:space="preserve"> </w:t>
      </w:r>
      <w:r w:rsidRPr="00FB7C11">
        <w:rPr>
          <w:rFonts w:hint="cs"/>
          <w:rtl/>
        </w:rPr>
        <w:t>تمام</w:t>
      </w:r>
      <w:r w:rsidRPr="00FB7C11">
        <w:rPr>
          <w:rtl/>
        </w:rPr>
        <w:t xml:space="preserve"> </w:t>
      </w:r>
      <w:r w:rsidRPr="00FB7C11">
        <w:rPr>
          <w:rFonts w:hint="cs"/>
          <w:rtl/>
        </w:rPr>
        <w:t>تصمیم‌های</w:t>
      </w:r>
      <w:r w:rsidRPr="00FB7C11">
        <w:rPr>
          <w:rtl/>
        </w:rPr>
        <w:t xml:space="preserve"> </w:t>
      </w:r>
      <w:r w:rsidRPr="00FB7C11">
        <w:rPr>
          <w:rFonts w:hint="cs"/>
          <w:rtl/>
        </w:rPr>
        <w:t>روشی</w:t>
      </w:r>
      <w:r w:rsidRPr="00FB7C11">
        <w:rPr>
          <w:rtl/>
        </w:rPr>
        <w:t xml:space="preserve"> </w:t>
      </w:r>
      <w:r w:rsidRPr="00FB7C11">
        <w:rPr>
          <w:rFonts w:hint="cs"/>
          <w:rtl/>
        </w:rPr>
        <w:t>این</w:t>
      </w:r>
      <w:r w:rsidRPr="00FB7C11">
        <w:rPr>
          <w:rtl/>
        </w:rPr>
        <w:t xml:space="preserve"> </w:t>
      </w:r>
      <w:r w:rsidRPr="00FB7C11">
        <w:rPr>
          <w:rFonts w:hint="cs"/>
          <w:rtl/>
        </w:rPr>
        <w:t>فصل</w:t>
      </w:r>
      <w:r w:rsidRPr="00FB7C11">
        <w:rPr>
          <w:rtl/>
        </w:rPr>
        <w:t xml:space="preserve"> </w:t>
      </w:r>
      <w:r w:rsidRPr="00FB7C11">
        <w:rPr>
          <w:rFonts w:hint="cs"/>
          <w:rtl/>
        </w:rPr>
        <w:t>حاضر</w:t>
      </w:r>
      <w:r w:rsidRPr="00FB7C11">
        <w:rPr>
          <w:rtl/>
        </w:rPr>
        <w:t xml:space="preserve"> </w:t>
      </w:r>
      <w:r w:rsidRPr="00FB7C11">
        <w:rPr>
          <w:rFonts w:hint="cs"/>
          <w:rtl/>
        </w:rPr>
        <w:t>بوده</w:t>
      </w:r>
      <w:r w:rsidRPr="00FB7C11">
        <w:rPr>
          <w:rtl/>
        </w:rPr>
        <w:t xml:space="preserve"> </w:t>
      </w:r>
      <w:r w:rsidRPr="00FB7C11">
        <w:rPr>
          <w:rFonts w:hint="cs"/>
          <w:rtl/>
        </w:rPr>
        <w:t>است</w:t>
      </w:r>
      <w:r w:rsidRPr="00FB7C11">
        <w:rPr>
          <w:rtl/>
        </w:rPr>
        <w:t>.</w:t>
      </w:r>
    </w:p>
    <w:p w14:paraId="4EDAF59A" w14:textId="77777777" w:rsidR="00EB30A8" w:rsidRDefault="00A23C08">
      <w:pPr>
        <w:pStyle w:val="Heading2"/>
        <w:keepNext/>
        <w:bidi/>
        <w:spacing w:before="240" w:after="80"/>
        <w:jc w:val="lowKashida"/>
        <w:rPr>
          <w:sz w:val="32"/>
          <w:szCs w:val="32"/>
        </w:rPr>
      </w:pPr>
      <w:r>
        <w:rPr>
          <w:sz w:val="32"/>
          <w:szCs w:val="32"/>
        </w:rPr>
        <w:t>۳-۲ روش تحقیق</w:t>
      </w:r>
    </w:p>
    <w:p>
      <w:pPr>
        <w:bidi/>
        <w:jc w:val="both"/>
      </w:pPr>
      <w:r>
        <w:rPr>
          <w:rtl/>
        </w:rPr>
        <w:t xml:space="preserve">پژوهش حاضر از نظر هدف کاربردی است، زیرا در پی حل مسئله‌ای مشخص در یک صنعت مشخص است.</w:t>
      </w:r>
      <w:r>
        <w:rPr>
          <w:rtl/>
        </w:rPr>
        <w:t xml:space="preserve"> از نظر ماهیت اکتشافی است، چون فهرست تثبیت‌شده‌ای از چالش‌های فروش بنگاه‌های تک‌محصولی در ادبیات داخلی وجود ندارد.</w:t>
      </w:r>
      <w:r>
        <w:rPr>
          <w:rtl/>
        </w:rPr>
        <w:t xml:space="preserve"> از نظر رویکرد نیز آمیخته است: در گام نخست، داده‌ها به‌صورت کیفی و از طریق مصاحبه‌ی باز با اعضای پانل گردآوری می‌شود؛ و در گام‌های بعدی، همان داده از طریق دورهای رتبه‌بندی و بازخورد گروهی، به شکلی کمّی پردازش و به اجماع می‌رسد.</w:t>
      </w:r>
      <w:r>
        <w:rPr>
          <w:rtl/>
        </w:rPr>
        <w:t xml:space="preserve"> این طبقه‌بندی سه‌گانه با تمایزهایی که ساندرز و همکاران (۲۰۲۳)</w:t>
      </w:r>
      <w:r>
        <w:rPr>
          <w:rStyle w:val="FootnoteReference"/>
        </w:rPr>
        <w:footnoteReference w:id="1"/>
      </w:r>
      <w:r>
        <w:rPr>
          <w:rtl/>
        </w:rPr>
        <w:t xml:space="preserve"> میان پژوهش کاربردی و بنیادی، هدف اکتشافی پژوهش و انتخاب روش آمیخته مطرح می‌کنند همخوانی دارد.</w:t>
      </w:r>
    </w:p>
    <w:p w14:paraId="213DF8D9" w14:textId="496B6BD7" w:rsidR="00EB30A8" w:rsidRPr="00FB7C11" w:rsidRDefault="00A23C08" w:rsidP="00FB7C11">
      <w:pPr>
        <w:bidi/>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2"/>
      </w:r>
      <w:r w:rsidRPr="00FB7C11">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hint="cs"/>
          <w:rtl/>
        </w:rPr>
        <w:t xml:space="preserve"> بایدربک و همکاران (۲۰۲۱)</w:t>
      </w:r>
      <w:r>
        <w:rPr>
          <w:rStyle w:val="FootnoteReference"/>
        </w:rPr>
        <w:footnoteReference w:id="3"/>
      </w:r>
      <w:r>
        <w:rPr>
          <w:rFonts w:hint="c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sidRPr="00FB7C11">
        <w:rPr>
          <w:rtl/>
        </w:rPr>
        <w:t>.</w:t>
      </w:r>
    </w:p>
    <w:p w14:paraId="38421A1F" w14:textId="77777777" w:rsidR="00EB30A8" w:rsidRDefault="00A23C08">
      <w:pPr>
        <w:pStyle w:val="Heading2"/>
        <w:keepNext/>
        <w:bidi/>
        <w:spacing w:before="240" w:after="80"/>
        <w:jc w:val="lowKashida"/>
        <w:rPr>
          <w:sz w:val="32"/>
          <w:szCs w:val="32"/>
        </w:rPr>
      </w:pPr>
      <w:r>
        <w:rPr>
          <w:sz w:val="32"/>
          <w:szCs w:val="32"/>
        </w:rPr>
        <w:t>۳-۳ جامعه پژوهش</w:t>
      </w:r>
    </w:p>
    <w:p w14:paraId="5AF0E4BC" w14:textId="77777777" w:rsidR="00EB30A8" w:rsidRDefault="00A23C08">
      <w:pPr>
        <w:bidi/>
        <w:spacing w:after="80"/>
        <w:jc w:val="lowKashida"/>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14:paraId="6683F974" w14:textId="77777777" w:rsidR="00EB30A8" w:rsidRDefault="00A23C08">
      <w:pPr>
        <w:pStyle w:val="Heading2"/>
        <w:keepNext/>
        <w:bidi/>
        <w:spacing w:before="240" w:after="80"/>
        <w:jc w:val="lowKashida"/>
        <w:rPr>
          <w:sz w:val="32"/>
          <w:szCs w:val="32"/>
        </w:rPr>
      </w:pPr>
      <w:r>
        <w:rPr>
          <w:sz w:val="32"/>
          <w:szCs w:val="32"/>
        </w:rPr>
        <w:t>۳-۴ روش نمونه‌گیری و تعیین حجم نمونه</w:t>
      </w:r>
    </w:p>
    <w:p w14:paraId="7005CC53" w14:textId="77777777" w:rsidR="00EB30A8" w:rsidRDefault="00A23C08">
      <w:pPr>
        <w:pStyle w:val="Heading3"/>
        <w:keepNext/>
        <w:bidi/>
        <w:spacing w:before="180" w:after="80"/>
        <w:jc w:val="lowKashida"/>
      </w:pPr>
      <w:r>
        <w:t>۳-۴-۱ راهبرد نمونه‌گیری</w:t>
      </w:r>
    </w:p>
    <w:p w14:paraId="297C8FA7" w14:textId="77777777" w:rsidR="00EB30A8" w:rsidRDefault="00A23C08">
      <w:pPr>
        <w:bidi/>
        <w:spacing w:after="80"/>
        <w:jc w:val="lowKashida"/>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14:paraId="2A9FCB1E" w14:textId="77777777" w:rsidR="00EB30A8" w:rsidRDefault="00A23C08">
      <w:pPr>
        <w:pStyle w:val="Heading3"/>
        <w:keepNext/>
        <w:bidi/>
        <w:spacing w:before="180" w:after="80"/>
        <w:jc w:val="lowKashida"/>
      </w:pPr>
      <w:r>
        <w:t>۳-۴-۲ اندازه پانل دلفی</w:t>
      </w:r>
    </w:p>
    <w:p w14:paraId="4F400262" w14:textId="1C49B21C" w:rsidR="00EB30A8" w:rsidRPr="00FB7C11" w:rsidRDefault="00A23C08" w:rsidP="00FB7C11">
      <w:pPr>
        <w:bidi/>
        <w:jc w:val="both"/>
      </w:pPr>
      <w:r w:rsidRPr="00FB7C11">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hint="cs"/>
          <w:rtl/>
        </w:rPr>
        <w:t xml:space="preserve">شیفانو و نیدربرگر (۲۰۲۵)</w:t>
      </w:r>
      <w:r>
        <w:rPr>
          <w:rStyle w:val="FootnoteReference"/>
        </w:rPr>
        <w:footnoteReference w:id="4"/>
      </w:r>
      <w:r>
        <w:rPr>
          <w:rFonts w:hint="c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14:paraId="2CAEDC92" w14:textId="66CF3BC4" w:rsidR="00AC3E3F" w:rsidRPr="0053265E" w:rsidRDefault="0053265E" w:rsidP="0053265E">
      <w:pPr>
        <w:bidi/>
        <w:jc w:val="both"/>
      </w:pPr>
      <w:r w:rsidRPr="0053265E">
        <w:rPr>
          <w:rtl/>
        </w:rPr>
        <w:t>پانل پژوهش حاضر هفت نفر از خبرگان را در بر می‌گیرد. شیفانو و نیدربرگر (۲۰۲۵)</w:t>
      </w:r>
      <w:r w:rsidRPr="0053265E">
        <w:rPr>
          <w:rStyle w:val="FootnoteReference"/>
        </w:rPr>
        <w:footnoteReference w:id="5"/>
      </w:r>
      <w:r w:rsidRPr="0053265E">
        <w:rPr>
          <w:rtl/>
        </w:rPr>
        <w:t xml:space="preserve"> در مرور دامنه‌ای خود بر مطالعات دلفی گزارش می‌دهند که اندازه پانل در این پژوهش‌ها از حداقل سه نفر تا بیش از هفتصد نفر گزارش شده</w:t>
      </w:r>
      <w:r w:rsidRPr="0053265E">
        <w:rPr>
          <w:rtl/>
        </w:rPr>
        <w:t xml:space="preserve"> است؛ بر این پایه، اندازه پانل حاضر در محدوده‌ای است که در ادبیات این روش مستند شده، هرچند در نیمه </w:t>
      </w:r>
      <w:r w:rsidRPr="0053265E">
        <w:rPr>
          <w:rtl/>
        </w:rPr>
        <w:t>پایین‌تر این دامنه قرار دارد</w:t>
      </w:r>
      <w:r w:rsidRPr="0053265E">
        <w:rPr>
          <w:rtl/>
        </w:rPr>
        <w:t xml:space="preserve">. ترکیب پانل از زیرگروه‌های متفاوتی </w:t>
      </w:r>
      <w:r w:rsidRPr="0053265E">
        <w:rPr>
          <w:rFonts w:hint="cs"/>
          <w:rtl/>
        </w:rPr>
        <w:t>مدیران</w:t>
      </w:r>
      <w:r w:rsidRPr="0053265E">
        <w:rPr>
          <w:rtl/>
        </w:rPr>
        <w:t xml:space="preserve"> </w:t>
      </w:r>
      <w:r w:rsidRPr="0053265E">
        <w:rPr>
          <w:rFonts w:hint="cs"/>
          <w:rtl/>
        </w:rPr>
        <w:t>و</w:t>
      </w:r>
      <w:r w:rsidRPr="0053265E">
        <w:rPr>
          <w:rtl/>
        </w:rPr>
        <w:t xml:space="preserve"> </w:t>
      </w:r>
      <w:r w:rsidRPr="0053265E">
        <w:rPr>
          <w:rFonts w:hint="cs"/>
          <w:rtl/>
        </w:rPr>
        <w:t>کارشناسان</w:t>
      </w:r>
      <w:r w:rsidRPr="0053265E">
        <w:rPr>
          <w:rtl/>
        </w:rPr>
        <w:t xml:space="preserve"> </w:t>
      </w:r>
      <w:r w:rsidRPr="0053265E">
        <w:rPr>
          <w:rFonts w:hint="cs"/>
          <w:rtl/>
        </w:rPr>
        <w:t>فروش،</w:t>
      </w:r>
      <w:r w:rsidRPr="0053265E">
        <w:rPr>
          <w:rtl/>
        </w:rPr>
        <w:t xml:space="preserve"> </w:t>
      </w:r>
      <w:r>
        <w:rPr>
          <w:rFonts w:hint="cs"/>
          <w:rtl/>
        </w:rPr>
        <w:t xml:space="preserve">مدیر برنامه‌ریزی تولید و یک عضو هیئت علمی</w:t>
      </w:r>
      <w:r>
        <w:rPr>
          <w:rtl/>
        </w:rPr>
        <w:t xml:space="preserve"> </w:t>
      </w:r>
      <w:r w:rsidRPr="0053265E">
        <w:rPr>
          <w:rFonts w:hint="cs"/>
          <w:rtl/>
        </w:rPr>
        <w:t>تشکیل</w:t>
      </w:r>
      <w:r w:rsidRPr="0053265E">
        <w:rPr>
          <w:rtl/>
        </w:rPr>
        <w:t xml:space="preserve"> </w:t>
      </w:r>
      <w:r w:rsidRPr="0053265E">
        <w:rPr>
          <w:rFonts w:hint="cs"/>
          <w:rtl/>
        </w:rPr>
        <w:t>شده</w:t>
      </w:r>
      <w:r w:rsidRPr="0053265E">
        <w:rPr>
          <w:rtl/>
        </w:rPr>
        <w:t xml:space="preserve"> </w:t>
      </w:r>
      <w:r w:rsidRPr="0053265E">
        <w:rPr>
          <w:rFonts w:hint="cs"/>
          <w:rtl/>
        </w:rPr>
        <w:t>و</w:t>
      </w:r>
      <w:r w:rsidRPr="0053265E">
        <w:rPr>
          <w:rtl/>
        </w:rPr>
        <w:t xml:space="preserve"> </w:t>
      </w:r>
      <w:r w:rsidRPr="0053265E">
        <w:rPr>
          <w:rFonts w:hint="cs"/>
          <w:rtl/>
        </w:rPr>
        <w:t>هر</w:t>
      </w:r>
      <w:r w:rsidRPr="0053265E">
        <w:rPr>
          <w:rtl/>
        </w:rPr>
        <w:t xml:space="preserve"> </w:t>
      </w:r>
      <w:r w:rsidRPr="0053265E">
        <w:rPr>
          <w:rFonts w:hint="cs"/>
          <w:rtl/>
        </w:rPr>
        <w:t>دو</w:t>
      </w:r>
      <w:r w:rsidRPr="0053265E">
        <w:rPr>
          <w:rtl/>
        </w:rPr>
        <w:t xml:space="preserve"> </w:t>
      </w:r>
      <w:r w:rsidRPr="0053265E">
        <w:rPr>
          <w:rFonts w:hint="cs"/>
          <w:rtl/>
        </w:rPr>
        <w:t>منظر</w:t>
      </w:r>
      <w:r w:rsidRPr="0053265E">
        <w:rPr>
          <w:rtl/>
        </w:rPr>
        <w:t xml:space="preserve"> </w:t>
      </w:r>
      <w:r w:rsidRPr="0053265E">
        <w:rPr>
          <w:rFonts w:hint="cs"/>
          <w:rtl/>
        </w:rPr>
        <w:t>نظری</w:t>
      </w:r>
      <w:r w:rsidRPr="0053265E">
        <w:rPr>
          <w:rtl/>
        </w:rPr>
        <w:t xml:space="preserve"> </w:t>
      </w:r>
      <w:r w:rsidRPr="0053265E">
        <w:rPr>
          <w:rFonts w:hint="cs"/>
          <w:rtl/>
        </w:rPr>
        <w:t>و</w:t>
      </w:r>
      <w:r w:rsidRPr="0053265E">
        <w:rPr>
          <w:rtl/>
        </w:rPr>
        <w:t xml:space="preserve"> </w:t>
      </w:r>
      <w:r w:rsidRPr="0053265E">
        <w:rPr>
          <w:rFonts w:hint="cs"/>
          <w:rtl/>
        </w:rPr>
        <w:t>تجربی</w:t>
      </w:r>
      <w:r w:rsidRPr="0053265E">
        <w:rPr>
          <w:rtl/>
        </w:rPr>
        <w:t xml:space="preserve"> </w:t>
      </w:r>
      <w:r w:rsidRPr="0053265E">
        <w:rPr>
          <w:rFonts w:hint="cs"/>
          <w:rtl/>
        </w:rPr>
        <w:t>موضوع</w:t>
      </w:r>
      <w:r w:rsidRPr="0053265E">
        <w:rPr>
          <w:rtl/>
        </w:rPr>
        <w:t xml:space="preserve"> </w:t>
      </w:r>
      <w:r w:rsidRPr="0053265E">
        <w:rPr>
          <w:rFonts w:hint="cs"/>
          <w:rtl/>
        </w:rPr>
        <w:t>را</w:t>
      </w:r>
      <w:r w:rsidRPr="0053265E">
        <w:rPr>
          <w:rtl/>
        </w:rPr>
        <w:t xml:space="preserve"> </w:t>
      </w:r>
      <w:r w:rsidRPr="0053265E">
        <w:rPr>
          <w:rFonts w:hint="cs"/>
          <w:rtl/>
        </w:rPr>
        <w:t>پوشش</w:t>
      </w:r>
      <w:r w:rsidRPr="0053265E">
        <w:rPr>
          <w:rtl/>
        </w:rPr>
        <w:t xml:space="preserve"> </w:t>
      </w:r>
      <w:r w:rsidRPr="0053265E">
        <w:rPr>
          <w:rFonts w:hint="cs"/>
          <w:rtl/>
        </w:rPr>
        <w:t>می‌دهد</w:t>
      </w:r>
      <w:r w:rsidRPr="0053265E">
        <w:rPr>
          <w:rtl/>
        </w:rPr>
        <w:t xml:space="preserve">. </w:t>
      </w:r>
      <w:r w:rsidRPr="0053265E">
        <w:rPr>
          <w:rFonts w:hint="cs"/>
          <w:rtl/>
        </w:rPr>
        <w:t>ترکیب</w:t>
      </w:r>
      <w:r w:rsidRPr="0053265E">
        <w:rPr>
          <w:rtl/>
        </w:rPr>
        <w:t xml:space="preserve"> </w:t>
      </w:r>
      <w:r w:rsidRPr="0053265E">
        <w:rPr>
          <w:rFonts w:hint="cs"/>
          <w:rtl/>
        </w:rPr>
        <w:t>کامل</w:t>
      </w:r>
      <w:r w:rsidRPr="0053265E">
        <w:rPr>
          <w:rtl/>
        </w:rPr>
        <w:t xml:space="preserve"> </w:t>
      </w:r>
      <w:r w:rsidRPr="0053265E">
        <w:rPr>
          <w:rFonts w:hint="cs"/>
          <w:rtl/>
        </w:rPr>
        <w:t>این</w:t>
      </w:r>
      <w:r w:rsidRPr="0053265E">
        <w:rPr>
          <w:rtl/>
        </w:rPr>
        <w:t xml:space="preserve"> </w:t>
      </w:r>
      <w:r w:rsidRPr="0053265E">
        <w:rPr>
          <w:rFonts w:hint="cs"/>
          <w:rtl/>
        </w:rPr>
        <w:t>پانل،</w:t>
      </w:r>
      <w:r w:rsidRPr="0053265E">
        <w:rPr>
          <w:rtl/>
        </w:rPr>
        <w:t xml:space="preserve"> </w:t>
      </w:r>
      <w:r w:rsidRPr="0053265E">
        <w:rPr>
          <w:rFonts w:hint="cs"/>
          <w:rtl/>
        </w:rPr>
        <w:t>به</w:t>
      </w:r>
      <w:r w:rsidRPr="0053265E">
        <w:rPr>
          <w:rtl/>
        </w:rPr>
        <w:t xml:space="preserve"> </w:t>
      </w:r>
      <w:r w:rsidRPr="0053265E">
        <w:rPr>
          <w:rFonts w:hint="cs"/>
          <w:rtl/>
        </w:rPr>
        <w:t>همراه</w:t>
      </w:r>
      <w:r w:rsidRPr="0053265E">
        <w:rPr>
          <w:rtl/>
        </w:rPr>
        <w:t xml:space="preserve"> </w:t>
      </w:r>
      <w:r w:rsidRPr="0053265E">
        <w:rPr>
          <w:rFonts w:hint="cs"/>
          <w:rtl/>
        </w:rPr>
        <w:t>جایگاه</w:t>
      </w:r>
      <w:r w:rsidRPr="0053265E">
        <w:rPr>
          <w:rtl/>
        </w:rPr>
        <w:t xml:space="preserve"> </w:t>
      </w:r>
      <w:r w:rsidRPr="0053265E">
        <w:rPr>
          <w:rFonts w:hint="cs"/>
          <w:rtl/>
        </w:rPr>
        <w:t>شغلی،</w:t>
      </w:r>
      <w:r w:rsidRPr="0053265E">
        <w:rPr>
          <w:rtl/>
        </w:rPr>
        <w:t xml:space="preserve"> </w:t>
      </w:r>
      <w:r w:rsidRPr="0053265E">
        <w:rPr>
          <w:rFonts w:hint="cs"/>
          <w:rtl/>
        </w:rPr>
        <w:t>سابقه</w:t>
      </w:r>
      <w:r w:rsidRPr="0053265E">
        <w:rPr>
          <w:rtl/>
        </w:rPr>
        <w:t xml:space="preserve"> </w:t>
      </w:r>
      <w:r w:rsidRPr="0053265E">
        <w:rPr>
          <w:rFonts w:hint="cs"/>
          <w:rtl/>
        </w:rPr>
        <w:t>فعالیت</w:t>
      </w:r>
      <w:r w:rsidRPr="0053265E">
        <w:rPr>
          <w:rtl/>
        </w:rPr>
        <w:t xml:space="preserve"> </w:t>
      </w:r>
      <w:r w:rsidRPr="0053265E">
        <w:rPr>
          <w:rFonts w:hint="cs"/>
          <w:rtl/>
        </w:rPr>
        <w:t>و</w:t>
      </w:r>
      <w:r w:rsidRPr="0053265E">
        <w:rPr>
          <w:rtl/>
        </w:rPr>
        <w:t xml:space="preserve"> </w:t>
      </w:r>
      <w:r w:rsidRPr="0053265E">
        <w:rPr>
          <w:rFonts w:hint="cs"/>
          <w:rtl/>
        </w:rPr>
        <w:t>سطح</w:t>
      </w:r>
      <w:r w:rsidRPr="0053265E">
        <w:rPr>
          <w:rtl/>
        </w:rPr>
        <w:t xml:space="preserve"> </w:t>
      </w:r>
      <w:r w:rsidRPr="0053265E">
        <w:rPr>
          <w:rFonts w:hint="cs"/>
          <w:rtl/>
        </w:rPr>
        <w:t>تحصیلات</w:t>
      </w:r>
      <w:r w:rsidRPr="0053265E">
        <w:rPr>
          <w:rtl/>
        </w:rPr>
        <w:t xml:space="preserve"> </w:t>
      </w:r>
      <w:r w:rsidRPr="0053265E">
        <w:rPr>
          <w:rFonts w:hint="cs"/>
          <w:rtl/>
        </w:rPr>
        <w:t>اعضا،</w:t>
      </w:r>
      <w:r w:rsidRPr="0053265E">
        <w:rPr>
          <w:rtl/>
        </w:rPr>
        <w:t xml:space="preserve"> </w:t>
      </w:r>
      <w:r w:rsidRPr="0053265E">
        <w:rPr>
          <w:rFonts w:hint="cs"/>
          <w:rtl/>
        </w:rPr>
        <w:t>در</w:t>
      </w:r>
      <w:r w:rsidRPr="0053265E">
        <w:rPr>
          <w:rtl/>
        </w:rPr>
        <w:t xml:space="preserve"> </w:t>
      </w:r>
      <w:r w:rsidRPr="0053265E">
        <w:rPr>
          <w:rFonts w:hint="cs"/>
          <w:rtl/>
        </w:rPr>
        <w:t>فصل</w:t>
      </w:r>
      <w:r w:rsidRPr="0053265E">
        <w:rPr>
          <w:rtl/>
        </w:rPr>
        <w:t xml:space="preserve"> </w:t>
      </w:r>
      <w:r w:rsidRPr="0053265E">
        <w:rPr>
          <w:rFonts w:hint="cs"/>
          <w:rtl/>
        </w:rPr>
        <w:t>چهارم</w:t>
      </w:r>
      <w:r w:rsidRPr="0053265E">
        <w:rPr>
          <w:rtl/>
        </w:rPr>
        <w:t xml:space="preserve"> </w:t>
      </w:r>
      <w:r w:rsidRPr="0053265E">
        <w:rPr>
          <w:rFonts w:hint="cs"/>
          <w:rtl/>
        </w:rPr>
        <w:t>ارائه</w:t>
      </w:r>
      <w:r w:rsidRPr="0053265E">
        <w:rPr>
          <w:rtl/>
        </w:rPr>
        <w:t xml:space="preserve"> </w:t>
      </w:r>
      <w:r w:rsidRPr="0053265E">
        <w:rPr>
          <w:rFonts w:hint="cs"/>
          <w:rtl/>
        </w:rPr>
        <w:t>شده</w:t>
      </w:r>
      <w:r w:rsidRPr="0053265E">
        <w:rPr>
          <w:rtl/>
        </w:rPr>
        <w:t xml:space="preserve"> </w:t>
      </w:r>
      <w:r w:rsidRPr="0053265E">
        <w:rPr>
          <w:rFonts w:hint="cs"/>
          <w:rtl/>
        </w:rPr>
        <w:t>است</w:t>
      </w:r>
      <w:r w:rsidRPr="0053265E">
        <w:rPr>
          <w:rtl/>
        </w:rPr>
        <w:t>.</w:t>
      </w:r>
    </w:p>
    <w:p w14:paraId="52BE55A5" w14:textId="77777777" w:rsidR="00EB30A8" w:rsidRDefault="00A23C08">
      <w:pPr>
        <w:pStyle w:val="Heading2"/>
        <w:keepNext/>
        <w:bidi/>
        <w:spacing w:before="240" w:after="80"/>
        <w:jc w:val="lowKashida"/>
        <w:rPr>
          <w:sz w:val="32"/>
          <w:szCs w:val="32"/>
        </w:rPr>
      </w:pPr>
      <w:r>
        <w:rPr>
          <w:sz w:val="32"/>
          <w:szCs w:val="32"/>
        </w:rPr>
        <w:t>۳-۵ روش گردآوری داده‌ها</w:t>
      </w:r>
    </w:p>
    <w:p>
      <w:pPr>
        <w:bidi/>
        <w:jc w:val="both"/>
      </w:pPr>
      <w:r>
        <w:rPr>
          <w:rtl/>
        </w:rPr>
        <w:t xml:space="preserve">داده‌های این پژوهش در دو لایه گردآوری شد.</w:t>
      </w:r>
      <w:r>
        <w:rPr>
          <w:rtl/>
        </w:rPr>
        <w:t xml:space="preserve"> در لایه نخست، مبانی نظری و پیشینه پژوهش از راه مطالعه کتابخانه‌ای و بررسی مقاله‌ها، کتاب‌ها و پایگاه‌های علمی داخلی و خارجی فراهم آمد.</w:t>
      </w:r>
      <w:r>
        <w:rPr>
          <w:rtl/>
        </w:rPr>
        <w:t xml:space="preserve"> در لایه دوم، داده‌های میدانی از طریق سه دور متوالی دلفی از پانل خبرگان گردآوری شد: دور نخست یک مصاحبه‌ی باز بود و دو دور بعد با پرسشنامه اجرا شدند.</w:t>
      </w:r>
    </w:p>
    <w:p>
      <w:pPr>
        <w:bidi/>
        <w:jc w:val="both"/>
      </w:pPr>
      <w:r>
        <w:rPr>
          <w:rtl/>
        </w:rPr>
        <w:t xml:space="preserve">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w:t>
      </w:r>
      <w:r>
        <w:rPr>
          <w:rtl/>
        </w:rPr>
        <w:t xml:space="preserve"> پاسخ‌های این دور، مبنای تحلیل مضمون و ساخت گویه‌ها بود.</w:t>
      </w:r>
      <w:r>
        <w:rPr>
          <w:rtl/>
        </w:rPr>
        <w:t xml:space="preserve"> چالش‌های برگرفته از ادبیات در پایان فصل دوم (جدول ۲-۱) در مرحله ترکیب و بررسی با این کدها سنجیده شدند و فهرست گویه‌هایی که در دورهای بعدی برای رتبه‌بندی و رسیدن به اجماع در اختیار پانل قرار گرفت، از همین مرحله به دست آمد.</w:t>
      </w:r>
    </w:p>
    <w:p w14:paraId="522E844E" w14:textId="77777777" w:rsidR="00EB30A8" w:rsidRPr="00FB7C11" w:rsidRDefault="00A23C08" w:rsidP="00FB7C11">
      <w:pPr>
        <w:bidi/>
        <w:jc w:val="both"/>
      </w:pPr>
      <w:r w:rsidRPr="00FB7C11">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14:paraId="5D968691" w14:textId="77777777" w:rsidR="00EB30A8" w:rsidRDefault="00A23C08">
      <w:pPr>
        <w:pStyle w:val="Heading2"/>
        <w:keepNext/>
        <w:bidi/>
        <w:spacing w:before="240" w:after="80"/>
        <w:jc w:val="lowKashida"/>
        <w:rPr>
          <w:sz w:val="32"/>
          <w:szCs w:val="32"/>
        </w:rPr>
      </w:pPr>
      <w:r>
        <w:rPr>
          <w:sz w:val="32"/>
          <w:szCs w:val="32"/>
        </w:rPr>
        <w:t>۳-۶ ابزار گردآوری داده‌ها</w:t>
      </w:r>
    </w:p>
    <w:p>
      <w:pPr>
        <w:bidi/>
        <w:jc w:val="both"/>
      </w:pPr>
      <w:r>
        <w:rPr>
          <w:rtl/>
        </w:rPr>
        <w:t xml:space="preserve">ابزار اصلی گردآوری داده، روش دلفی در سه دور متوالی بود.</w:t>
      </w:r>
      <w:r>
        <w:rPr>
          <w:rtl/>
        </w:rPr>
        <w:t xml:space="preserve"> دور نخست یک مصاحبه‌ی باز با یک پرسش بود که دو بخش داشت: بخش نخست به مشخصات جمعیت‌شناختی عضو پانل اختصاص داشت و بخش دوم شامل پرسش باز اصلی پژوهش می‌شد.</w:t>
      </w:r>
      <w:r>
        <w:rPr>
          <w:rtl/>
        </w:rPr>
        <w:t xml:space="preserve"> دور دوم و سوم با پرسشنامه‌ی دلفی اجرا شدند. فرم خام مصاحبه‌ی دور نخست در پیوست الف، فرم خام پرسشنامه‌ی دور دوم در پیوست ب و فرم خام پرسشنامه‌ی دور سوم در پیوست پ آمده است؛ پرسش اصلی دور نخست همان پرسش باز بود که در بخش ۳-۵ آمد.</w:t>
      </w:r>
    </w:p>
    <w:p>
      <w:pPr>
        <w:bidi/>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امتیاز دهد.</w:t>
      </w:r>
      <w:r>
        <w:rPr>
          <w:rtl/>
        </w:rPr>
        <w:t xml:space="preserve"> ناسا و همکاران (۲۰۲۱)</w:t>
      </w:r>
      <w:r>
        <w:rPr>
          <w:rStyle w:val="FootnoteReference"/>
        </w:rPr>
        <w:footnoteReference w:id="6"/>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w:t>
      </w:r>
      <w:r>
        <w:rPr>
          <w:rtl/>
        </w:rPr>
        <w:t xml:space="preserve"> پاسخ‌های کامل‌شده اعضای پانل، به دلیل حجم زیاد در متن پایان‌نامه نیامده‌اند و در صورت نیاز در اختیار داوران قرار می‌گیرند.</w:t>
      </w:r>
    </w:p>
    <w:p w14:paraId="0F7685A3" w14:textId="77777777" w:rsidR="00EB30A8" w:rsidRPr="00A23C08" w:rsidRDefault="00A23C08" w:rsidP="00A23C08">
      <w:pPr>
        <w:bidi/>
        <w:jc w:val="both"/>
      </w:pPr>
      <w:r w:rsidRPr="00A23C08">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14:paraId="50F18013" w14:textId="77777777" w:rsidR="00EB30A8" w:rsidRDefault="00A23C08">
      <w:pPr>
        <w:pStyle w:val="Heading2"/>
        <w:keepNext/>
        <w:bidi/>
        <w:spacing w:before="240" w:after="80"/>
        <w:jc w:val="lowKashida"/>
        <w:rPr>
          <w:sz w:val="32"/>
          <w:szCs w:val="32"/>
        </w:rPr>
      </w:pPr>
      <w:r>
        <w:rPr>
          <w:sz w:val="32"/>
          <w:szCs w:val="32"/>
        </w:rPr>
        <w:t>۳-۷ روش تجزیه و تحلیل داده‌ها</w:t>
      </w:r>
    </w:p>
    <w:p>
      <w:pPr>
        <w:bidi/>
        <w:jc w:val="both"/>
      </w:pPr>
      <w:r>
        <w:rPr>
          <w:rtl/>
        </w:rPr>
        <w:t xml:space="preserve">تحلیل داده‌ها در سه گام انجام شد: نخست شناسایی چالش‌ها از راه تحلیل مضمون پاسخ‌های باز دور نخست و ترکیب آن‌ها با چالش‌های برگرفته از ادبیات، سپس اولویت‌بندی آن‌ها از طریق دورهای رتبه‌بندی و بازخورد گروهی پانل دلفی، و در پایان وزن‌دهی و رتبه‌بندی به روش AHP.</w:t>
      </w:r>
      <w:r>
        <w:rPr>
          <w:rtl/>
        </w:rPr>
        <w:t xml:space="preserve"> هر سه گام از یک فرایند واحد و متوالی تغذیه می‌شوند.</w:t>
      </w:r>
    </w:p>
    <w:p w14:paraId="2134E8DB" w14:textId="77777777" w:rsidR="00EB30A8" w:rsidRDefault="00A23C08">
      <w:pPr>
        <w:pStyle w:val="Heading3"/>
        <w:keepNext/>
        <w:bidi/>
        <w:spacing w:before="180" w:after="80"/>
        <w:jc w:val="lowKashida"/>
      </w:pPr>
      <w:r>
        <w:t>۳-۷-۱ گام نخست: تحلیل مضمون</w:t>
      </w:r>
    </w:p>
    <w:p>
      <w:pPr>
        <w:bidi/>
        <w:jc w:val="both"/>
      </w:pPr>
      <w:r>
        <w:rPr>
          <w:rtl/>
        </w:rPr>
        <w:t xml:space="preserve">تحلیل مضمون روشی برای شناسایی، تحلیل و گزارش الگوهای معنایی درون داده‌های کیفی است (براون و کلارک، ۲۰۰۶)</w:t>
      </w:r>
      <w:r>
        <w:rPr>
          <w:rStyle w:val="FootnoteReference"/>
        </w:rPr>
        <w:footnoteReference w:id="7"/>
      </w:r>
      <w:r>
        <w:rPr>
          <w:rtl/>
        </w:rPr>
        <w:t xml:space="preserve"> که براون و کلارک (۲۰۲۱)</w:t>
      </w:r>
      <w:r>
        <w:rPr>
          <w:rStyle w:val="FootnoteReference"/>
        </w:rPr>
        <w:footnoteReference w:id="8"/>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w:t>
      </w:r>
      <w:r>
        <w:rPr>
          <w:rtl/>
        </w:rPr>
        <w:t xml:space="preserve"> در مرحله دوم، کدگذاری: هر عبارت معنادار که به مانع یا مشکلی در فرایند فروش اشاره داشت، </w:t>
      </w:r>
      <w:r>
        <w:rPr>
          <w:rtl/>
        </w:rPr>
        <w:t xml:space="preserve">به عنوان یک کد ثبت شد.</w:t>
      </w:r>
    </w:p>
    <w:p>
      <w:pPr>
        <w:bidi/>
        <w:jc w:val="both"/>
      </w:pPr>
      <w:r>
        <w:rPr>
          <w:rtl/>
        </w:rPr>
        <w:t xml:space="preserve">در مرحله سوم، شکل‌گیری گویه‌ها: کدهای دارای معنای مشترک در قالب گویه‌های واحد گرد آمدند.</w:t>
      </w:r>
      <w:r>
        <w:rPr>
          <w:rtl/>
        </w:rPr>
        <w:t xml:space="preserve">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w:t>
      </w:r>
      <w:r>
        <w:rPr>
          <w:rtl/>
        </w:rPr>
        <w:t xml:space="preserve"> در مرحله چهارم، بازبینی گویه‌ها: انسجام درونی هر گویه و تمایز آن از سایرین بررسی شد.</w:t>
      </w:r>
      <w:r>
        <w:rPr>
          <w:rtl/>
        </w:rPr>
        <w:t xml:space="preserve"> در مرحله پنجم، تعریف و نام‌گذاری گویه‌ها: برای هر گویه عنوانی کوتاه و روشن برگزیده شد.</w:t>
      </w:r>
      <w:r>
        <w:rPr>
          <w:rtl/>
        </w:rPr>
        <w:t xml:space="preserve"> در مرحله ششم، تدوین گزارش نهایی.</w:t>
      </w:r>
    </w:p>
    <w:p w14:paraId="7D1B90E6" w14:textId="0D627FAB" w:rsidR="00EB30A8" w:rsidRPr="00A23C08" w:rsidRDefault="00A23C08" w:rsidP="00A23C08">
      <w:pPr>
        <w:bidi/>
        <w:jc w:val="both"/>
      </w:pPr>
      <w:r w:rsidRPr="00A23C08">
        <w:rPr>
          <w:rtl/>
        </w:rPr>
        <w:t xml:space="preserve">گفتنی است بخشی از پاسخ‌های اعضای پانل، به جای بیان چالش، به ارائه راهکار اختصاص داشت </w:t>
      </w:r>
      <w:r w:rsidRPr="00A23C08">
        <w:rPr>
          <w:rFonts w:hint="cs"/>
          <w:rtl/>
        </w:rPr>
        <w:t>برای</w:t>
      </w:r>
      <w:r w:rsidRPr="00A23C08">
        <w:rPr>
          <w:rtl/>
        </w:rPr>
        <w:t xml:space="preserve"> </w:t>
      </w:r>
      <w:r w:rsidRPr="00A23C08">
        <w:rPr>
          <w:rFonts w:hint="cs"/>
          <w:rtl/>
        </w:rPr>
        <w:t>نمونه</w:t>
      </w:r>
      <w:r w:rsidRPr="00A23C08">
        <w:rPr>
          <w:rtl/>
        </w:rPr>
        <w:t xml:space="preserve"> </w:t>
      </w:r>
      <w:r w:rsidRPr="00A23C08">
        <w:rPr>
          <w:rFonts w:hint="cs"/>
          <w:rtl/>
        </w:rPr>
        <w:t>تأکید</w:t>
      </w:r>
      <w:r w:rsidRPr="00A23C08">
        <w:rPr>
          <w:rtl/>
        </w:rPr>
        <w:t xml:space="preserve"> </w:t>
      </w:r>
      <w:r w:rsidRPr="00A23C08">
        <w:rPr>
          <w:rFonts w:hint="cs"/>
          <w:rtl/>
        </w:rPr>
        <w:t>برخی</w:t>
      </w:r>
      <w:r w:rsidRPr="00A23C08">
        <w:rPr>
          <w:rtl/>
        </w:rPr>
        <w:t xml:space="preserve"> </w:t>
      </w:r>
      <w:r w:rsidRPr="00A23C08">
        <w:rPr>
          <w:rFonts w:hint="cs"/>
          <w:rtl/>
        </w:rPr>
        <w:t>اعضا</w:t>
      </w:r>
      <w:r w:rsidRPr="00A23C08">
        <w:rPr>
          <w:rtl/>
        </w:rPr>
        <w:t xml:space="preserve"> </w:t>
      </w:r>
      <w:r w:rsidRPr="00A23C08">
        <w:rPr>
          <w:rFonts w:hint="cs"/>
          <w:rtl/>
        </w:rPr>
        <w:t>بر</w:t>
      </w:r>
      <w:r w:rsidRPr="00A23C08">
        <w:rPr>
          <w:rtl/>
        </w:rPr>
        <w:t xml:space="preserve"> </w:t>
      </w:r>
      <w:r w:rsidRPr="00A23C08">
        <w:rPr>
          <w:rFonts w:hint="cs"/>
          <w:rtl/>
        </w:rPr>
        <w:t>برندسازی</w:t>
      </w:r>
      <w:r w:rsidRPr="00A23C08">
        <w:rPr>
          <w:rtl/>
        </w:rPr>
        <w:t xml:space="preserve"> </w:t>
      </w:r>
      <w:r w:rsidRPr="00A23C08">
        <w:rPr>
          <w:rFonts w:hint="cs"/>
          <w:rtl/>
        </w:rPr>
        <w:t>قوی</w:t>
      </w:r>
      <w:r w:rsidRPr="00A23C08">
        <w:rPr>
          <w:rtl/>
        </w:rPr>
        <w:t xml:space="preserve"> </w:t>
      </w:r>
      <w:r w:rsidRPr="00A23C08">
        <w:rPr>
          <w:rFonts w:hint="cs"/>
          <w:rtl/>
        </w:rPr>
        <w:t>و</w:t>
      </w:r>
      <w:r w:rsidRPr="00A23C08">
        <w:rPr>
          <w:rtl/>
        </w:rPr>
        <w:t xml:space="preserve"> </w:t>
      </w:r>
      <w:r w:rsidRPr="00A23C08">
        <w:rPr>
          <w:rFonts w:hint="cs"/>
          <w:rtl/>
        </w:rPr>
        <w:t>توسعه</w:t>
      </w:r>
      <w:r w:rsidRPr="00A23C08">
        <w:rPr>
          <w:rtl/>
        </w:rPr>
        <w:t xml:space="preserve"> </w:t>
      </w:r>
      <w:r w:rsidRPr="00A23C08">
        <w:rPr>
          <w:rFonts w:hint="cs"/>
          <w:rtl/>
        </w:rPr>
        <w:t>کانال‌های</w:t>
      </w:r>
      <w:r w:rsidRPr="00A23C08">
        <w:rPr>
          <w:rtl/>
        </w:rPr>
        <w:t xml:space="preserve"> </w:t>
      </w:r>
      <w:r w:rsidRPr="00A23C08">
        <w:rPr>
          <w:rFonts w:hint="cs"/>
          <w:rtl/>
        </w:rPr>
        <w:t>فروش</w:t>
      </w:r>
      <w:r w:rsidRPr="00A23C08">
        <w:rPr>
          <w:rtl/>
        </w:rPr>
        <w:t xml:space="preserve"> </w:t>
      </w:r>
      <w:r w:rsidRPr="00A23C08">
        <w:rPr>
          <w:rFonts w:hint="cs"/>
          <w:rtl/>
        </w:rPr>
        <w:t>دائمی</w:t>
      </w:r>
      <w:r w:rsidRPr="00A23C08">
        <w:rPr>
          <w:rtl/>
        </w:rPr>
        <w:t xml:space="preserve">. </w:t>
      </w:r>
      <w:r w:rsidRPr="00A23C08">
        <w:rPr>
          <w:rFonts w:hint="cs"/>
          <w:rtl/>
        </w:rPr>
        <w:t>این</w:t>
      </w:r>
      <w:r w:rsidRPr="00A23C08">
        <w:rPr>
          <w:rtl/>
        </w:rPr>
        <w:t xml:space="preserve"> </w:t>
      </w:r>
      <w:r w:rsidRPr="00A23C08">
        <w:rPr>
          <w:rFonts w:hint="cs"/>
          <w:rtl/>
        </w:rPr>
        <w:t>عبارت‌ها</w:t>
      </w:r>
      <w:r w:rsidRPr="00A23C08">
        <w:rPr>
          <w:rtl/>
        </w:rPr>
        <w:t xml:space="preserve"> </w:t>
      </w:r>
      <w:r w:rsidRPr="00A23C08">
        <w:rPr>
          <w:rFonts w:hint="cs"/>
          <w:rtl/>
        </w:rPr>
        <w:t>از</w:t>
      </w:r>
      <w:r w:rsidRPr="00A23C08">
        <w:rPr>
          <w:rtl/>
        </w:rPr>
        <w:t xml:space="preserve"> </w:t>
      </w:r>
      <w:r w:rsidRPr="00A23C08">
        <w:rPr>
          <w:rFonts w:hint="cs"/>
          <w:rtl/>
        </w:rPr>
        <w:t>فرایند</w:t>
      </w:r>
      <w:r w:rsidRPr="00A23C08">
        <w:rPr>
          <w:rtl/>
        </w:rPr>
        <w:t xml:space="preserve"> </w:t>
      </w:r>
      <w:r w:rsidRPr="00A23C08">
        <w:rPr>
          <w:rFonts w:hint="cs"/>
          <w:rtl/>
        </w:rPr>
        <w:t>کدگذاری</w:t>
      </w:r>
      <w:r w:rsidRPr="00A23C08">
        <w:rPr>
          <w:rtl/>
        </w:rPr>
        <w:t xml:space="preserve"> </w:t>
      </w:r>
      <w:r w:rsidRPr="00A23C08">
        <w:rPr>
          <w:rFonts w:hint="cs"/>
          <w:rtl/>
        </w:rPr>
        <w:t>چالش‌ها</w:t>
      </w:r>
      <w:r w:rsidRPr="00A23C08">
        <w:rPr>
          <w:rtl/>
        </w:rPr>
        <w:t xml:space="preserve"> </w:t>
      </w:r>
      <w:r w:rsidRPr="00A23C08">
        <w:rPr>
          <w:rFonts w:hint="cs"/>
          <w:rtl/>
        </w:rPr>
        <w:t>کنار</w:t>
      </w:r>
      <w:r w:rsidRPr="00A23C08">
        <w:rPr>
          <w:rtl/>
        </w:rPr>
        <w:t xml:space="preserve"> </w:t>
      </w:r>
      <w:r w:rsidRPr="00A23C08">
        <w:rPr>
          <w:rFonts w:hint="cs"/>
          <w:rtl/>
        </w:rPr>
        <w:t>گذاشته</w:t>
      </w:r>
      <w:r w:rsidRPr="00A23C08">
        <w:rPr>
          <w:rtl/>
        </w:rPr>
        <w:t xml:space="preserve"> </w:t>
      </w:r>
      <w:r w:rsidRPr="00A23C08">
        <w:rPr>
          <w:rFonts w:hint="cs"/>
          <w:rtl/>
        </w:rPr>
        <w:t>شدند</w:t>
      </w:r>
      <w:r w:rsidRPr="00A23C08">
        <w:rPr>
          <w:rtl/>
        </w:rPr>
        <w:t xml:space="preserve"> </w:t>
      </w:r>
      <w:r w:rsidRPr="00A23C08">
        <w:rPr>
          <w:rFonts w:hint="cs"/>
          <w:rtl/>
        </w:rPr>
        <w:t>و</w:t>
      </w:r>
      <w:r w:rsidRPr="00A23C08">
        <w:rPr>
          <w:rtl/>
        </w:rPr>
        <w:t xml:space="preserve"> </w:t>
      </w:r>
      <w:r w:rsidRPr="00A23C08">
        <w:rPr>
          <w:rFonts w:hint="cs"/>
          <w:rtl/>
        </w:rPr>
        <w:t>در</w:t>
      </w:r>
      <w:r w:rsidRPr="00A23C08">
        <w:rPr>
          <w:rtl/>
        </w:rPr>
        <w:t xml:space="preserve"> </w:t>
      </w:r>
      <w:r w:rsidRPr="00A23C08">
        <w:rPr>
          <w:rFonts w:hint="cs"/>
          <w:rtl/>
        </w:rPr>
        <w:t>بخش</w:t>
      </w:r>
      <w:r w:rsidRPr="00A23C08">
        <w:rPr>
          <w:rtl/>
        </w:rPr>
        <w:t xml:space="preserve"> </w:t>
      </w:r>
      <w:r w:rsidRPr="00A23C08">
        <w:rPr>
          <w:rFonts w:hint="cs"/>
          <w:rtl/>
        </w:rPr>
        <w:t>پیشنهادهای</w:t>
      </w:r>
      <w:r w:rsidRPr="00A23C08">
        <w:rPr>
          <w:rtl/>
        </w:rPr>
        <w:t xml:space="preserve"> </w:t>
      </w:r>
      <w:r w:rsidRPr="00A23C08">
        <w:rPr>
          <w:rFonts w:hint="cs"/>
          <w:rtl/>
        </w:rPr>
        <w:t>کاربردی</w:t>
      </w:r>
      <w:r w:rsidRPr="00A23C08">
        <w:rPr>
          <w:rtl/>
        </w:rPr>
        <w:t xml:space="preserve"> </w:t>
      </w:r>
      <w:r w:rsidRPr="00A23C08">
        <w:rPr>
          <w:rFonts w:hint="cs"/>
          <w:rtl/>
        </w:rPr>
        <w:t>فصل</w:t>
      </w:r>
      <w:r w:rsidRPr="00A23C08">
        <w:rPr>
          <w:rtl/>
        </w:rPr>
        <w:t xml:space="preserve"> </w:t>
      </w:r>
      <w:r w:rsidRPr="00A23C08">
        <w:rPr>
          <w:rFonts w:hint="cs"/>
          <w:rtl/>
        </w:rPr>
        <w:t>پنجم</w:t>
      </w:r>
      <w:r w:rsidRPr="00A23C08">
        <w:rPr>
          <w:rtl/>
        </w:rPr>
        <w:t xml:space="preserve"> </w:t>
      </w:r>
      <w:r w:rsidRPr="00A23C08">
        <w:rPr>
          <w:rFonts w:hint="cs"/>
          <w:rtl/>
        </w:rPr>
        <w:t>به</w:t>
      </w:r>
      <w:r w:rsidRPr="00A23C08">
        <w:rPr>
          <w:rtl/>
        </w:rPr>
        <w:t xml:space="preserve"> </w:t>
      </w:r>
      <w:r w:rsidRPr="00A23C08">
        <w:rPr>
          <w:rFonts w:hint="cs"/>
          <w:rtl/>
        </w:rPr>
        <w:t>کار</w:t>
      </w:r>
      <w:r w:rsidRPr="00A23C08">
        <w:rPr>
          <w:rtl/>
        </w:rPr>
        <w:t xml:space="preserve"> </w:t>
      </w:r>
      <w:r w:rsidRPr="00A23C08">
        <w:rPr>
          <w:rFonts w:hint="cs"/>
          <w:rtl/>
        </w:rPr>
        <w:t>رفته‌اند</w:t>
      </w:r>
      <w:r w:rsidRPr="00A23C08">
        <w:rPr>
          <w:rtl/>
        </w:rPr>
        <w:t>.</w:t>
      </w:r>
    </w:p>
    <w:p>
      <w:pPr>
        <w:bidi/>
        <w:jc w:val="both"/>
      </w:pPr>
      <w:r>
        <w:rPr>
          <w:rtl/>
        </w:rPr>
        <w:t xml:space="preserve">در مرحله ترکیب و بررسی، کدهای استخراج‌شده از پاسخ‌های دور نخست با چالش‌های برگرفته از ادبیات (جدول ۲-۱) سنجیده و ترکیب شدند.</w:t>
      </w:r>
      <w:r>
        <w:rPr>
          <w:rtl/>
        </w:rPr>
        <w:t xml:space="preserve"> گویه‌ها از کدهای پاسخ خبرگان ساخته شدند و هر گویه دست‌کم در پاسخ یک عضو پانل بازتاب داشت.</w:t>
      </w:r>
      <w:r>
        <w:rPr>
          <w:rtl/>
        </w:rPr>
        <w:t xml:space="preserve"> چالشی از ادبیات تنها زمانی وارد فهرست گویه‌ها شد که خبرگان آن را مطرح کرده بودند؛ چالش‌هایی که در ادبیات آمده بودند، اما هیچ عضو پانل مطرح نکرد، وارد فهرست نشدند.</w:t>
      </w:r>
      <w:r>
        <w:rPr>
          <w:rtl/>
        </w:rPr>
        <w:t xml:space="preserve"> در مقابل، کدی که در ادبیات همتای روشنی نداشت، به‌دلیل بازتاب در پاسخ خبرگان در فهرست ماند.</w:t>
      </w:r>
      <w:r>
        <w:rPr>
          <w:rtl/>
        </w:rPr>
        <w:t xml:space="preserve"> حاصل این مرحله ۲۹ گویه بود؛ نتیجه سنجش هر گویه با جدول ۲-۱ در ستون «همتای ادبی» جدول ۴-۶ آمده است.</w:t>
      </w:r>
    </w:p>
    <w:p w14:paraId="2592C9B5" w14:textId="77777777" w:rsidR="00EB30A8" w:rsidRDefault="00A23C08">
      <w:pPr>
        <w:pStyle w:val="Heading3"/>
        <w:keepNext/>
        <w:bidi/>
        <w:spacing w:before="180" w:after="80"/>
        <w:jc w:val="lowKashida"/>
      </w:pPr>
      <w:r>
        <w:t>۳-۷-۲ گام دوم: رتبه‌بندی و رسیدن به اجماع در دورهای دلفی</w:t>
      </w:r>
    </w:p>
    <w:p>
      <w:pPr>
        <w:bidi/>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امتیاز دهد.</w:t>
      </w:r>
      <w:r>
        <w:rPr>
          <w:rtl/>
        </w:rPr>
        <w:t xml:space="preserve"> 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9"/>
      </w:r>
      <w:r>
        <w:rPr>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امتیازهای خود را در دور بعد بازبینی کنند.</w:t>
      </w:r>
    </w:p>
    <w:p w14:paraId="3F07418D" w14:textId="710290E7" w:rsidR="00EB30A8" w:rsidRPr="00A23C08" w:rsidRDefault="00A23C08" w:rsidP="00A23C08">
      <w:pPr>
        <w:bidi/>
        <w:jc w:val="both"/>
      </w:pPr>
      <w:r w:rsidRPr="00A23C08">
        <w:rPr>
          <w:rtl/>
        </w:rPr>
        <w:t xml:space="preserve">این فرایند تا رسیدن به اجماع نسبی تکرار می‌شود. </w:t>
      </w:r>
      <w:r>
        <w:rPr>
          <w:rFonts w:hint="cs"/>
          <w:rtl/>
        </w:rPr>
        <w:t xml:space="preserve">شیفانو و نیدربرگر (۲۰۲۵)</w:t>
      </w:r>
      <w:r>
        <w:rPr>
          <w:rStyle w:val="FootnoteReference"/>
        </w:rPr>
        <w:footnoteReference w:id="10"/>
      </w:r>
      <w:r>
        <w:rPr>
          <w:rFonts w:hint="c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jc w:val="both"/>
      </w:pPr>
      <w:r>
        <w:rPr>
          <w:rtl/>
        </w:rPr>
        <w:t xml:space="preserve">اولویت هر گویه در دورهای دلفی بر پایه میانگین امتیاز پانل سنجیده شد و میانگین دور پایانی، ورودی وزن‌دهی در گام سوم است (بخش ۳-۷-۳). فهرست ۲۹ گویه در هر دو دور امتیازدهی به‌صورت فهرستی ساده از گویه‌ها در اختیار پانل قرار گرفت؛ گروه‌بندی گویه‌ها در مؤلفه‌ها تنها در سلسله‌مراتب AHP انجام می‌شود.</w:t>
      </w:r>
    </w:p>
    <w:p>
      <w:pPr>
        <w:bidi/>
        <w:jc w:val="both"/>
      </w:pPr>
      <w:r>
        <w:rPr>
          <w:rtl/>
        </w:rPr>
        <w:t xml:space="preserve">برای سنجش آماری این فرایند از سه دسته شاخص استفاده شد.</w:t>
      </w:r>
      <w:r>
        <w:rPr>
          <w:rtl/>
        </w:rPr>
        <w:t xml:space="preserve"> نخست، شاخص‌های توصیفی امتیاز هر گویه در هر دور، یعنی میانگین، میانه، انحراف معیار و دامنه بین‌چارکی.</w:t>
      </w:r>
      <w:r>
        <w:rPr>
          <w:rtl/>
        </w:rPr>
        <w:t xml:space="preserve"> دوم، ضریب هماهنگی کندال (W) برای سنجش میزان توافق میان رتبه‌های حاصل از امتیازهای اعضای پانل در هر دور، که در دلفی‌های مبتنی بر رتبه‌بندی به کار می‌رود (اشمیت، ۱۹۹۷)</w:t>
      </w:r>
      <w:r>
        <w:rPr>
          <w:rStyle w:val="FootnoteReference"/>
        </w:rPr>
        <w:footnoteReference w:id="11"/>
      </w:r>
      <w:r>
        <w:rPr>
          <w:rtl/>
        </w:rPr>
        <w:t xml:space="preserve">؛ برای محاسبه آن، امتیازهای هر عضو به رتبه تبدیل شد و امتیازهای برابر میانگین رتبه‌های خود را گرفتند؛ معناداری آن با آزمون مجذور کای ارزیابی می‌شود.</w:t>
      </w:r>
      <w:r>
        <w:rPr>
          <w:rtl/>
        </w:rPr>
        <w:t xml:space="preserve"> سوم، ضریب همبستگی رتبه‌ای اسپیرمن میان امتیازهای دور دوم و دور سوم برای سنجش ثبات رتبه‌بندی میان دو دور؛ این ضریب در سطح گویه‌ها محاسبه شد و ملاک توقف دورها بود.</w:t>
      </w:r>
      <w:r>
        <w:rPr>
          <w:rtl/>
        </w:rPr>
        <w:t xml:space="preserve"> نتایج این محاسبه‌ها در بخش ۴ گزارش شده است و پاسخ‌های کامل‌شده اعضای پانل در اختیار داوران قرار دارد.</w:t>
      </w:r>
    </w:p>
    <w:p>
      <w:pPr>
        <w:pStyle w:val="Heading3"/>
        <w:keepNext/>
        <w:bidi/>
        <w:spacing w:before="180" w:after="80"/>
        <w:jc w:val="lowKashida"/>
      </w:pPr>
      <w:r>
        <w:t xml:space="preserve">۳-۷-۳ رتبه‌بندی و وزن‌دهی به روش AHP</w:t>
      </w:r>
    </w:p>
    <w:p>
      <w:pPr>
        <w:bidi/>
        <w:jc w:val="both"/>
      </w:pPr>
      <w:r>
        <w:rPr>
          <w:rtl/>
        </w:rPr>
        <w:t xml:space="preserve">گام سوم، وزن‌دهی و رتبه‌بندی به روش فرایند تحلیل سلسله‌مراتبی (AHP) انجام شد (ساعتی، ۱۹۸۰)</w:t>
      </w:r>
      <w:r>
        <w:rPr>
          <w:rStyle w:val="FootnoteReference"/>
        </w:rPr>
        <w:footnoteReference w:id="12"/>
      </w:r>
      <w:r>
        <w:rPr>
          <w:rtl/>
        </w:rPr>
        <w:t xml:space="preserve">.</w:t>
      </w:r>
      <w:r>
        <w:rPr>
          <w:rtl/>
        </w:rPr>
        <w:t xml:space="preserve"> در این گام، نخست پرسشنامه‌ی دور سوم، که ۲۹ گویه را در بر داشت (پیوست پ)، میان هر هفت عضو پانل توزیع شد و هر عضو اهمیت هر گویه را بر طیف پنج‌درجه‌ای امتیاز داد. سپس میانگین امتیاز هر گویه محاسبه شد و وزن هر گویه برابر سهم میانگین آن از مجموع میانگین‌های ۲۹ گویه قرار گرفت؛ مجموع وزن گویه‌ها برابر یک است. وزن‌ها بدون محاسبه‌ی مقایسه‌های زوجی و مستقیماً از امتیازهای پرسشنامه به دست آمدند.</w:t>
      </w:r>
    </w:p>
    <w:p>
      <w:pPr>
        <w:bidi/>
        <w:jc w:val="both"/>
      </w:pPr>
      <w:r>
        <w:rPr>
          <w:rtl/>
        </w:rPr>
        <w:t xml:space="preserve">پس از وزن‌دهی گویه‌ها، سلسله‌مراتب تصمیم در سه سطح تشکیل شد: هدف، که شناسایی و اولویت‌بندی چالش‌های فروش است؛ مؤلفه‌ها؛ و ۲۹ گویه زیر آن‌ها. برای این منظور گویه‌ها بر پایه شباهت مضمونی در نُه مؤلفه سازمان‌دهی شدند. وزن هر مؤلفه از وزن گویه‌های آن به دست آمد: میانگین وزن گویه‌های هر مؤلفه محاسبه و بر مجموع این میانگین‌ها در نُه مؤلفه تقسیم شد تا مجموع وزن مؤلفه‌ها برابر یک شود. به‌کار بردن میانگین به‌جای مجموع از آن روست که شمار گویه‌های هر مؤلفه، که از شیوه‌ی دسته‌بندی ناشی می‌شود و نه از اهمیت چالش، بر وزن آن اثر نگذارد. نتایج این وزن‌دهی در بخش ۴-۶-۲ گزارش شده است.</w:t>
      </w:r>
    </w:p>
    <w:p>
      <w:pPr>
        <w:pStyle w:val="Heading3"/>
        <w:keepNext/>
        <w:bidi/>
        <w:spacing w:before="180" w:after="80"/>
        <w:jc w:val="lowKashida"/>
      </w:pPr>
      <w:r>
        <w:t xml:space="preserve">۳-۷-۴ چرایی انتخاب روش دلفی در میان رویکردهای رقیب</w:t>
      </w:r>
    </w:p>
    <w:p w14:paraId="484BBE7A" w14:textId="6A99631D" w:rsidR="00EB30A8" w:rsidRPr="00A23C08" w:rsidRDefault="00A23C08" w:rsidP="00A23C08">
      <w:pPr>
        <w:bidi/>
        <w:jc w:val="both"/>
      </w:pPr>
      <w:r w:rsidRPr="00A23C08">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hint="c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3"/>
      </w:r>
      <w:r w:rsidRPr="00A23C08">
        <w:rPr>
          <w:rtl/>
        </w:rPr>
        <w:t xml:space="preserve"> آن را از ویژگی‌های اصلی این روش دانسته‌اند.</w:t>
      </w:r>
    </w:p>
    <w:p w14:paraId="43A18BB7" w14:textId="03F1329B" w:rsidR="00AC3E3F" w:rsidRPr="0053265E" w:rsidRDefault="0053265E" w:rsidP="0053265E">
      <w:pPr>
        <w:bidi/>
        <w:jc w:val="both"/>
      </w:pPr>
      <w:r w:rsidRPr="0053265E">
        <w:rPr>
          <w:rtl/>
        </w:rPr>
        <w:t xml:space="preserve">اندازه پانل پژوهش حاضر </w:t>
      </w:r>
      <w:r w:rsidRPr="0053265E">
        <w:rPr>
          <w:rFonts w:hint="cs"/>
          <w:rtl/>
        </w:rPr>
        <w:t>هفت</w:t>
      </w:r>
      <w:r w:rsidRPr="0053265E">
        <w:rPr>
          <w:rtl/>
        </w:rPr>
        <w:t xml:space="preserve"> </w:t>
      </w:r>
      <w:r w:rsidRPr="0053265E">
        <w:rPr>
          <w:rFonts w:hint="cs"/>
          <w:rtl/>
        </w:rPr>
        <w:t>نفر</w:t>
      </w:r>
      <w:r w:rsidRPr="0053265E">
        <w:rPr>
          <w:rtl/>
        </w:rPr>
        <w:t xml:space="preserve"> </w:t>
      </w:r>
      <w:r w:rsidRPr="0053265E">
        <w:rPr>
          <w:rFonts w:hint="cs"/>
          <w:rtl/>
        </w:rPr>
        <w:t>در</w:t>
      </w:r>
      <w:r w:rsidRPr="0053265E">
        <w:rPr>
          <w:rtl/>
        </w:rPr>
        <w:t xml:space="preserve"> </w:t>
      </w:r>
      <w:r w:rsidRPr="0053265E">
        <w:rPr>
          <w:rFonts w:hint="cs"/>
          <w:rtl/>
        </w:rPr>
        <w:t>محدوده‌ای</w:t>
      </w:r>
      <w:r w:rsidRPr="0053265E">
        <w:rPr>
          <w:rtl/>
        </w:rPr>
        <w:t xml:space="preserve"> </w:t>
      </w:r>
      <w:r w:rsidRPr="0053265E">
        <w:rPr>
          <w:rFonts w:hint="cs"/>
          <w:rtl/>
        </w:rPr>
        <w:t>است</w:t>
      </w:r>
      <w:r w:rsidRPr="0053265E">
        <w:rPr>
          <w:rtl/>
        </w:rPr>
        <w:t xml:space="preserve"> </w:t>
      </w:r>
      <w:r w:rsidRPr="0053265E">
        <w:rPr>
          <w:rtl/>
        </w:rPr>
        <w:t>که شیفانو و نیدربرگر (۲۰۲۵)</w:t>
      </w:r>
      <w:r w:rsidRPr="0053265E">
        <w:rPr>
          <w:rStyle w:val="FootnoteReference"/>
        </w:rPr>
        <w:footnoteReference w:id="14"/>
      </w:r>
      <w:r w:rsidRPr="0053265E">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sidRPr="0053265E">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14:paraId="7A7B94FF" w14:textId="77777777" w:rsidR="00EB30A8" w:rsidRDefault="00A23C08">
      <w:pPr>
        <w:pStyle w:val="Heading2"/>
        <w:keepNext/>
        <w:bidi/>
        <w:spacing w:before="240" w:after="80"/>
        <w:jc w:val="lowKashida"/>
        <w:rPr>
          <w:sz w:val="32"/>
          <w:szCs w:val="32"/>
        </w:rPr>
      </w:pPr>
      <w:r>
        <w:rPr>
          <w:sz w:val="32"/>
          <w:szCs w:val="32"/>
        </w:rPr>
        <w:t>۳-۸ ملاحظات اخلاقی پژوهش</w:t>
      </w:r>
    </w:p>
    <w:p>
      <w:pPr>
        <w:bidi/>
        <w:spacing w:after="80"/>
        <w:jc w:val="lowKashida"/>
      </w:pPr>
      <w:r>
        <w:rPr>
          <w:rtl/>
        </w:rPr>
        <w:t xml:space="preserve">پیش از آغاز دور نخست، هدف پژوهش و نحوه استفاده از داده‌ها برای هر عضو پانل تشریح شد و مشارکت او با رضایت آگاهانه و به صورت داوطلبانه صورت گرفت.</w:t>
      </w:r>
      <w:r>
        <w:rPr>
          <w:rtl/>
        </w:rPr>
        <w:t xml:space="preserve"> درج نام در فرم‌های پژوهش اختیاری بود و اعضای پانل در گزارش پژوهش با کدهای خ۱ تا خ۷ نشان داده شده‌اند تا محرمانگی هویت آنان و نام شرکت‌های محل فعالیتشان حفظ شود.</w:t>
      </w:r>
    </w:p>
    <w:p w14:paraId="6B0850FD" w14:textId="77777777" w:rsidR="00EB30A8" w:rsidRPr="00A23C08" w:rsidRDefault="00A23C08" w:rsidP="00A23C08">
      <w:pPr>
        <w:bidi/>
        <w:jc w:val="both"/>
      </w:pPr>
      <w:r w:rsidRPr="00A23C08">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sectPr w:rsidR="00EB30A8" w:rsidRPr="00A23C08">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24B43" w14:textId="77777777" w:rsidR="007A4561" w:rsidRDefault="007A4561" w:rsidP="007A4561">
      <w:pPr>
        <w:spacing w:line="240" w:lineRule="auto"/>
      </w:pPr>
      <w:r>
        <w:separator/>
      </w:r>
    </w:p>
  </w:endnote>
  <w:endnote w:type="continuationSeparator" w:id="0">
    <w:p w14:paraId="7A5C0EB9" w14:textId="77777777" w:rsidR="007A4561" w:rsidRDefault="007A4561" w:rsidP="007A45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A23C08" w:rsidP="00760CDA">
      <w:pPr>
        <w:spacing w:line="240" w:lineRule="auto"/>
      </w:pPr>
      <w:r>
        <w:separator/>
      </w:r>
    </w:p>
  </w:footnote>
  <w:footnote w:type="continuationSeparator" w:id="0">
    <w:p w14:paraId="01BFD269" w14:textId="77777777" w:rsidR="000C76BC" w:rsidRDefault="00A23C08" w:rsidP="00760CDA">
      <w:pPr>
        <w:spacing w:line="240" w:lineRule="auto"/>
      </w:pPr>
      <w:r>
        <w:continuationSeparator/>
      </w:r>
    </w:p>
  </w:footnote>
  <w:footnote w:id="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Saunders et al., 2023</w:t>
      </w:r>
    </w:p>
  </w:footnote>
  <w:footnote w:id="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Beiderbeck et al., 2021</w:t>
      </w:r>
    </w:p>
  </w:footnote>
  <w:footnote w:id="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5">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6">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7">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2006</w:t>
      </w:r>
    </w:p>
  </w:footnote>
  <w:footnote w:id="8">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2021</w:t>
      </w:r>
    </w:p>
  </w:footnote>
  <w:footnote w:id="9">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0">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1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Schmidt, 1997</w:t>
      </w:r>
    </w:p>
  </w:footnote>
  <w:footnote w:id="1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561"/>
    <w:rsid w:val="002A595D"/>
    <w:rsid w:val="00441A98"/>
    <w:rsid w:val="0048646F"/>
    <w:rsid w:val="0053265E"/>
    <w:rsid w:val="00723EBE"/>
    <w:rsid w:val="007A4561"/>
    <w:rsid w:val="008C55AE"/>
    <w:rsid w:val="00A23C08"/>
    <w:rsid w:val="00AC3E3F"/>
    <w:rsid w:val="00AF356D"/>
    <w:rsid w:val="00E51E8F"/>
    <w:rsid w:val="00EB30A8"/>
    <w:rsid w:val="00EF16F2"/>
    <w:rsid w:val="00F33EF9"/>
    <w:rsid w:val="00FB7C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A6A06"/>
  <w15:chartTrackingRefBased/>
  <w15:docId w15:val="{A5F3FB24-6327-4A3C-AEBC-52A957519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4561"/>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A4561"/>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A4561"/>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A4561"/>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A4561"/>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561"/>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A4561"/>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A4561"/>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A4561"/>
    <w:rPr>
      <w:rFonts w:ascii="B Nazanin" w:eastAsia="B Nazanin" w:hAnsi="B Nazanin" w:cs="B Nazanin"/>
      <w:b/>
      <w:bCs/>
      <w:color w:val="000000"/>
      <w:sz w:val="28"/>
      <w:szCs w:val="28"/>
      <w:lang w:bidi="fa-IR"/>
    </w:rPr>
  </w:style>
  <w:style w:type="character" w:styleId="FootnoteReference">
    <w:name w:val="footnote reference"/>
    <w:uiPriority w:val="99"/>
    <w:semiHidden/>
    <w:unhideWhenUsed/>
    <w:rsid w:val="007A4561"/>
    <w:rPr>
      <w:vertAlign w:val="superscript"/>
    </w:rPr>
  </w:style>
  <w:style w:type="paragraph" w:customStyle="1" w:styleId="TableCaption">
    <w:name w:val="TableCaption"/>
    <w:rsid w:val="007A4561"/>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7A4561"/>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1497</Words>
  <Characters>8539</Characters>
  <Application>Microsoft Office Word</Application>
  <DocSecurity>0</DocSecurity>
  <Lines>71</Lines>
  <Paragraphs>20</Paragraphs>
  <ScaleCrop>false</ScaleCrop>
  <Company/>
  <LinksUpToDate>false</LinksUpToDate>
  <CharactersWithSpaces>10016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6</cp:revision>
  <dcterms:created xsi:type="dcterms:W3CDTF">2026-10-20T13:59:00Z</dcterms:created>
  <dcterms:modified xsi:type="dcterms:W3CDTF">2026-10-20T20:18:00Z</dcterms:modified>
</cp:coreProperties>
</file>