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و وزن‌دهی به روش AHP را به ترتیب اجرا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پاسخ پرسش‌های پژوهش آمده است: فهرست چالش‌ها، و اولویت آن‌ها که با روش AHP گزارش می‌شود؛ به این ترتیب که پرسشنامه دور سوم توزیع شد، سپس وزن هر گویه و پس از آن وزن هر مؤلفه به دست آمد.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jc w:val="lowKashida"/>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r>
        <w:t xml:space="preserve">جدول ۴-۶ گویه‌های استخراج‌شده از دور نخست به تفکیک اعضای اشاره‌کننده و همتای ادبی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rsidR="00E94CEF" w14:paraId="2F13DA5E" w14:textId="77777777">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۴-۷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14:paraId="3A1C1F71" w14:textId="77777777" w:rsidR="00E94CEF" w:rsidRDefault="00153DD1">
      <w:pPr>
        <w:pStyle w:val="TableCaption"/>
        <w:keepNext/>
        <w:spacing w:before="160" w:after="80"/>
        <w:jc w:val="center"/>
        <w:rPr>
          <w:vanish/>
        </w:rPr>
      </w:pPr>
      <w:r>
        <w:t xml:space="preserve">جدول ۴-۹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۴-۹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4"/>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5"/>
      </w:r>
      <w:r>
        <w:rPr>
          <w:rtl/>
        </w:rPr>
        <w:t xml:space="preserve">.</w:t>
      </w:r>
    </w:p>
    <w:p>
      <w:pPr>
        <w:pStyle w:val="TableCaption"/>
        <w:keepNext/>
        <w:spacing w:before="160" w:after="80"/>
        <w:jc w:val="center"/>
        <w:rPr>
          <w:vanish/>
        </w:rPr>
      </w:pPr>
      <w:r>
        <w:t xml:space="preserve">جدول ۴-۱۰ ضریب همبستگی رتبه‌ای میان امتیازهای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bl>
    <w:p w14:paraId="1D598F91" w14:textId="77777777" w:rsidR="00E94CEF" w:rsidRDefault="00E94CEF">
      <w:pPr>
        <w:bidi/>
        <w:jc w:val="lowKashida"/>
      </w:pPr>
    </w:p>
    <w:p>
      <w:pPr>
        <w:bidi/>
        <w:spacing w:after="80"/>
        <w:jc w:val="lowKashida"/>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jc w:val="lowKashida"/>
      </w:pPr>
      <w:r>
        <w:t xml:space="preserve">۴-۶ پاسخ به پرسش‌های پژوهش</w:t>
      </w:r>
    </w:p>
    <w:p>
      <w:pPr>
        <w:pStyle w:val="Heading3"/>
        <w:keepNext/>
        <w:bidi/>
        <w:spacing w:before="180" w:after="80"/>
        <w:jc w:val="lowKashida"/>
      </w:pPr>
      <w:r>
        <w:t xml:space="preserve">۴-۶-۱ پاسخ به پرسش نخست: چالش‌های فروش</w:t>
      </w:r>
    </w:p>
    <w:p>
      <w:pPr>
        <w:bidi/>
        <w:spacing w:after="80"/>
        <w:jc w:val="lowKashida"/>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jc w:val="lowKashida"/>
      </w:pPr>
      <w:r>
        <w:t xml:space="preserve">۴-۶-۲ پاسخ به پرسش دوم: وزن‌دهی و اولویت‌بندی به روش AHP</w:t>
      </w: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برای پاسخ، وزن‌دهی به روش فرایند تحلیل سلسله‌مراتبی (AHP) انجام شد (ساعتی، ۱۹۸۰)</w:t>
      </w:r>
      <w:r>
        <w:rPr>
          <w:rStyle w:val="FootnoteReference"/>
        </w:rPr>
        <w:footnoteReference w:id="6"/>
      </w:r>
      <w:r>
        <w:rPr>
          <w:rtl/>
        </w:rPr>
        <w:t xml:space="preserve">. گام‌های این روش، به همان ترتیبی که در بخش ۳-۷-۳ آمد، در ادامه گزارش می‌شود: توزیع پرسشنامه، وزن گویه‌ها و سپس وزن مؤلفه‌ها.</w:t>
      </w:r>
    </w:p>
    <w:p>
      <w:pPr>
        <w:bidi/>
        <w:spacing w:after="80"/>
        <w:jc w:val="lowKashida"/>
      </w:pPr>
      <w:r>
        <w:rPr>
          <w:rtl/>
        </w:rPr>
        <w:t xml:space="preserve">گام نخست، توزیع پرسشنامه: پرسشنامه دور سوم (پیوست پ)، که ۲۹ گویه را بر طیف پنج‌درجه‌ای در بر داشت، میان هر هفت عضو پانل توزیع شد و هر هفت عضو آن را تکمیل کردند. میانگین امتیاز هر گویه در جدول ۴-۸ آمده است.</w:t>
      </w:r>
    </w:p>
    <w:p>
      <w:pPr>
        <w:bidi/>
        <w:spacing w:after="80"/>
        <w:jc w:val="lowKashida"/>
      </w:pPr>
      <w:r>
        <w:rPr>
          <w:rtl/>
        </w:rPr>
        <w:t xml:space="preserve">گام دوم، وزن گویه‌ها: مجموع میانگین‌های ۲۹ گویه ۱۱۸٫۰۰ شد و وزن هر گویه از تقسیم میانگین آن بر این مجموع به دست آمد؛ برای نمونه، وزن گویه‌ای با میانگین ۵٫۰۰ برابر ۰٫۰۴۲۴ (حاصل تقسیم ۵٫۰۰ بر ۱۱۸٫۰۰) است. جدول ۴-۱۱ وزن و رتبه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r>
        <w:t xml:space="preserve">جدول ۴-۱۱ وزن AHP و رتبه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00"/>
        <w:gridCol w:w="4600"/>
        <w:gridCol w:w="1700"/>
        <w:gridCol w:w="1188"/>
      </w:tblGrid>
      <w:tr>
        <w:trPr>
          <w:cantSplit/>
          <w:tblHeader/>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8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6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14:paraId="1D598F91" w14:textId="77777777" w:rsidR="00E94CEF" w:rsidRDefault="00E94CEF">
      <w:pPr>
        <w:bidi/>
        <w:jc w:val="lowKashida"/>
      </w:pPr>
    </w:p>
    <w:p>
      <w:pPr>
        <w:bidi/>
        <w:spacing w:after="80"/>
        <w:jc w:val="lowKashida"/>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bidi/>
        <w:spacing w:after="80"/>
        <w:jc w:val="lowKashida"/>
      </w:pPr>
      <w:r>
        <w:rPr>
          <w:rtl/>
        </w:rPr>
        <w:t xml:space="preserve">گام سوم، تشکیل سلسله‌مراتب و وزن مؤلفه‌ها: برای تشکیل سلسله‌مراتب AHP، گویه‌ها بر پایه شباهت مضمونی در نُه مؤلفه سازمان‌دهی شدند: پنج مؤلفه درون‌سازمانی با ۱۸ گویه و چهار مؤلفه برون‌سازمانی با ۱۱ گویه. وزن هر مؤلفه از وزن گویه‌های آن به دست آمد: میانگین وزن گویه‌های هر مؤلفه محاسبه و بر مجموع این میانگین‌ها در نُه مؤلفه تقسیم شد تا مجموع وزن مؤلفه‌ها برابر یک شود. چون وزن هر گویه با میانگین امتیاز آن متناسب است، وزن مؤلفه با سهم میانگین امتیاز آن از مجموع میانگین امتیاز نُه مؤلفه (۳۷٫۰۱) برابر است. جدول ۴-۱۲ وزن و رتبه مؤلفه‌ها را نشان می‌دهد.</w:t>
      </w:r>
    </w:p>
    <w:p>
      <w:pPr>
        <w:pStyle w:val="TableCaption"/>
        <w:keepNext/>
        <w:spacing w:before="160" w:after="80"/>
        <w:jc w:val="center"/>
        <w:rPr>
          <w:vanish/>
        </w:rPr>
      </w:pPr>
      <w:r>
        <w:t xml:space="preserve">جدول ۴-۱۲ وزن AHP و رتبه مؤلفه‌های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50"/>
        <w:gridCol w:w="3000"/>
        <w:gridCol w:w="1450"/>
        <w:gridCol w:w="750"/>
        <w:gridCol w:w="1200"/>
        <w:gridCol w:w="1238"/>
      </w:tblGrid>
      <w:tr>
        <w:trPr>
          <w:cantSplit/>
          <w:tblHeader/>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3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7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۲۹</w:t>
            </w:r>
          </w:p>
        </w:tc>
        <w:tc>
          <w:tcPr>
            <w:tcW w:w="1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14:paraId="1D598F91" w14:textId="77777777" w:rsidR="00E94CEF" w:rsidRDefault="00E94CEF">
      <w:pPr>
        <w:bidi/>
        <w:jc w:val="lowKashida"/>
      </w:pPr>
    </w:p>
    <w:p>
      <w:pPr>
        <w:bidi/>
        <w:spacing w:after="80"/>
        <w:jc w:val="lowKashida"/>
      </w:pPr>
      <w:r>
        <w:rPr>
          <w:rtl/>
        </w:rPr>
        <w:t xml:space="preserve">مؤلفه «فشارهای اقتصاد کلان و کاهش قدرت خرید» با وزن ۰٫۱۲۲ در رتبه نخست قرار گرفت و مؤلفه‌های «تغییر ذائقه مصرف‌کننده و محدودیت بازار هدف» (۰٫۱۲۰) و «شدت رقابت و فشار قیمتی بازار» (۰٫۱۱۷) در رتبه‌های دوم و سوم ایستادند.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از این رو جدا کردن دسته‌های بالا و پایین جدول از یکدیگر اطمینان بیشتری دارد تا ترتیب دقیق مؤلفه‌های مجاور. تفسیر این الگو در فصل پنجم ارائه خواهد شد.</w:t>
      </w:r>
    </w:p>
    <w:p>
      <w:pPr>
        <w:pStyle w:val="Heading2"/>
        <w:keepNext/>
        <w:bidi/>
        <w:spacing w:before="180" w:after="80"/>
        <w:jc w:val="lowKashida"/>
      </w:pPr>
      <w:r>
        <w:t xml:space="preserve">۴-۷ خلاصه فصل</w:t>
      </w:r>
    </w:p>
    <w:p>
      <w:pPr>
        <w:bidi/>
        <w:spacing w:after="80"/>
        <w:jc w:val="lowKashida"/>
      </w:pPr>
      <w:r>
        <w:rPr>
          <w:rtl/>
        </w:rPr>
        <w:t xml:space="preserve">این فصل یافته‌های اجرای کامل فرایند دلفی سه‌دوره‌ای با پانل هفت‌نفره خبرگان صنعت مواد غذایی و وزن‌دهی به روش AHP را ارائه کرد. دور نخست، که مصاحبه‌ای با یک پرسش باز بود، پس از تحلیل مضمون و ترکیب با چالش‌های برگرفته از ادبیات، به ۲۹ گویه انجامید (جدول ۴-۶). در دورهای دوم و سوم، پانل اهمیت گویه‌ها را بر طیف پنج‌درجه‌ای امتیاز داد؛ ضریب هماهنگی کندال از دور دوم (W=۰٫۲۲۴) به دور سوم (W=۰٫۷۵۶)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نیز نشان داد فرایند به ثبات رسیده است. سپس پرسشنامه دور سوم برای وزن‌دهی به روش AHP به کار رفت: نخست وزن هر گویه از میانگین امتیاز آن (جدول ۴-۱۱) و سپس وزن هر یک از نُه مؤلفه از وزن گویه‌های آن (جدول ۴-۱۲) به دست آمد.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 جدول ۴-۱۳ وزن هر مؤلفه و وزن گویه‌های آن را یکجا نشان می‌دهد.</w:t>
      </w:r>
    </w:p>
    <w:p>
      <w:pPr>
        <w:pStyle w:val="TableCaption"/>
        <w:keepNext/>
        <w:spacing w:before="160" w:after="80"/>
        <w:jc w:val="center"/>
        <w:rPr>
          <w:vanish/>
        </w:rPr>
      </w:pPr>
      <w:r>
        <w:t xml:space="preserve">جدول ۴-۱۳ خلاصه وزن مؤلفه‌ها و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14:paraId="1D598F91" w14:textId="77777777" w:rsidR="00E94CEF" w:rsidRDefault="00E94CEF">
      <w:pPr>
        <w:bidi/>
        <w:jc w:val="lowKashida"/>
      </w:pPr>
    </w:p>
    <w:p>
      <w:pPr>
        <w:bidi/>
        <w:spacing w:after="80"/>
        <w:jc w:val="lowKashida"/>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