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bidi/>
        <w:spacing w:before="5600"/>
        <w:jc w:val="center"/>
      </w:pPr>
      <w:r>
        <w:t>منابع</w:t>
      </w:r>
    </w:p>
    <w:p>
      <w:pPr>
        <w:bidi/>
        <w:jc w:val="lowKashida"/>
      </w:pPr>
      <w:r>
        <w:br w:type="page"/>
      </w:r>
    </w:p>
    <w:p>
      <w:pPr>
        <w:pStyle w:val="Heading2"/>
        <w:keepNext/>
        <w:bidi/>
        <w:spacing w:before="0" w:after="80"/>
        <w:jc w:val="lowKashida"/>
      </w:pPr>
      <w:r>
        <w:t>منابع داخلی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آسیابانی، ن.، کاظم‌پور کهریز، ا.، حسنی‌مقدم، م.، دوراندیش، آ.، و قاسمی، ا. (۱۴۰۴). ارزیابی پایداری ترجیحات مصرف‌کنندگان برنج در کشور. </w:t>
      </w:r>
      <w:r>
        <w:rPr>
          <w:i/>
          <w:iCs/>
          <w:sz w:val="24"/>
          <w:szCs w:val="24"/>
          <w:rtl/>
        </w:rPr>
        <w:t xml:space="preserve">اقتصاد و توسعه کشاورزی، ۳۹</w:t>
      </w:r>
      <w:r>
        <w:rPr>
          <w:sz w:val="24"/>
          <w:szCs w:val="24"/>
          <w:rtl/>
        </w:rPr>
        <w:t xml:space="preserve">(۳)، ۲۷۳–۲۸۹.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https://doi.org/10.22067/jead.2025.93036.1343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اسکندری، م.، دارابی، م.، و اصغری، ح. (۱۴۰۴). شناسایی و ارزیابی موانع حوزه فروش به‌منظور کاهش بحران‌های زنجیره تأمین مواد غذایی. </w:t>
      </w:r>
      <w:r>
        <w:rPr>
          <w:i/>
          <w:iCs/>
          <w:sz w:val="24"/>
          <w:szCs w:val="24"/>
          <w:rtl/>
        </w:rPr>
        <w:t xml:space="preserve">مدیریت زنجیره تأمین، ۲۷</w:t>
      </w:r>
      <w:r>
        <w:rPr>
          <w:sz w:val="24"/>
          <w:szCs w:val="24"/>
          <w:rtl/>
        </w:rPr>
        <w:t xml:space="preserve">(۱، پیاپی ۸۶)، ۱۹–۲۹.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خبرگزاری مهر. (۱۹ اردیبهشت ۱۴۰۳). </w:t>
      </w:r>
      <w:r>
        <w:rPr>
          <w:i/>
          <w:iCs/>
          <w:sz w:val="24"/>
          <w:szCs w:val="24"/>
          <w:rtl/>
        </w:rPr>
        <w:t xml:space="preserve">سهم ۰٫۳ درصدی ایران از صادرات صنایع غذایی جهان</w:t>
      </w:r>
      <w:r>
        <w:rPr>
          <w:sz w:val="24"/>
          <w:szCs w:val="24"/>
          <w:rtl/>
        </w:rPr>
        <w:t xml:space="preserve">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https://www.mehrnews.com/news/6100732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سیدغفوری، س.، ناصحی‌فر، و.، و عسکری، ف. (۱۴۰۳). شناسایی عوامل مؤثر بر استراتژی توزیع در صنایع غذایی با نگرش بازاریابی و فروش آنلاین (فراترکیب). </w:t>
      </w:r>
      <w:r>
        <w:rPr>
          <w:i/>
          <w:iCs/>
          <w:sz w:val="24"/>
          <w:szCs w:val="24"/>
          <w:rtl/>
        </w:rPr>
        <w:t xml:space="preserve">ارزش‌آفرینی در مدیریت کسب‌وکار، ۴</w:t>
      </w:r>
      <w:r>
        <w:rPr>
          <w:sz w:val="24"/>
          <w:szCs w:val="24"/>
          <w:rtl/>
        </w:rPr>
        <w:t xml:space="preserve">(۴)، ۳۳۷–۳۶۲.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https://doi.org/10.22034/jvcbm.2024.463254.1400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صفری، م.، و اسماعیل‌نژاد، د. (۱۴۰۳). شناسایی و اولویت‌بندی موانع فروش محصولات سبز در ترویج الگوی مصرف پایدار با استفاده از روش بهترین–بدترین و تودیم فازی. </w:t>
      </w:r>
      <w:r>
        <w:rPr>
          <w:i/>
          <w:iCs/>
          <w:sz w:val="24"/>
          <w:szCs w:val="24"/>
          <w:rtl/>
        </w:rPr>
        <w:t xml:space="preserve">راهبردهای بازرگانی، ۳۱</w:t>
      </w:r>
      <w:r>
        <w:rPr>
          <w:sz w:val="24"/>
          <w:szCs w:val="24"/>
          <w:rtl/>
        </w:rPr>
        <w:t xml:space="preserve">(۲۳).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https://doi.org/10.22070/cs.2025.20707.1440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قلی‌پور، س.، حسینی، م.، و پیروز، ا. (۱۴۰۳). فرصت‌ها و چالش‌های تجارت محصولات غذایی ایران به بازار عمان. </w:t>
      </w:r>
      <w:r>
        <w:rPr>
          <w:i/>
          <w:iCs/>
          <w:sz w:val="24"/>
          <w:szCs w:val="24"/>
          <w:rtl/>
        </w:rPr>
        <w:t xml:space="preserve">مطالعات کشورها، ۳</w:t>
      </w:r>
      <w:r>
        <w:rPr>
          <w:sz w:val="24"/>
          <w:szCs w:val="24"/>
          <w:rtl/>
        </w:rPr>
        <w:t xml:space="preserve">(۲).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https://doi.org/10.22059/jcountst.2025.387432.1210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کریمی، ا.، حسن‌پور، ح.، و مصدق‌خواه، م. (۱۴۰۳). ارائه الگوی تحلیل اختلالات و تاب‌آوری زنجیره تأمین مواد غذایی. </w:t>
      </w:r>
      <w:r>
        <w:rPr>
          <w:i/>
          <w:iCs/>
          <w:sz w:val="24"/>
          <w:szCs w:val="24"/>
          <w:rtl/>
        </w:rPr>
        <w:t xml:space="preserve">بهبود مدیریت، ۱۸</w:t>
      </w:r>
      <w:r>
        <w:rPr>
          <w:sz w:val="24"/>
          <w:szCs w:val="24"/>
          <w:rtl/>
        </w:rPr>
        <w:t xml:space="preserve">(۲)، ۴۸–۷۳.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https://doi.org/10.22034/jmi.2024.449228.3074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کنعانی، آ. (۱۳۹۴). اولویت‌بندی عوامل مؤثر بر بازاریابی و فروش محصول جدید در کسب‌وکارهای کوچک و متوسط حوزه زیست‌فناوری غذایی. </w:t>
      </w:r>
      <w:r>
        <w:rPr>
          <w:i/>
          <w:iCs/>
          <w:sz w:val="24"/>
          <w:szCs w:val="24"/>
          <w:rtl/>
        </w:rPr>
        <w:t xml:space="preserve">توسعه کارآفرینی، ۸</w:t>
      </w:r>
      <w:r>
        <w:rPr>
          <w:sz w:val="24"/>
          <w:szCs w:val="24"/>
          <w:rtl/>
        </w:rPr>
        <w:t xml:space="preserve">(۲)، ۳۳۳–۳۵۲.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محسنی‌کبیر، ز.، موسوی‌کاشی، ز.، و سیدحسینی‌نیا، س. ش. (۱۴۰۳). تبیین مدل تاب‌آوری کسب‌وکارهای کوچک و متوسط در کشور ایران با رویکرد آمیخته ISM-FDEMATEL. </w:t>
      </w:r>
      <w:r>
        <w:rPr>
          <w:i/>
          <w:iCs/>
          <w:sz w:val="24"/>
          <w:szCs w:val="24"/>
          <w:rtl/>
        </w:rPr>
        <w:t xml:space="preserve">فصلنامه انجمن علوم مدیریت ایران، ۱۹</w:t>
      </w:r>
      <w:r>
        <w:rPr>
          <w:sz w:val="24"/>
          <w:szCs w:val="24"/>
          <w:rtl/>
        </w:rPr>
        <w:t xml:space="preserve">(۷۳)، ۵۷–۹۸.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https://journal.iams.ir/article_419.html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محمدی، ح.، و ثانی‌حیدری، ع. (۱۳۹۵). عوامل مؤثر بر انتخاب نوع استراتژی بازاریابی محصولات صنایع غذایی در مراحل رشد و معرفی محصول (مطالعه موردی شهر مشهد). </w:t>
      </w:r>
      <w:r>
        <w:rPr>
          <w:i/>
          <w:iCs/>
          <w:sz w:val="24"/>
          <w:szCs w:val="24"/>
          <w:rtl/>
        </w:rPr>
        <w:t xml:space="preserve">اقتصاد کشاورزی، ۱۰</w:t>
      </w:r>
      <w:r>
        <w:rPr>
          <w:sz w:val="24"/>
          <w:szCs w:val="24"/>
          <w:rtl/>
        </w:rPr>
        <w:t xml:space="preserve">(۴).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https://www.iranianjae.ir/article_22019.html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محمدی، ح.، ثانی‌حیدری، ع.، و شهرکی، ع. (۱۴۰۱). عوامل مؤثر بر انتخاب استراتژی بازاریابی در مراحل مختلف چرخه عمر محصول. </w:t>
      </w:r>
      <w:r>
        <w:rPr>
          <w:i/>
          <w:iCs/>
          <w:sz w:val="24"/>
          <w:szCs w:val="24"/>
          <w:rtl/>
        </w:rPr>
        <w:t xml:space="preserve">اقتصاد و توسعه کشاورزی، ۳۶</w:t>
      </w:r>
      <w:r>
        <w:rPr>
          <w:sz w:val="24"/>
          <w:szCs w:val="24"/>
          <w:rtl/>
        </w:rPr>
        <w:t xml:space="preserve">(۴)، ۳۳۷–۳۵۲.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https://doi.org/10.22067/jead.2022.17748.0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میثمی‌آزاد، ص.، حاجی‌ها، ع.، عبدالوند، م. ع.، و خیری، ب. (۱۴۰۰). طراحی الگوی برندسازی محصولات سبز در صنعت مواد غذایی. </w:t>
      </w:r>
      <w:r>
        <w:rPr>
          <w:i/>
          <w:iCs/>
          <w:sz w:val="24"/>
          <w:szCs w:val="24"/>
          <w:rtl/>
        </w:rPr>
        <w:t xml:space="preserve">چشم‌انداز مدیریت بازرگانی، ۲۰</w:t>
      </w:r>
      <w:r>
        <w:rPr>
          <w:sz w:val="24"/>
          <w:szCs w:val="24"/>
          <w:rtl/>
        </w:rPr>
        <w:t xml:space="preserve">(۴۷)، ۱۶۴–۱۸۸.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https://doi.org/10.52547/jbmp.20.47.164</w:t>
      </w:r>
    </w:p>
    <w:p>
      <w:pPr>
        <w:bidi/>
        <w:spacing w:after="140"/>
        <w:ind w:left="567" w:hanging="567"/>
      </w:pPr>
      <w:r>
        <w:rPr>
          <w:sz w:val="24"/>
          <w:szCs w:val="24"/>
          <w:rtl/>
        </w:rPr>
        <w:t xml:space="preserve">نجاتی، ن. (۱۴۰۰). بررسی اثرات اعمال استراتژی‌های بازاریابی دیجیتال در توسعه فروش محصولات صنایع غذایی. </w:t>
      </w:r>
      <w:r>
        <w:rPr>
          <w:i/>
          <w:iCs/>
          <w:sz w:val="24"/>
          <w:szCs w:val="24"/>
          <w:rtl/>
        </w:rPr>
        <w:t xml:space="preserve">مطالعات مدیریت، اقتصاد و کارآفرینی، ۲</w:t>
      </w:r>
      <w:r>
        <w:rPr>
          <w:sz w:val="24"/>
          <w:szCs w:val="24"/>
          <w:rtl/>
        </w:rPr>
        <w:t xml:space="preserve">(۴)، ۲۲–۳۸.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https://doi.org/10.22034/jmek.2021.143779</w:t>
      </w:r>
    </w:p>
    <w:p>
      <w:pPr>
        <w:pStyle w:val="Heading2"/>
        <w:keepNext/>
        <w:bidi/>
        <w:spacing w:before="360" w:after="80"/>
        <w:jc w:val="lowKashida"/>
      </w:pPr>
      <w:r>
        <w:t>منابع خارجی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Arte, P., &amp; Larimo, J. (2022). Moderating influence of product diversification on the international diversification-performance relationship: A meta-analysis.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Business Research, 139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1408–1423.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https://doi.org/10.1016/j.jbusres.2021.10.037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Beiderbeck, D., Frevel, N., von der Gracht, H. A., Schmidt, S. L., &amp; Schweitzer, V. M. (2021). Preparing, conducting, and analyzing Delphi surveys: Cross-disciplinary practices, new directions, and advancements.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MethodsX, 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101401.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https://doi.org/10.1016/j.mex.2021.101401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Bernard, A. B., Redding, S. J., &amp; Schott, P. K. (2010). Multiple-product firms and product switching.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American Economic Review, 100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70–97.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https://doi.org/10.1257/aer.100.1.70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Braun, V., &amp; Clarke, V. (2006). Using thematic analysis in psychology.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Qualitative Research in Psychology, 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77–101.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https://doi.org/10.1191/1478088706qp063oa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Braun, V., &amp; Clarke, V. (2021).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Thematic analysis: A practical guide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 SAGE Publications.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Dukhaykh, S., &amp; Alangri, N. (2026). Dynamic capabilities and sustainable competitive advantage in SMEs: The roles of innovation and organizational learning.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Sustainability, 18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(3), Article 1320.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https://doi.org/10.3390/su18031320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Gabaix, X. (2011). The granular origins of aggregate fluctuations.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Econometrica, 79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(3), 733–772.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https://doi.org/10.3982/ECTA8769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Kero, C. A., &amp; Bogale, A. T. (2023). A systematic review of resource-based view and dynamic capabilities of firms and future research avenues.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of Sustainable Development and Planning, 18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(10), 3137–3154.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https://doi.org/10.18280/ijsdp.181016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Kotler, P., &amp; Keller, K. L. (2016).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Marketing management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(15th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Kotler, P., Keller, K. L., &amp; Chernev, A. (2022).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Marketing management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(16th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Landjohou, G., &amp; Christopher, E. (2026). The impact of digital marketing on small and medium enterprises (SMEs) growth: A systematic review.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on Recent Trends in Business and Tourism, 10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1–18.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https://doi.org/10.31674/ijrtbt.2026.v010i01.001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Mammen, J., Alessandri, T. M., &amp; Weiss, M. (2021). The risk implications of diversification: Integrating the effects of product and geographic diversification.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Long Range Planning, 54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Article 101942.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https://doi.org/10.1016/j.lrp.2019.101942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Mangla, S. K., Bhattacharya, A., Yadav, A. K., Sharma, Y. K., Ishizaka, A., Luthra, S., &amp; Chakraborty, R. (2021). A framework to assess the challenges to food safety initiatives in an emerging economy.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Cleaner Production, 284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124709.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https://doi.org/10.1016/j.jclepro.2020.124709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Miklian, J., &amp; Hoelscher, K. (2022). SMEs and exogenous shocks: A conceptual literature review and forward research agenda.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Small Business Journal, 40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178–204.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https://doi.org/10.1177/02662426211050796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Naeem, M., Ozuem, W., Howell, K., &amp; Ranfagni, S. (2023). A step-by-step process of thematic analysis to develop a conceptual model in qualitative research.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of Qualitative Methods, 22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16094069231205789.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https://doi.org/10.1177/16094069231205789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Nasa, P., Jain, R., &amp; Juneja, D. (2021). Delphi methodology in healthcare research: How to decide its appropriateness.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World Journal of Methodology, 11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(4), 116–129.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https://doi.org/10.5662/wjm.v11.i4.116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Okoli, C., &amp; Pawlowski, S. D. (2004). The Delphi method as a research tool: An example, design considerations and applications.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Information &amp; Management, 42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15–29.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https://doi.org/10.1016/j.im.2003.11.002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Pangarkar, N., &amp; Prabhudesai, R. (2024). Using Porter's five forces analysis to drive strategy.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Global Business and Organizational Excellence, 43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(5), 24–34.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https://doi.org/10.1002/joe.22250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Saaty, T. L. (1980).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The analytic hierarchy process: Planning, priority setting, resource allocation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. McGraw-Hill.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Saunders, M. N. K., Lewis, P., &amp; Thornhill, A. (2023).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Research methods for business students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 (9th ed.). Pearson Education.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Schifano, J., &amp; Niederberger, M. (2025). How Delphi studies in the health sciences find consensus: A scoping review.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Systematic Reviews, 14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https://doi.org/10.1186/s13643-024-02738-3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Schmidt, R. C. (1997). Managing Delphi surveys using nonparametric statistical techniques.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Decision Sciences, 28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(3), 763–774.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https://doi.org/10.1111/j.1540-5915.1997.tb01330.x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Schommer, M., Richter, A., &amp; Karna, A. (2019). Does the diversification-firm performance relationship change over time? A meta-analytical review.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Management Studies, 56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270–298.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https://doi.org/10.1111/joms.12393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Shah, P., Dhir, A., Joshi, R., &amp; Tripathy, N. (2023). Opportunities and challenges in food entrepreneurship: In-depth qualitative investigation of millet entrepreneurs.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Business Research, 155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113372.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https://doi.org/10.1016/j.jbusres.2022.113372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Sharabati, A.-A. A., Ali, A. A. A., Allahham, M. I., Hussein, A. A., Alheet, A. F., &amp; Mohammad, A. S. (2024). The impact of digital marketing on the performance of SMEs: An analytical study in light of modern digital transformations.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Sustainability, 16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(19), Article 8667.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https://doi.org/10.3390/su16198667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Singh, G., Daultani, Y., &amp; Sahu, R. (2022). Investigating the barriers to growth in the Indian food processing sector.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OPSEARCH, 59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441–459.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https://doi.org/10.1007/s12597-021-00553-1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Suryati, L., &amp; Lusiah, L. (2022). Distribution channel and prices as critical factors for sales volume improvement.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Journal of Accounting and Finance Management, 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(5), 217–223.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https://doi.org/10.38035/jafm.v3i5.128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Taneo, S. Y. M., Noya, S., Setiyati, E. A., &amp; Melany. (2022). Improving the human resource capability of food SMEs managers through training: A preliminary research.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International Journal of Research in Business and Social Science, 11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(9), 90–96.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https://doi.org/10.20525/ijrbs.v11i9.2163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Thomran, M., Alshallaqi, M., Al-Mamary, Y. H., &amp; Abdulrab, M. (2022). The key enablers of competitive advantage formation in small and medium enterprises: The case of the Ha'il region.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Frontiers in Psychology, 13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Article 1030405.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https://doi.org/10.3389/fpsyg.2022.1030405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Williams, R. I., Jr., &amp; Aaron, J. R. (2018). Specialization as a small business strategic approach.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Small Business Institute Journal, 14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(2), 1–15.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Zain, R. M., Ramli, A., Zain, M. Z. M., Rahim, M. N. A., &amp; Musa, A. (2023). Evaluation and prioritisation of GSCM barriers in food and beverage SMEs using the AHP.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AIP Conference Proceedings, 2827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(1), Article 030057.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https://doi.org/10.1063/5.0164583</w:t>
      </w:r>
    </w:p>
    <w:p>
      <w:pPr>
        <w:spacing w:after="140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</w:rPr>
        <w:t xml:space="preserve">Zain, R. M., Ramli, A., Zain, M. Z. M., Yekini, L. S., Musa, A., Rahim, M. N. A., Dirie, A. N., &amp; Aziz, N. I. C. (2024). An investigation of the barriers and drivers for implementing green supply chain in Malaysian food and beverage SMEs: A qualitative perspective.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</w:rPr>
        <w:t xml:space="preserve">WSEAS Transactions on Business and Economics, 21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, 2169–2189. </w:t>
      </w:r>
      <w:r>
        <w:rPr>
          <w:rFonts w:ascii="Times New Roman" w:hAnsi="Times New Roman" w:cs="Times New Roman" w:eastAsia="Times New Roman"/>
          <w:sz w:val="22"/>
          <w:szCs w:val="22"/>
        </w:rPr>
        <w:t xml:space="preserve">https://doi.org/10.37394/23207.2024.21.179</w:t>
      </w:r>
    </w:p>
    <w:sectPr w:rsidR="00EF16F2">
      <w:pgSz w:w="11906" w:h="16838"/>
      <w:pgMar w:top="1701" w:right="1701" w:bottom="1417" w:left="1417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17047" w14:textId="77777777" w:rsidR="00414E0E" w:rsidRDefault="00414E0E" w:rsidP="00414E0E">
      <w:pPr>
        <w:spacing w:line="240" w:lineRule="auto"/>
      </w:pPr>
      <w:r>
        <w:separator/>
      </w:r>
    </w:p>
  </w:endnote>
  <w:endnote w:type="continuationSeparator" w:id="0">
    <w:p w14:paraId="7DA590FA" w14:textId="77777777" w:rsidR="00414E0E" w:rsidRDefault="00414E0E" w:rsidP="00414E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BBB11D" w14:textId="77777777" w:rsidR="00414E0E" w:rsidRDefault="00414E0E" w:rsidP="00414E0E">
      <w:pPr>
        <w:spacing w:line="240" w:lineRule="auto"/>
      </w:pPr>
      <w:r>
        <w:separator/>
      </w:r>
    </w:p>
  </w:footnote>
  <w:footnote w:type="continuationSeparator" w:id="0">
    <w:p w14:paraId="0AAFFE1E" w14:textId="77777777" w:rsidR="00414E0E" w:rsidRDefault="00414E0E" w:rsidP="00414E0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CE0CA7"/>
    <w:multiLevelType w:val="hybridMultilevel"/>
    <w:tmpl w:val="1A2E951E"/>
    <w:lvl w:ilvl="0" w:tplc="40348366">
      <w:start w:val="1"/>
      <w:numFmt w:val="bullet"/>
      <w:lvlText w:val="●"/>
      <w:lvlJc w:val="left"/>
      <w:pPr>
        <w:ind w:left="720" w:hanging="360"/>
      </w:pPr>
    </w:lvl>
    <w:lvl w:ilvl="1" w:tplc="84845566">
      <w:start w:val="1"/>
      <w:numFmt w:val="bullet"/>
      <w:lvlText w:val="○"/>
      <w:lvlJc w:val="left"/>
      <w:pPr>
        <w:ind w:left="1440" w:hanging="360"/>
      </w:pPr>
    </w:lvl>
    <w:lvl w:ilvl="2" w:tplc="BD9A7008">
      <w:start w:val="1"/>
      <w:numFmt w:val="bullet"/>
      <w:lvlText w:val="■"/>
      <w:lvlJc w:val="left"/>
      <w:pPr>
        <w:ind w:left="2160" w:hanging="360"/>
      </w:pPr>
    </w:lvl>
    <w:lvl w:ilvl="3" w:tplc="72DCD10E">
      <w:start w:val="1"/>
      <w:numFmt w:val="bullet"/>
      <w:lvlText w:val="●"/>
      <w:lvlJc w:val="left"/>
      <w:pPr>
        <w:ind w:left="2880" w:hanging="360"/>
      </w:pPr>
    </w:lvl>
    <w:lvl w:ilvl="4" w:tplc="A82E5F9E">
      <w:start w:val="1"/>
      <w:numFmt w:val="bullet"/>
      <w:lvlText w:val="○"/>
      <w:lvlJc w:val="left"/>
      <w:pPr>
        <w:ind w:left="3600" w:hanging="360"/>
      </w:pPr>
    </w:lvl>
    <w:lvl w:ilvl="5" w:tplc="CB20117C">
      <w:start w:val="1"/>
      <w:numFmt w:val="bullet"/>
      <w:lvlText w:val="■"/>
      <w:lvlJc w:val="left"/>
      <w:pPr>
        <w:ind w:left="4320" w:hanging="360"/>
      </w:pPr>
    </w:lvl>
    <w:lvl w:ilvl="6" w:tplc="0986B4DC">
      <w:start w:val="1"/>
      <w:numFmt w:val="bullet"/>
      <w:lvlText w:val="●"/>
      <w:lvlJc w:val="left"/>
      <w:pPr>
        <w:ind w:left="5040" w:hanging="360"/>
      </w:pPr>
    </w:lvl>
    <w:lvl w:ilvl="7" w:tplc="EB665D00">
      <w:start w:val="1"/>
      <w:numFmt w:val="bullet"/>
      <w:lvlText w:val="●"/>
      <w:lvlJc w:val="left"/>
      <w:pPr>
        <w:ind w:left="5760" w:hanging="360"/>
      </w:pPr>
    </w:lvl>
    <w:lvl w:ilvl="8" w:tplc="5540EA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E0E"/>
    <w:rsid w:val="00414E0E"/>
    <w:rsid w:val="0048646F"/>
    <w:rsid w:val="00723EBE"/>
    <w:rsid w:val="00AF356D"/>
    <w:rsid w:val="00E51E8F"/>
    <w:rsid w:val="00EF16F2"/>
    <w:rsid w:val="00F3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56D6A6E7"/>
  <w15:chartTrackingRefBased/>
  <w15:docId w15:val="{AD187049-148D-4A56-A71D-96D1F10EA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E0E"/>
    <w:pPr>
      <w:spacing w:after="0" w:line="276" w:lineRule="auto"/>
    </w:pPr>
    <w:rPr>
      <w:rFonts w:ascii="B Nazanin" w:eastAsia="B Nazanin" w:hAnsi="B Nazanin" w:cs="B Nazanin"/>
      <w:sz w:val="28"/>
      <w:szCs w:val="28"/>
      <w:lang w:bidi="fa-IR"/>
    </w:rPr>
  </w:style>
  <w:style w:type="paragraph" w:styleId="Heading1">
    <w:name w:val="heading 1"/>
    <w:link w:val="Heading1Char"/>
    <w:uiPriority w:val="9"/>
    <w:qFormat/>
    <w:rsid w:val="00414E0E"/>
    <w:pPr>
      <w:spacing w:after="0" w:line="240" w:lineRule="auto"/>
      <w:outlineLvl w:val="0"/>
    </w:pPr>
    <w:rPr>
      <w:rFonts w:ascii="B Nazanin" w:eastAsia="B Nazanin" w:hAnsi="B Nazanin" w:cs="B Nazanin"/>
      <w:b/>
      <w:bCs/>
      <w:color w:val="000000"/>
      <w:sz w:val="36"/>
      <w:szCs w:val="36"/>
      <w:rtl/>
      <w:lang w:bidi="fa-IR"/>
    </w:rPr>
  </w:style>
  <w:style w:type="paragraph" w:styleId="Heading2">
    <w:name w:val="heading 2"/>
    <w:link w:val="Heading2Char"/>
    <w:uiPriority w:val="9"/>
    <w:unhideWhenUsed/>
    <w:qFormat/>
    <w:rsid w:val="00414E0E"/>
    <w:pPr>
      <w:spacing w:after="0" w:line="240" w:lineRule="auto"/>
      <w:outlineLvl w:val="1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paragraph" w:styleId="Heading3">
    <w:name w:val="heading 3"/>
    <w:link w:val="Heading3Char"/>
    <w:uiPriority w:val="9"/>
    <w:unhideWhenUsed/>
    <w:qFormat/>
    <w:rsid w:val="00414E0E"/>
    <w:pPr>
      <w:spacing w:after="0" w:line="240" w:lineRule="auto"/>
      <w:outlineLvl w:val="2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paragraph" w:styleId="Heading4">
    <w:name w:val="heading 4"/>
    <w:link w:val="Heading4Char"/>
    <w:uiPriority w:val="9"/>
    <w:unhideWhenUsed/>
    <w:qFormat/>
    <w:rsid w:val="00414E0E"/>
    <w:pPr>
      <w:spacing w:after="0" w:line="240" w:lineRule="auto"/>
      <w:outlineLvl w:val="3"/>
    </w:pPr>
    <w:rPr>
      <w:rFonts w:ascii="B Nazanin" w:eastAsia="B Nazanin" w:hAnsi="B Nazanin" w:cs="B Nazanin"/>
      <w:b/>
      <w:bCs/>
      <w:color w:val="000000"/>
      <w:sz w:val="28"/>
      <w:szCs w:val="28"/>
      <w:rtl/>
      <w:lang w:bidi="fa-I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4E0E"/>
    <w:rPr>
      <w:rFonts w:ascii="B Nazanin" w:eastAsia="B Nazanin" w:hAnsi="B Nazanin" w:cs="B Nazanin"/>
      <w:b/>
      <w:bCs/>
      <w:color w:val="000000"/>
      <w:sz w:val="36"/>
      <w:szCs w:val="36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rsid w:val="00414E0E"/>
    <w:rPr>
      <w:rFonts w:ascii="B Nazanin" w:eastAsia="B Nazanin" w:hAnsi="B Nazanin" w:cs="B Nazanin"/>
      <w:b/>
      <w:bCs/>
      <w:color w:val="000000"/>
      <w:sz w:val="28"/>
      <w:szCs w:val="28"/>
      <w:lang w:bidi="fa-IR"/>
    </w:rPr>
  </w:style>
  <w:style w:type="paragraph" w:styleId="ListParagraph">
    <w:name w:val="List Paragraph"/>
    <w:qFormat/>
    <w:rsid w:val="00414E0E"/>
    <w:pPr>
      <w:spacing w:after="0" w:line="276" w:lineRule="auto"/>
    </w:pPr>
    <w:rPr>
      <w:rFonts w:ascii="B Nazanin" w:eastAsia="B Nazanin" w:hAnsi="B Nazanin" w:cs="B Nazanin"/>
      <w:sz w:val="28"/>
      <w:szCs w:val="28"/>
      <w:lang w:bidi="fa-IR"/>
    </w:rPr>
  </w:style>
  <w:style w:type="character" w:styleId="FootnoteReference">
    <w:name w:val="footnote reference"/>
    <w:uiPriority w:val="99"/>
    <w:semiHidden/>
    <w:unhideWhenUsed/>
    <w:rsid w:val="00414E0E"/>
    <w:rPr>
      <w:vertAlign w:val="superscript"/>
    </w:rPr>
  </w:style>
  <w:style w:type="paragraph" w:customStyle="1" w:styleId="TableCaption">
    <w:name w:val="TableCaption"/>
    <w:rsid w:val="00414E0E"/>
    <w:pPr>
      <w:bidi/>
      <w:spacing w:after="0" w:line="240" w:lineRule="auto"/>
      <w:jc w:val="center"/>
    </w:pPr>
    <w:rPr>
      <w:rFonts w:ascii="B Nazanin" w:eastAsia="B Nazanin" w:hAnsi="B Nazanin" w:cs="B Nazanin"/>
      <w:b/>
      <w:bCs/>
      <w:sz w:val="24"/>
      <w:szCs w:val="24"/>
      <w:rtl/>
      <w:lang w:bidi="fa-IR"/>
    </w:rPr>
  </w:style>
  <w:style w:type="paragraph" w:customStyle="1" w:styleId="CaptionSource">
    <w:name w:val="CaptionSource"/>
    <w:rsid w:val="00414E0E"/>
    <w:pPr>
      <w:bidi/>
      <w:spacing w:after="0" w:line="240" w:lineRule="auto"/>
      <w:jc w:val="center"/>
    </w:pPr>
    <w:rPr>
      <w:rFonts w:ascii="B Nazanin" w:eastAsia="B Nazanin" w:hAnsi="B Nazanin" w:cs="B Nazanin"/>
      <w:b/>
      <w:bCs/>
      <w:sz w:val="24"/>
      <w:szCs w:val="24"/>
      <w:rtl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3378</Words>
  <Characters>19256</Characters>
  <Application>Microsoft Office Word</Application>
  <DocSecurity>0</DocSecurity>
  <Lines>160</Lines>
  <Paragraphs>45</Paragraphs>
  <ScaleCrop>false</ScaleCrop>
  <Company/>
  <LinksUpToDate>false</LinksUpToDate>
  <CharactersWithSpaces>22589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منابع</dc:title>
  <dc:subject/>
  <dc:creator>taha abdollahi</dc:creator>
  <cp:keywords/>
  <dc:description/>
  <cp:lastModifiedBy>taha abdollahi</cp:lastModifiedBy>
  <cp:revision>1</cp:revision>
  <dcterms:created xsi:type="dcterms:W3CDTF">2026-10-21T09:56:00Z</dcterms:created>
  <dcterms:modified xsi:type="dcterms:W3CDTF">2026-10-21T09:57:00Z</dcterms:modified>
</cp:coreProperties>
</file>