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pPr>
        <w:bidi/>
        <w:jc w:val="both"/>
      </w:pPr>
      <w:r>
        <w:rPr>
          <w:rtl/>
        </w:rPr>
        <w:t xml:space="preserve">پژوهش حاضر از نظر هدف کاربردی است، زیرا در پی حل مسئله‌ای مشخص در یک صنعت مشخص است.</w:t>
      </w:r>
      <w:r>
        <w:rPr>
          <w:rtl/>
        </w:rPr>
        <w:t xml:space="preserve"> از نظر ماهیت اکتشافی است، چون فهرست تثبیت‌شده‌ای از چالش‌های فروش بنگاه‌های تک‌محصولی در ادبیات داخلی وجود ندارد.</w:t>
      </w:r>
      <w:r>
        <w:rPr>
          <w:rtl/>
        </w:rPr>
        <w:t xml:space="preserve"> از نظر رویکرد نیز آمیخته است: در گام نخست، داده‌ها به‌صورت کیفی و از طریق مصاحبه‌ی باز با اعضای پانل گردآوری می‌شود؛ و در گام‌های بعدی، همان داده از طریق دورهای رتبه‌بندی و بازخورد گروهی، به شکلی کمّی پردازش و به اجماع می‌رسد.</w:t>
      </w:r>
      <w:r>
        <w:rPr>
          <w:rtl/>
        </w:rPr>
        <w:t xml:space="preserve"> 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pPr>
        <w:bidi/>
        <w:jc w:val="both"/>
      </w:pPr>
      <w:r>
        <w:rPr>
          <w:rtl/>
        </w:rPr>
        <w:t xml:space="preserve">داده‌های این پژوهش در دو لایه گردآوری شد.</w:t>
      </w:r>
      <w:r>
        <w:rPr>
          <w:rtl/>
        </w:rPr>
        <w:t xml:space="preserve"> در لایه نخست، مبانی نظری و پیشینه پژوهش از راه مطالعه کتابخانه‌ای و بررسی مقاله‌ها، کتاب‌ها و پایگاه‌های علمی داخلی و خارجی فراهم آمد.</w:t>
      </w:r>
      <w:r>
        <w:rPr>
          <w:rtl/>
        </w:rPr>
        <w:t xml:space="preserve"> در لایه دوم، داده‌های میدانی از طریق سه دور متوالی دلفی از پانل خبرگان گردآوری شد: دور نخست یک مصاحبه‌ی باز بود و دو دور بعد با پرسشنامه اجرا شدند.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یکی از دو منبع ورودی فهرست اولیه گویه‌ها شد؛ منبع دیگر، چالش‌های برگرفته از ادبیات در پایان فصل دوم (جدول ۲-۱) بود. این دو منبع در مرحله ترکیب و بررسی با هم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روش دلفی در سه دور متوالی بود.</w:t>
      </w:r>
      <w:r>
        <w:rPr>
          <w:rtl/>
        </w:rPr>
        <w:t xml:space="preserve"> دور نخست یک مصاحبه‌ی باز با یک پرسش بود که دو بخش داشت: بخش نخست به مشخصات جمعیت‌شناختی عضو پانل اختصاص داشت و بخش دوم شامل پرسش باز اصلی پژوهش می‌شد.</w:t>
      </w:r>
      <w:r>
        <w:rPr>
          <w:rtl/>
        </w:rPr>
        <w:t xml:space="preserve"> دور دوم و سوم با پرسشنامه‌ی دلفی اجرا شدند. فرم خام مصاحبه‌ی دور نخست در پیوست الف، فرم خام پرسشنامه‌ی دور دوم در پیوست ب و فرم خام پرسشنامه‌ی دور سوم در پیوست پ آمده است؛ پرسش اصلی دور نخست همان پرسش باز بود که در بخش ۳-۵ آمد.</w:t>
      </w:r>
    </w:p>
    <w:p>
      <w:pPr>
        <w:bidi/>
        <w:jc w:val="both"/>
      </w:pPr>
      <w:r>
        <w:rPr>
          <w:rtl/>
        </w:rPr>
        <w:t xml:space="preserve">در دورهای بعدی، پرسشنامه بر پایه گویه‌های استخراج‌شده از دور نخست بازطراحی شد و از هر عضو پانل خواسته شد میزان اهمیت هر گویه را امتیاز دهد.</w:t>
      </w:r>
      <w:r>
        <w:rPr>
          <w:rtl/>
        </w:rPr>
        <w:t xml:space="preserve"> 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w:t>
      </w:r>
      <w:r>
        <w:rPr>
          <w:rtl/>
        </w:rPr>
        <w:t xml:space="preserve"> پاسخ‌های کامل‌شده اعضای پانل، به دلیل حجم زیاد در متن پایان‌نامه نیامده‌اند و در صورت نیاز در اختیار داوران قرار می‌گیرند.</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14:paraId="05D5E2FE" w14:textId="2DE90A73" w:rsidR="00EB30A8" w:rsidRPr="00A23C08" w:rsidRDefault="00A23C08" w:rsidP="00A23C08">
      <w:pPr>
        <w:bidi/>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9"/>
      </w:r>
      <w:r w:rsidRPr="00A23C08">
        <w:rPr>
          <w:rtl/>
        </w:rPr>
        <w:t xml:space="preserve"> 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 عاملی از ادبیات تنها زمانی وارد فهرست گویه‌ها شد که در پاسخ خبرگان بازتاب داشته باشد؛ عواملی که در ادبیات آمده بودند، اما خبرگان مطرح نکردند، وارد فهرست نشدند. حاصل این مرحله ۲۹ گویه در نُه مؤلفه بود.</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pPr>
        <w:bidi/>
        <w:jc w:val="both"/>
      </w:pPr>
      <w:r>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امتیاز دهد.</w:t>
      </w:r>
      <w:r>
        <w:rPr>
          <w:rtl/>
        </w:rPr>
        <w:t xml:space="preserve"> 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
      </w:r>
      <w:r>
        <w:rPr>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امتیازهای خود را در دور بعد بازبینی کنند.</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1"/>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pPr>
        <w:bidi/>
        <w:jc w:val="both"/>
      </w:pPr>
      <w:r>
        <w:rPr>
          <w:rtl/>
        </w:rPr>
        <w:t xml:space="preserve">رتبه‌بندی نهایی در دو سطح محاسبه شد.</w:t>
      </w:r>
      <w:r>
        <w:rPr>
          <w:rtl/>
        </w:rPr>
        <w:t xml:space="preserve"> در سطح گویه، هر یک از گویه‌های استخراج‌شده از دور نخست رتبه‌ای جداگانه بر پایه میانگین امتیاز پانل در دور پایانی گرفت.</w:t>
      </w:r>
      <w:r>
        <w:rPr>
          <w:rtl/>
        </w:rPr>
        <w:t xml:space="preserve"> در سطح مؤلفه، امتیاز هر مؤلفه برابر میانگین امتیاز گویه‌های زیرمجموعه آن است.</w:t>
      </w:r>
      <w:r>
        <w:rPr>
          <w:rtl/>
        </w:rPr>
        <w:t xml:space="preserve"> محاسبه دوسطحی، هم امکان اولویت‌بندی عملیاتی در سطح چالش‌های مشخص را فراهم می‌کند و هم تصویری کلان از اهمیت نسبی دسته‌های چالش ارائه می‌دهد.</w:t>
      </w:r>
    </w:p>
    <w:p>
      <w:pPr>
        <w:bidi/>
        <w:jc w:val="both"/>
      </w:pPr>
      <w:r>
        <w:rPr>
          <w:rtl/>
        </w:rPr>
        <w:t xml:space="preserve">برای سنجش آماری این فرایند از سه دسته شاخص استفاده شد.</w:t>
      </w:r>
      <w:r>
        <w:rPr>
          <w:rtl/>
        </w:rPr>
        <w:t xml:space="preserve"> نخست، شاخص‌های توصیفی امتیاز هر گویه در هر دور، یعنی میانگین، میانه، انحراف معیار و دامنه بین‌چارکی.</w:t>
      </w:r>
      <w:r>
        <w:rPr>
          <w:rtl/>
        </w:rPr>
        <w:t xml:space="preserve"> دوم، ضریب هماهنگی کندال (W) برای سنجش میزان توافق میان رتبه‌های حاصل از امتیازهای اعضای پانل در هر دور، که در دلفی‌های مبتنی بر رتبه‌بندی به کار می‌رود (اشمیت، ۱۹۹۷)</w:t>
      </w:r>
      <w:r>
        <w:rPr>
          <w:rStyle w:val="FootnoteReference"/>
        </w:rPr>
        <w:footnoteReference w:id="12"/>
      </w:r>
      <w:r>
        <w:rPr>
          <w:rtl/>
        </w:rPr>
        <w:t xml:space="preserve">؛ برای محاسبه آن، امتیازهای هر عضو به رتبه تبدیل شد و امتیازهای برابر میانگین رتبه‌های خود را گرفتند؛ معناداری آن با آزمون مجذور کای 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w:t>
      </w:r>
      <w:r>
        <w:rPr>
          <w:rtl/>
        </w:rPr>
        <w:t xml:space="preserve"> نتایج این محاسبه‌ها در بخش ۴ گزارش شده است و پاسخ‌های کامل‌شده اعضای پانل در اختیار داوران قرار دارد.</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3"/>
      </w:r>
      <w:r>
        <w:rPr>
          <w:rtl/>
        </w:rPr>
        <w:t xml:space="preserve">.</w:t>
      </w:r>
      <w:r>
        <w:rPr>
          <w:rtl/>
        </w:rPr>
        <w:t xml:space="preserve"> سلسله‌مراتب تصمیم در سه سطح تعریف شد: هدف، که شناسایی و اولویت‌بندی چالش‌های فروش است؛ نُه مؤلفه؛ و ۲۹ گویه زیر هر مؤلفه.</w:t>
      </w:r>
      <w:r>
        <w:rPr>
          <w:rtl/>
        </w:rPr>
        <w:t xml:space="preserve"> وزن‌ها بدون محاسبه‌ی مقایسه‌های زوجی و مستقیماً از میانگین امتیاز هر گویه در دور سوم به دست آمدند.</w:t>
      </w:r>
    </w:p>
    <w:p>
      <w:pPr>
        <w:bidi/>
        <w:jc w:val="both"/>
      </w:pPr>
      <w:r>
        <w:rPr>
          <w:rtl/>
        </w:rPr>
        <w:t xml:space="preserve">وزن هر مؤلفه برابر است با سهم میانگین آن از مجموع میانگین‌های نُه مؤلفه.</w:t>
      </w:r>
      <w:r>
        <w:rPr>
          <w:rtl/>
        </w:rPr>
        <w:t xml:space="preserve"> وزن محلی هر گویه برابر است با سهم میانگین آن از مجموع میانگین‌های گویه‌های همان مؤلفه، و وزن سراسری گویه حاصل ضرب وزن مؤلفه در وزن محلی آن است.</w:t>
      </w:r>
      <w:r>
        <w:rPr>
          <w:rtl/>
        </w:rPr>
        <w:t xml:space="preserve"> مجموع وزن‌های سراسری ۲۹ گویه برابر یک است.</w:t>
      </w:r>
      <w:r>
        <w:rPr>
          <w:rtl/>
        </w:rPr>
        <w:t xml:space="preserve"/>
      </w:r>
    </w:p>
    <w:p>
      <w:pPr>
        <w:pStyle w:val="Heading3"/>
        <w:keepNext/>
        <w:bidi/>
        <w:spacing w:before="180" w:after="80"/>
        <w:jc w:val="lowKashida"/>
      </w:pPr>
      <w:r>
        <w:t xml:space="preserve">۳-۷-۴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4"/>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5"/>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pPr>
        <w:bidi/>
        <w:spacing w:after="80"/>
        <w:jc w:val="lowKashida"/>
      </w:pPr>
      <w:r>
        <w:rPr>
          <w:rtl/>
        </w:rPr>
        <w:t xml:space="preserve">پیش از آغاز دور نخست، هدف پژوهش و نحوه استفاده از داده‌ها برای هر عضو پانل تشریح شد و مشارکت او با رضایت آگاهانه و به صورت داوطلبانه صورت گرفت.</w:t>
      </w:r>
      <w:r>
        <w:rPr>
          <w:rtl/>
        </w:rPr>
        <w:t xml:space="preserve"> درج نام در فرم‌های پژوهش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Bingham, 2023</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