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AHP بدون محاسبه‌ی مقایسه‌های زوجی وزن‌دهی شد.</w:t>
      </w:r>
    </w:p>
    <w:p>
      <w:pPr>
        <w:bidi/>
        <w:spacing w:after="80"/>
        <w:jc w:val="lowKashida"/>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jc w:val="lowKashida"/>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5"/>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7"/>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8"/>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9"/>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20"/>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1"/>
      </w:r>
      <w:r>
        <w:rPr>
          <w:rtl/>
        </w:rPr>
        <w:t xml:space="preserve"> و تنوع مرتبط ریسک بنگاه را می‌کاهد (مامن و همکاران، ۲۰۲۱)</w:t>
      </w:r>
      <w:r>
        <w:rPr>
          <w:rStyle w:val="FootnoteReference"/>
        </w:rPr>
        <w:footnoteReference w:id="22"/>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وزن‌های AHP بدون محاسبه‌ی مقایسه‌های زوجی و بر پایه میانگین امتیاز دور سوم محاسبه شدند؛ از این رو بیانگر اهمیت نسبی امتیازها هستند، نه قضاوت‌های زوجی اعضای پانل.</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Schmidt, 1997</w:t>
      </w:r>
    </w:p>
  </w:footnote>
  <w:footnote w:id="21">
    <w:p>
      <w:r>
        <w:rPr>
          <w:rStyle w:val="FootnoteReference"/>
        </w:rPr>
        <w:footnoteRef/>
      </w:r>
      <w:r>
        <w:rPr>
          <w:rFonts w:ascii="Times New Roman" w:eastAsia="Times New Roman" w:hAnsi="Times New Roman" w:cs="Times New Roman"/>
          <w:sz w:val="20"/>
          <w:szCs w:val="20"/>
        </w:rPr>
        <w:t> Arte &amp; Larimo, 2022</w:t>
      </w:r>
    </w:p>
  </w:footnote>
  <w:footnote w:id="22">
    <w:p>
      <w:r>
        <w:rPr>
          <w:rStyle w:val="FootnoteReference"/>
        </w:rPr>
        <w:footnoteRef/>
      </w:r>
      <w:r>
        <w:rPr>
          <w:rFonts w:ascii="Times New Roman" w:eastAsia="Times New Roman" w:hAnsi="Times New Roman" w:cs="Times New Roman"/>
          <w:sz w:val="20"/>
          <w:szCs w:val="20"/>
        </w:rPr>
        <w:t> Mammen et al., 2021</w:t>
      </w:r>
    </w:p>
  </w:footnote>
  <w:footnote w:id="23">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