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و با روش AHP وزن‌دهی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امتیاز دادند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۱۲</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۱۳</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۱۳</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۱۵</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۱۶</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۱۶</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۱۷</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۱۷</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۱۷</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۱۷</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۱۷</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۱۷</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۱۸</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۱۹</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۲۳</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۳۱</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۳۷</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۴۰</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۴۱</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۴۴</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۴۸</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۴۹</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۵۲</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۵۳</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۵۳</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۵۴</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۵۴</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۵۴</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۵۴</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۵۴</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۵۵</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۵۶</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۵۶</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۵۷</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۵۸</w:t>
        </w:r>
        <w:r>
          <w:rPr>
            <w:noProof/>
            <w:rtl/>
          </w:rPr>
          <w:fldChar w:fldCharType="end"/>
        </w:r>
      </w:hyperlink>
    </w:p>
    <w:p>
      <w:pPr>
        <w:pStyle w:val="TOC3"/>
        <w:bidi/>
      </w:pPr>
      <w:hyperlink w:anchor="_Toc200000042" w:history="1">
        <w:r>
          <w:rPr>
            <w:noProof/>
            <w:rtl/>
          </w:rPr>
          <w:t xml:space="preserve">۳ـ۷ـ۴ چرایی انتخاب روش دلفی در میان رویکردهای رقیب</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۵۸</w:t>
        </w:r>
        <w:r>
          <w:rPr>
            <w:noProof/>
            <w:rtl/>
          </w:rPr>
          <w:fldChar w:fldCharType="end"/>
        </w:r>
      </w:hyperlink>
    </w:p>
    <w:p>
      <w:pPr>
        <w:pStyle w:val="TOC2"/>
        <w:bidi/>
      </w:pPr>
      <w:hyperlink w:anchor="_Toc200000043" w:history="1">
        <w:r>
          <w:rPr>
            <w:noProof/>
            <w:rtl/>
          </w:rPr>
          <w:t xml:space="preserve">۳ـ۸ ملاحظات اخلاقی پژوهش</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۵۹</w:t>
        </w:r>
        <w:r>
          <w:rPr>
            <w:noProof/>
            <w:rtl/>
          </w:rPr>
          <w:fldChar w:fldCharType="end"/>
        </w:r>
      </w:hyperlink>
    </w:p>
    <w:p>
      <w:pPr>
        <w:pStyle w:val="TOC1"/>
        <w:bidi/>
      </w:pPr>
      <w:hyperlink w:anchor="_Toc200000044"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۶۰</w:t>
        </w:r>
        <w:r>
          <w:rPr>
            <w:noProof/>
            <w:rtl/>
          </w:rPr>
          <w:fldChar w:fldCharType="end"/>
        </w:r>
      </w:hyperlink>
    </w:p>
    <w:p>
      <w:pPr>
        <w:pStyle w:val="TOC2"/>
        <w:bidi/>
      </w:pPr>
      <w:hyperlink w:anchor="_Toc200000045" w:history="1">
        <w:r>
          <w:rPr>
            <w:noProof/>
            <w:rtl/>
          </w:rPr>
          <w:t xml:space="preserve">۴ـ۱ مقدمه</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2"/>
        <w:bidi/>
      </w:pPr>
      <w:hyperlink w:anchor="_Toc200000046" w:history="1">
        <w:r>
          <w:rPr>
            <w:noProof/>
            <w:rtl/>
          </w:rPr>
          <w:t xml:space="preserve">۴ـ۲ ترکیب پانل خبرگان</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۶۱</w:t>
        </w:r>
        <w:r>
          <w:rPr>
            <w:noProof/>
            <w:rtl/>
          </w:rPr>
          <w:fldChar w:fldCharType="end"/>
        </w:r>
      </w:hyperlink>
    </w:p>
    <w:p>
      <w:pPr>
        <w:pStyle w:val="TOC3"/>
        <w:bidi/>
      </w:pPr>
      <w:hyperlink w:anchor="_Toc200000048"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۶۱</w:t>
        </w:r>
        <w:r>
          <w:rPr>
            <w:noProof/>
            <w:rtl/>
          </w:rPr>
          <w:fldChar w:fldCharType="end"/>
        </w:r>
      </w:hyperlink>
    </w:p>
    <w:p>
      <w:pPr>
        <w:pStyle w:val="TOC2"/>
        <w:bidi/>
      </w:pPr>
      <w:hyperlink w:anchor="_Toc200000057" w:history="1">
        <w:r>
          <w:rPr>
            <w:noProof/>
            <w:rtl/>
          </w:rPr>
          <w:t xml:space="preserve">۴ـ۳ دور نخست دلفی: شناسایی گویه‌ها و مؤلفه‌ها</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۶۵</w:t>
        </w:r>
        <w:r>
          <w:rPr>
            <w:noProof/>
            <w:rtl/>
          </w:rPr>
          <w:fldChar w:fldCharType="end"/>
        </w:r>
      </w:hyperlink>
    </w:p>
    <w:p>
      <w:pPr>
        <w:pStyle w:val="TOC2"/>
        <w:bidi/>
      </w:pPr>
      <w:hyperlink w:anchor="_Toc200000060"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۶۸</w:t>
        </w:r>
        <w:r>
          <w:rPr>
            <w:noProof/>
            <w:rtl/>
          </w:rPr>
          <w:fldChar w:fldCharType="end"/>
        </w:r>
      </w:hyperlink>
    </w:p>
    <w:p>
      <w:pPr>
        <w:pStyle w:val="TOC2"/>
        <w:bidi/>
      </w:pPr>
      <w:hyperlink w:anchor="_Toc200000062"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۷۰</w:t>
        </w:r>
        <w:r>
          <w:rPr>
            <w:noProof/>
            <w:rtl/>
          </w:rPr>
          <w:fldChar w:fldCharType="end"/>
        </w:r>
      </w:hyperlink>
    </w:p>
    <w:p>
      <w:pPr>
        <w:pStyle w:val="TOC3"/>
        <w:bidi/>
      </w:pPr>
      <w:hyperlink w:anchor="_Toc200000064"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۷۳</w:t>
        </w:r>
        <w:r>
          <w:rPr>
            <w:noProof/>
            <w:rtl/>
          </w:rPr>
          <w:fldChar w:fldCharType="end"/>
        </w:r>
      </w:hyperlink>
    </w:p>
    <w:p>
      <w:pPr>
        <w:pStyle w:val="TOC3"/>
        <w:bidi/>
      </w:pPr>
      <w:hyperlink w:anchor="_Toc200000066"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۷۴</w:t>
        </w:r>
        <w:r>
          <w:rPr>
            <w:noProof/>
            <w:rtl/>
          </w:rPr>
          <w:fldChar w:fldCharType="end"/>
        </w:r>
      </w:hyperlink>
    </w:p>
    <w:p>
      <w:pPr>
        <w:pStyle w:val="TOC2"/>
        <w:bidi/>
      </w:pPr>
      <w:hyperlink w:anchor="_Toc200000068" w:history="1">
        <w:r>
          <w:rPr>
            <w:noProof/>
            <w:rtl/>
          </w:rPr>
          <w:t xml:space="preserve">۴ـ۶ پاسخ به پرسش‌های پژوهش و رتبه‌بندی نهایی</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۷۴</w:t>
        </w:r>
        <w:r>
          <w:rPr>
            <w:noProof/>
            <w:rtl/>
          </w:rPr>
          <w:fldChar w:fldCharType="end"/>
        </w:r>
      </w:hyperlink>
    </w:p>
    <w:p>
      <w:pPr>
        <w:pStyle w:val="TOC3"/>
        <w:bidi/>
      </w:pPr>
      <w:hyperlink w:anchor="_Toc200000072" w:history="1">
        <w:r>
          <w:rPr>
            <w:noProof/>
            <w:rtl/>
          </w:rPr>
          <w:t xml:space="preserve">۴ـ۶ـ۱ وزن‌دهی و رتبه‌بندی به روش AHP</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۷۹</w:t>
        </w:r>
        <w:r>
          <w:rPr>
            <w:noProof/>
            <w:rtl/>
          </w:rPr>
          <w:fldChar w:fldCharType="end"/>
        </w:r>
      </w:hyperlink>
    </w:p>
    <w:p>
      <w:pPr>
        <w:pStyle w:val="TOC2"/>
        <w:bidi/>
      </w:pPr>
      <w:hyperlink w:anchor="_Toc200000075" w:history="1">
        <w:r>
          <w:rPr>
            <w:noProof/>
            <w:rtl/>
          </w:rPr>
          <w:t xml:space="preserve">۴ـ۷ جمع‌بندی فصل</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۸۱</w:t>
        </w:r>
        <w:r>
          <w:rPr>
            <w:noProof/>
            <w:rtl/>
          </w:rPr>
          <w:fldChar w:fldCharType="end"/>
        </w:r>
      </w:hyperlink>
    </w:p>
    <w:p>
      <w:pPr>
        <w:pStyle w:val="TOC1"/>
        <w:bidi/>
      </w:pPr>
      <w:hyperlink w:anchor="_Toc200000076" w:history="1">
        <w:r>
          <w:rPr>
            <w:noProof/>
            <w:rtl/>
          </w:rPr>
          <w:t xml:space="preserve">فصل پنجم: بحث و نتیجه‌گیری</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۸۳</w:t>
        </w:r>
        <w:r>
          <w:rPr>
            <w:noProof/>
            <w:rtl/>
          </w:rPr>
          <w:fldChar w:fldCharType="end"/>
        </w:r>
      </w:hyperlink>
    </w:p>
    <w:p>
      <w:pPr>
        <w:pStyle w:val="TOC2"/>
        <w:bidi/>
      </w:pPr>
      <w:hyperlink w:anchor="_Toc200000077" w:history="1">
        <w:r>
          <w:rPr>
            <w:noProof/>
            <w:rtl/>
          </w:rPr>
          <w:t xml:space="preserve">۵ـ۱ مقدمه</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۸۴</w:t>
        </w:r>
        <w:r>
          <w:rPr>
            <w:noProof/>
            <w:rtl/>
          </w:rPr>
          <w:fldChar w:fldCharType="end"/>
        </w:r>
      </w:hyperlink>
    </w:p>
    <w:p>
      <w:pPr>
        <w:pStyle w:val="TOC2"/>
        <w:bidi/>
      </w:pPr>
      <w:hyperlink w:anchor="_Toc200000078" w:history="1">
        <w:r>
          <w:rPr>
            <w:noProof/>
            <w:rtl/>
          </w:rPr>
          <w:t xml:space="preserve">۵ـ۲ مروری بر خلاصه تحقیق</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۸۴</w:t>
        </w:r>
        <w:r>
          <w:rPr>
            <w:noProof/>
            <w:rtl/>
          </w:rPr>
          <w:fldChar w:fldCharType="end"/>
        </w:r>
      </w:hyperlink>
    </w:p>
    <w:p>
      <w:pPr>
        <w:pStyle w:val="TOC2"/>
        <w:bidi/>
      </w:pPr>
      <w:hyperlink w:anchor="_Toc200000079" w:history="1">
        <w:r>
          <w:rPr>
            <w:noProof/>
            <w:rtl/>
          </w:rPr>
          <w:t xml:space="preserve">۵ـ۳ بحث و نتیجه‌گیری</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۸۵</w:t>
        </w:r>
        <w:r>
          <w:rPr>
            <w:noProof/>
            <w:rtl/>
          </w:rPr>
          <w:fldChar w:fldCharType="end"/>
        </w:r>
      </w:hyperlink>
    </w:p>
    <w:p>
      <w:pPr>
        <w:pStyle w:val="TOC3"/>
        <w:bidi/>
      </w:pPr>
      <w:hyperlink w:anchor="_Toc200000080"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۸۵</w:t>
        </w:r>
        <w:r>
          <w:rPr>
            <w:noProof/>
            <w:rtl/>
          </w:rPr>
          <w:fldChar w:fldCharType="end"/>
        </w:r>
      </w:hyperlink>
    </w:p>
    <w:p>
      <w:pPr>
        <w:pStyle w:val="TOC3"/>
        <w:bidi/>
      </w:pPr>
      <w:hyperlink w:anchor="_Toc200000082"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۹۰</w:t>
        </w:r>
        <w:r>
          <w:rPr>
            <w:noProof/>
            <w:rtl/>
          </w:rPr>
          <w:fldChar w:fldCharType="end"/>
        </w:r>
      </w:hyperlink>
    </w:p>
    <w:p>
      <w:pPr>
        <w:pStyle w:val="TOC2"/>
        <w:bidi/>
      </w:pPr>
      <w:hyperlink w:anchor="_Toc200000083" w:history="1">
        <w:r>
          <w:rPr>
            <w:noProof/>
            <w:rtl/>
          </w:rPr>
          <w:t xml:space="preserve">۵ـ۴ پیشنهادات تحقیق</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۹۳</w:t>
        </w:r>
        <w:r>
          <w:rPr>
            <w:noProof/>
            <w:rtl/>
          </w:rPr>
          <w:fldChar w:fldCharType="end"/>
        </w:r>
      </w:hyperlink>
    </w:p>
    <w:p>
      <w:pPr>
        <w:pStyle w:val="TOC2"/>
        <w:bidi/>
      </w:pPr>
      <w:hyperlink w:anchor="_Toc200000084" w:history="1">
        <w:r>
          <w:rPr>
            <w:noProof/>
            <w:rtl/>
          </w:rPr>
          <w:t xml:space="preserve">۵ـ۵ محدودیت‌های پژوهش</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۹۵</w:t>
        </w:r>
        <w:r>
          <w:rPr>
            <w:noProof/>
            <w:rtl/>
          </w:rPr>
          <w:fldChar w:fldCharType="end"/>
        </w:r>
      </w:hyperlink>
    </w:p>
    <w:p>
      <w:pPr>
        <w:pStyle w:val="TOC2"/>
        <w:bidi/>
      </w:pPr>
      <w:hyperlink w:anchor="_Toc200000085"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۹۵</w:t>
        </w:r>
        <w:r>
          <w:rPr>
            <w:noProof/>
            <w:rtl/>
          </w:rPr>
          <w:fldChar w:fldCharType="end"/>
        </w:r>
      </w:hyperlink>
    </w:p>
    <w:p>
      <w:pPr>
        <w:pStyle w:val="TOC1"/>
        <w:bidi/>
      </w:pPr>
      <w:hyperlink w:anchor="_Toc200000086" w:history="1">
        <w:r>
          <w:rPr>
            <w:noProof/>
            <w:rtl/>
          </w:rPr>
          <w:t xml:space="preserve">منابع</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۹۷</w:t>
        </w:r>
        <w:r>
          <w:rPr>
            <w:noProof/>
            <w:rtl/>
          </w:rPr>
          <w:fldChar w:fldCharType="end"/>
        </w:r>
      </w:hyperlink>
    </w:p>
    <w:p>
      <w:pPr>
        <w:pStyle w:val="TOC2"/>
        <w:bidi/>
      </w:pPr>
      <w:hyperlink w:anchor="_Toc200000087" w:history="1">
        <w:r>
          <w:rPr>
            <w:noProof/>
            <w:rtl/>
          </w:rPr>
          <w:t xml:space="preserve">منابع داخلی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۹۸</w:t>
        </w:r>
        <w:r>
          <w:rPr>
            <w:noProof/>
            <w:rtl/>
          </w:rPr>
          <w:fldChar w:fldCharType="end"/>
        </w:r>
      </w:hyperlink>
    </w:p>
    <w:p>
      <w:pPr>
        <w:pStyle w:val="TOC2"/>
        <w:bidi/>
      </w:pPr>
      <w:hyperlink w:anchor="_Toc200000088" w:history="1">
        <w:r>
          <w:rPr>
            <w:noProof/>
            <w:rtl/>
          </w:rPr>
          <w:t xml:space="preserve">منابع خارجی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۹۹</w:t>
        </w:r>
        <w:r>
          <w:rPr>
            <w:noProof/>
            <w:rtl/>
          </w:rPr>
          <w:fldChar w:fldCharType="end"/>
        </w:r>
      </w:hyperlink>
    </w:p>
    <w:p>
      <w:pPr>
        <w:pStyle w:val="TOC1"/>
        <w:bidi/>
      </w:pPr>
      <w:hyperlink w:anchor="_Toc200000089" w:history="1">
        <w:r>
          <w:rPr>
            <w:noProof/>
            <w:rtl/>
          </w:rPr>
          <w:t xml:space="preserve">پیوست‌ها</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۱۰۲</w:t>
        </w:r>
        <w:r>
          <w:rPr>
            <w:noProof/>
            <w:rtl/>
          </w:rPr>
          <w:fldChar w:fldCharType="end"/>
        </w:r>
      </w:hyperlink>
    </w:p>
    <w:p>
      <w:pPr>
        <w:pStyle w:val="TOC2"/>
        <w:bidi/>
      </w:pPr>
      <w:hyperlink w:anchor="_Toc200000090" w:history="1">
        <w:r>
          <w:rPr>
            <w:noProof/>
            <w:rtl/>
          </w:rPr>
          <w:t xml:space="preserve">پیوست الف: فرم خام مصاحبه دور نخست دلفی</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۱۰۳</w:t>
        </w:r>
        <w:r>
          <w:rPr>
            <w:noProof/>
            <w:rtl/>
          </w:rPr>
          <w:fldChar w:fldCharType="end"/>
        </w:r>
      </w:hyperlink>
    </w:p>
    <w:p>
      <w:pPr>
        <w:pStyle w:val="TOC2"/>
        <w:bidi/>
      </w:pPr>
      <w:hyperlink w:anchor="_Toc200000091" w:history="1">
        <w:r>
          <w:rPr>
            <w:noProof/>
            <w:rtl/>
          </w:rPr>
          <w:t xml:space="preserve">پیوست ب: فرم خام پرسشنامه دور دوم دلفی (رتبه‌بندی گویه‌ها)</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۱۰۶</w:t>
        </w:r>
        <w:r>
          <w:rPr>
            <w:noProof/>
            <w:rtl/>
          </w:rPr>
          <w:fldChar w:fldCharType="end"/>
        </w:r>
      </w:hyperlink>
    </w:p>
    <w:p>
      <w:pPr>
        <w:pStyle w:val="TOC2"/>
        <w:bidi/>
      </w:pPr>
      <w:hyperlink w:anchor="_Toc200000092" w:history="1">
        <w:r>
          <w:rPr>
            <w:noProof/>
            <w:rtl/>
          </w:rPr>
          <w:t xml:space="preserve">پیوست پ: فرم خام پرسشنامه دور سوم دلفی (بازنگری رتبه‌بندی با بازخورد گروهی)</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۱۰۹</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۴۹</w:t>
        </w:r>
        <w:r>
          <w:rPr>
            <w:noProof/>
            <w:rtl/>
          </w:rPr>
          <w:fldChar w:fldCharType="end"/>
        </w:r>
      </w:hyperlink>
    </w:p>
    <w:p>
      <w:pPr>
        <w:pStyle w:val="TOC4"/>
        <w:bidi/>
      </w:pPr>
      <w:hyperlink w:anchor="_Toc200000047" w:history="1">
        <w:r>
          <w:rPr>
            <w:noProof/>
            <w:rtl/>
          </w:rPr>
          <w:t xml:space="preserve">جدول ۴-۱ ترکیب نمونه پژوهش</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۶۱</w:t>
        </w:r>
        <w:r>
          <w:rPr>
            <w:noProof/>
            <w:rtl/>
          </w:rPr>
          <w:fldChar w:fldCharType="end"/>
        </w:r>
      </w:hyperlink>
    </w:p>
    <w:p>
      <w:pPr>
        <w:pStyle w:val="TOC4"/>
        <w:bidi/>
      </w:pPr>
      <w:hyperlink w:anchor="_Toc200000049"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۶۲</w:t>
        </w:r>
        <w:r>
          <w:rPr>
            <w:noProof/>
            <w:rtl/>
          </w:rPr>
          <w:fldChar w:fldCharType="end"/>
        </w:r>
      </w:hyperlink>
    </w:p>
    <w:p>
      <w:pPr>
        <w:pStyle w:val="TOC4"/>
        <w:bidi/>
      </w:pPr>
      <w:hyperlink w:anchor="_Toc200000051"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۶۲</w:t>
        </w:r>
        <w:r>
          <w:rPr>
            <w:noProof/>
            <w:rtl/>
          </w:rPr>
          <w:fldChar w:fldCharType="end"/>
        </w:r>
      </w:hyperlink>
    </w:p>
    <w:p>
      <w:pPr>
        <w:pStyle w:val="TOC4"/>
        <w:bidi/>
      </w:pPr>
      <w:hyperlink w:anchor="_Toc200000053"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۶۳</w:t>
        </w:r>
        <w:r>
          <w:rPr>
            <w:noProof/>
            <w:rtl/>
          </w:rPr>
          <w:fldChar w:fldCharType="end"/>
        </w:r>
      </w:hyperlink>
    </w:p>
    <w:p>
      <w:pPr>
        <w:pStyle w:val="TOC4"/>
        <w:bidi/>
      </w:pPr>
      <w:hyperlink w:anchor="_Toc200000055"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۶۴</w:t>
        </w:r>
        <w:r>
          <w:rPr>
            <w:noProof/>
            <w:rtl/>
          </w:rPr>
          <w:fldChar w:fldCharType="end"/>
        </w:r>
      </w:hyperlink>
    </w:p>
    <w:p>
      <w:pPr>
        <w:pStyle w:val="TOC4"/>
        <w:bidi/>
      </w:pPr>
      <w:hyperlink w:anchor="_Toc200000058"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۶۶</w:t>
        </w:r>
        <w:r>
          <w:rPr>
            <w:noProof/>
            <w:rtl/>
          </w:rPr>
          <w:fldChar w:fldCharType="end"/>
        </w:r>
      </w:hyperlink>
    </w:p>
    <w:p>
      <w:pPr>
        <w:pStyle w:val="TOC4"/>
        <w:bidi/>
      </w:pPr>
      <w:hyperlink w:anchor="_Toc200000059"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۶۷</w:t>
        </w:r>
        <w:r>
          <w:rPr>
            <w:noProof/>
            <w:rtl/>
          </w:rPr>
          <w:fldChar w:fldCharType="end"/>
        </w:r>
      </w:hyperlink>
    </w:p>
    <w:p>
      <w:pPr>
        <w:pStyle w:val="TOC4"/>
        <w:bidi/>
      </w:pPr>
      <w:hyperlink w:anchor="_Toc200000061" w:history="1">
        <w:r>
          <w:rPr>
            <w:noProof/>
            <w:rtl/>
          </w:rPr>
          <w:t xml:space="preserve">جدول ۴-۸ آمار توصیفی امتیاز اهمیت گویه‌ها در دور دوم</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۶۸</w:t>
        </w:r>
        <w:r>
          <w:rPr>
            <w:noProof/>
            <w:rtl/>
          </w:rPr>
          <w:fldChar w:fldCharType="end"/>
        </w:r>
      </w:hyperlink>
    </w:p>
    <w:p>
      <w:pPr>
        <w:pStyle w:val="TOC4"/>
        <w:bidi/>
      </w:pPr>
      <w:hyperlink w:anchor="_Toc200000063" w:history="1">
        <w:r>
          <w:rPr>
            <w:noProof/>
            <w:rtl/>
          </w:rPr>
          <w:t xml:space="preserve">جدول ۴-۹ آمار توصیفی امتیاز اهمیت گویه‌ها در دور سوم</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۷۱</w:t>
        </w:r>
        <w:r>
          <w:rPr>
            <w:noProof/>
            <w:rtl/>
          </w:rPr>
          <w:fldChar w:fldCharType="end"/>
        </w:r>
      </w:hyperlink>
    </w:p>
    <w:p>
      <w:pPr>
        <w:pStyle w:val="TOC4"/>
        <w:bidi/>
      </w:pPr>
      <w:hyperlink w:anchor="_Toc200000065"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۷۳</w:t>
        </w:r>
        <w:r>
          <w:rPr>
            <w:noProof/>
            <w:rtl/>
          </w:rPr>
          <w:fldChar w:fldCharType="end"/>
        </w:r>
      </w:hyperlink>
    </w:p>
    <w:p>
      <w:pPr>
        <w:pStyle w:val="TOC4"/>
        <w:bidi/>
      </w:pPr>
      <w:hyperlink w:anchor="_Toc200000067"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۷۴</w:t>
        </w:r>
        <w:r>
          <w:rPr>
            <w:noProof/>
            <w:rtl/>
          </w:rPr>
          <w:fldChar w:fldCharType="end"/>
        </w:r>
      </w:hyperlink>
    </w:p>
    <w:p>
      <w:pPr>
        <w:pStyle w:val="TOC4"/>
        <w:bidi/>
      </w:pPr>
      <w:hyperlink w:anchor="_Toc200000069"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۷۴</w:t>
        </w:r>
        <w:r>
          <w:rPr>
            <w:noProof/>
            <w:rtl/>
          </w:rPr>
          <w:fldChar w:fldCharType="end"/>
        </w:r>
      </w:hyperlink>
    </w:p>
    <w:p>
      <w:pPr>
        <w:pStyle w:val="TOC4"/>
        <w:bidi/>
      </w:pPr>
      <w:hyperlink w:anchor="_Toc200000070"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۷۶</w:t>
        </w:r>
        <w:r>
          <w:rPr>
            <w:noProof/>
            <w:rtl/>
          </w:rPr>
          <w:fldChar w:fldCharType="end"/>
        </w:r>
      </w:hyperlink>
    </w:p>
    <w:p>
      <w:pPr>
        <w:pStyle w:val="TOC4"/>
        <w:bidi/>
      </w:pPr>
      <w:hyperlink w:anchor="_Toc200000071"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۷۷</w:t>
        </w:r>
        <w:r>
          <w:rPr>
            <w:noProof/>
            <w:rtl/>
          </w:rPr>
          <w:fldChar w:fldCharType="end"/>
        </w:r>
      </w:hyperlink>
    </w:p>
    <w:p>
      <w:pPr>
        <w:pStyle w:val="TOC4"/>
        <w:bidi/>
      </w:pPr>
      <w:hyperlink w:anchor="_Toc200000073" w:history="1">
        <w:r>
          <w:rPr>
            <w:noProof/>
            <w:rtl/>
          </w:rPr>
          <w:t xml:space="preserve">جدول ۴-۱۵ وزن AHP و رتبه‌بندی مؤلفه‌های چالش فروش</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۷۹</w:t>
        </w:r>
        <w:r>
          <w:rPr>
            <w:noProof/>
            <w:rtl/>
          </w:rPr>
          <w:fldChar w:fldCharType="end"/>
        </w:r>
      </w:hyperlink>
    </w:p>
    <w:p>
      <w:pPr>
        <w:pStyle w:val="TOC4"/>
        <w:bidi/>
      </w:pPr>
      <w:hyperlink w:anchor="_Toc200000074" w:history="1">
        <w:r>
          <w:rPr>
            <w:noProof/>
            <w:rtl/>
          </w:rPr>
          <w:t xml:space="preserve">جدول ۴-۱۶ وزن AHP سراسری و رتبه‌بندی گویه‌های چالش فروش</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۸۰</w:t>
        </w:r>
        <w:r>
          <w:rPr>
            <w:noProof/>
            <w:rtl/>
          </w:rPr>
          <w:fldChar w:fldCharType="end"/>
        </w:r>
      </w:hyperlink>
    </w:p>
    <w:p>
      <w:pPr>
        <w:pStyle w:val="TOC4"/>
        <w:bidi/>
      </w:pPr>
      <w:hyperlink w:anchor="_Toc200000081"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۸۸</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50"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۶۲</w:t>
        </w:r>
        <w:r>
          <w:rPr>
            <w:noProof/>
            <w:rtl/>
          </w:rPr>
          <w:fldChar w:fldCharType="end"/>
        </w:r>
      </w:hyperlink>
    </w:p>
    <w:p>
      <w:pPr>
        <w:pStyle w:val="TOC4"/>
        <w:bidi/>
      </w:pPr>
      <w:hyperlink w:anchor="_Toc200000052"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۶۳</w:t>
        </w:r>
        <w:r>
          <w:rPr>
            <w:noProof/>
            <w:rtl/>
          </w:rPr>
          <w:fldChar w:fldCharType="end"/>
        </w:r>
      </w:hyperlink>
    </w:p>
    <w:p>
      <w:pPr>
        <w:pStyle w:val="TOC4"/>
        <w:bidi/>
      </w:pPr>
      <w:hyperlink w:anchor="_Toc200000054"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۶۴</w:t>
        </w:r>
        <w:r>
          <w:rPr>
            <w:noProof/>
            <w:rtl/>
          </w:rPr>
          <w:fldChar w:fldCharType="end"/>
        </w:r>
      </w:hyperlink>
    </w:p>
    <w:p>
      <w:pPr>
        <w:pStyle w:val="TOC4"/>
        <w:bidi/>
      </w:pPr>
      <w:hyperlink w:anchor="_Toc200000056"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۶۵</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spacing w:after="80" w:line="276" w:lineRule="auto"/>
        <w:ind w:firstLine="720"/>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w:t>
      </w:r>
      <w:r>
        <w:rPr>
          <w:rFonts w:ascii="Times New Roman" w:hAnsi="Times New Roman" w:cs="Times New Roman" w:eastAsia="Times New Roman"/>
          <w:sz w:val="26"/>
          <w:szCs w:val="26"/>
        </w:rPr>
        <w:t xml:space="preserve">ISM-FDEMATEL</w:t>
      </w:r>
      <w:r>
        <w:rPr>
          <w:rtl/>
        </w:rPr>
        <w:t xml:space="preserve">»،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spacing w:after="80" w:line="276" w:lineRule="auto"/>
        <w:ind w:firstLine="720"/>
        <w:jc w:val="both"/>
      </w:pPr>
      <w:r>
        <w:rPr>
          <w:rtl/>
        </w:rPr>
        <w:t xml:space="preserve">دخیخ و النجری (۲۰۲۶)</w:t>
      </w:r>
      <w:r>
        <w:rPr>
          <w:rStyle w:val="FootnoteReference"/>
        </w:rPr>
        <w:footnoteReference w:id="71"/>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72"/>
      </w:r>
      <w:r>
        <w:rPr>
          <w:rtl/>
        </w:rPr>
        <w:t xml:space="preserve"> است و در کنار هم، تصویری چندوجهی از چالش‌های بنگاه کوچک ارائه می‌دهند.</w:t>
      </w:r>
    </w:p>
    <w:p>
      <w:pPr>
        <w:bidi/>
        <w:spacing w:after="80" w:line="276" w:lineRule="auto"/>
        <w:ind w:firstLine="720"/>
        <w:jc w:val="both"/>
      </w:pPr>
      <w:r>
        <w:rPr>
          <w:rtl/>
        </w:rPr>
        <w:t xml:space="preserve">لاندجوهو و کریستوفر (۲۰۲۶)</w:t>
      </w:r>
      <w:r>
        <w:rPr>
          <w:rStyle w:val="FootnoteReference"/>
        </w:rPr>
        <w:footnoteReference w:id="73"/>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4"/>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spacing w:after="80" w:line="276" w:lineRule="auto"/>
        <w:ind w:firstLine="720"/>
        <w:jc w:val="both"/>
      </w:pPr>
      <w:r>
        <w:rPr>
          <w:rtl/>
        </w:rPr>
        <w:t xml:space="preserve">گوپتا و جگتپ (۲۰۲۴)</w:t>
      </w:r>
      <w:r>
        <w:rPr>
          <w:rStyle w:val="FootnoteReference"/>
        </w:rPr>
        <w:footnoteReference w:id="75"/>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spacing w:after="80" w:line="276" w:lineRule="auto"/>
        <w:ind w:firstLine="720"/>
        <w:jc w:val="both"/>
      </w:pPr>
      <w:r>
        <w:rPr>
          <w:rtl/>
        </w:rPr>
        <w:t xml:space="preserve">زین، رملی، زین، رحیم و موسی (۲۰۲۳)</w:t>
      </w:r>
      <w:r>
        <w:rPr>
          <w:rStyle w:val="FootnoteReference"/>
        </w:rPr>
        <w:footnoteReference w:id="76"/>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spacing w:after="80" w:line="276" w:lineRule="auto"/>
        <w:ind w:firstLine="720"/>
        <w:jc w:val="both"/>
      </w:pPr>
      <w:r>
        <w:rPr>
          <w:rtl/>
        </w:rPr>
        <w:t xml:space="preserve">شاه، دیر، جوشی و تریپاتی (۲۰۲۳)</w:t>
      </w:r>
      <w:r>
        <w:rPr>
          <w:rStyle w:val="FootnoteReference"/>
        </w:rPr>
        <w:footnoteReference w:id="77"/>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spacing w:after="80" w:line="276" w:lineRule="auto"/>
        <w:ind w:firstLine="720"/>
        <w:jc w:val="both"/>
      </w:pPr>
      <w:r>
        <w:rPr>
          <w:rtl/>
        </w:rPr>
        <w:t xml:space="preserve">نعیم و همکاران (۲۰۲۳)</w:t>
      </w:r>
      <w:r>
        <w:rPr>
          <w:rStyle w:val="FootnoteReference"/>
        </w:rPr>
        <w:footnoteReference w:id="78"/>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spacing w:after="80" w:line="276" w:lineRule="auto"/>
        <w:ind w:firstLine="720"/>
        <w:jc w:val="both"/>
      </w:pPr>
      <w:r>
        <w:rPr>
          <w:rtl/>
        </w:rPr>
        <w:t xml:space="preserve">آرته و لاریمو (۲۰۲۲)</w:t>
      </w:r>
      <w:r>
        <w:rPr>
          <w:rStyle w:val="FootnoteReference"/>
        </w:rPr>
        <w:footnoteReference w:id="79"/>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w:t>
      </w:r>
    </w:p>
    <w:p>
      <w:pPr>
        <w:bidi/>
        <w:spacing w:after="80" w:line="276" w:lineRule="auto"/>
        <w:ind w:firstLine="720"/>
        <w:jc w:val="both"/>
      </w:pPr>
      <w:r>
        <w:rPr>
          <w:rtl/>
        </w:rPr>
        <w:t xml:space="preserve">تانئو، نویا، ستیاتی و ملانی (۲۰۲۲)</w:t>
      </w:r>
      <w:r>
        <w:rPr>
          <w:rStyle w:val="FootnoteReference"/>
        </w:rPr>
        <w:footnoteReference w:id="80"/>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spacing w:after="80" w:line="276" w:lineRule="auto"/>
        <w:ind w:firstLine="720"/>
        <w:jc w:val="both"/>
      </w:pPr>
      <w:r>
        <w:rPr>
          <w:rtl/>
        </w:rPr>
        <w:t xml:space="preserve">توماران، الشلاقی، المعماری و عبدالرب (۲۰۲۲)</w:t>
      </w:r>
      <w:r>
        <w:rPr>
          <w:rStyle w:val="FootnoteReference"/>
        </w:rPr>
        <w:footnoteReference w:id="81"/>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spacing w:after="80" w:line="276" w:lineRule="auto"/>
        <w:ind w:firstLine="720"/>
        <w:jc w:val="both"/>
      </w:pPr>
      <w:r>
        <w:rPr>
          <w:rtl/>
        </w:rPr>
        <w:t xml:space="preserve">سینگ، دولتانی و ساهو (۲۰۲۲)</w:t>
      </w:r>
      <w:r>
        <w:rPr>
          <w:rStyle w:val="FootnoteReference"/>
        </w:rPr>
        <w:footnoteReference w:id="8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spacing w:after="80" w:line="276" w:lineRule="auto"/>
        <w:ind w:firstLine="720"/>
        <w:jc w:val="both"/>
      </w:pPr>
      <w:r>
        <w:rPr>
          <w:rtl/>
        </w:rPr>
        <w:t xml:space="preserve">میکلیان و هولشر (۲۰۲۲)</w:t>
      </w:r>
      <w:r>
        <w:rPr>
          <w:rStyle w:val="FootnoteReference"/>
        </w:rPr>
        <w:footnoteReference w:id="83"/>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spacing w:after="80" w:line="276" w:lineRule="auto"/>
        <w:ind w:firstLine="720"/>
        <w:jc w:val="both"/>
      </w:pPr>
      <w:r>
        <w:rPr>
          <w:rtl/>
        </w:rPr>
        <w:t xml:space="preserve">آزم و همکاران (۲۰۲۱)</w:t>
      </w:r>
      <w:r>
        <w:rPr>
          <w:rStyle w:val="FootnoteReference"/>
        </w:rPr>
        <w:footnoteReference w:id="84"/>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spacing w:after="80" w:line="276" w:lineRule="auto"/>
        <w:ind w:firstLine="720"/>
        <w:jc w:val="both"/>
      </w:pPr>
      <w:r>
        <w:rPr>
          <w:rtl/>
        </w:rPr>
        <w:t xml:space="preserve">مامن، الساندری و ویس (۲۰۲۱)</w:t>
      </w:r>
      <w:r>
        <w:rPr>
          <w:rStyle w:val="FootnoteReference"/>
        </w:rPr>
        <w:footnoteReference w:id="85"/>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spacing w:after="80" w:line="276" w:lineRule="auto"/>
        <w:ind w:firstLine="720"/>
        <w:jc w:val="both"/>
      </w:pPr>
      <w:r>
        <w:rPr>
          <w:rtl/>
        </w:rPr>
        <w:t xml:space="preserve">مانگلا و همکاران (۲۰۲۱)</w:t>
      </w:r>
      <w:r>
        <w:rPr>
          <w:rStyle w:val="FootnoteReference"/>
        </w:rPr>
        <w:footnoteReference w:id="86"/>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spacing w:after="80" w:line="276" w:lineRule="auto"/>
        <w:ind w:firstLine="720"/>
        <w:jc w:val="both"/>
      </w:pPr>
      <w:r>
        <w:rPr>
          <w:rtl/>
        </w:rPr>
        <w:t xml:space="preserve">شومر، ریشتر و کارنا (۲۰۱۹)</w:t>
      </w:r>
      <w:r>
        <w:rPr>
          <w:rStyle w:val="FootnoteReference"/>
        </w:rPr>
        <w:footnoteReference w:id="87"/>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spacing w:after="80" w:line="276" w:lineRule="auto"/>
        <w:ind w:firstLine="720"/>
        <w:jc w:val="both"/>
      </w:pPr>
      <w:r>
        <w:rPr>
          <w:rtl/>
        </w:rPr>
        <w:t xml:space="preserve">ویلیامز و آرون (۲۰۱۸)</w:t>
      </w:r>
      <w:r>
        <w:rPr>
          <w:rStyle w:val="FootnoteReference"/>
        </w:rPr>
        <w:footnoteReference w:id="88"/>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spacing w:after="80" w:line="276" w:lineRule="auto"/>
        <w:ind w:firstLine="720"/>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یکی از دو منبع ورودی مرحله ترکیب و بررسی گویه‌ها بود؛ منبع دیگر، کدهای پاسخ‌های دور نخست است.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یکی از دو منبع ورودی فهرست اولیه گویه‌ها شد؛ منبع دیگر، چالش‌های برگرفته از ادبیات در پایان فصل دوم (جدول ۲-۱) بود. این دو منبع در مرحله ترکیب و بررسی با هم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 عاملی از ادبیات تنها زمانی وارد فهرست گویه‌ها شد که در پاسخ خبرگان بازتاب داشته باشد؛ عواملی که در ادبیات آمده بودند، اما خبرگان مطرح نکردند، وارد فهرست نشدند. حاصل این مرحله ۲۹ گویه در نُه مؤلفه بود.</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 xml:space="preserve">رتبه‌بندی نهایی در دو سطح محاسبه شد.</w:t>
      </w:r>
      <w:r>
        <w:rPr>
          <w:rtl/>
        </w:rPr>
        <w:t xml:space="preserve"> در سطح گویه، هر یک از گویه‌های استخراج‌شده از دور نخست رتبه‌ای جداگانه بر پایه میانگین امتیاز پانل در دور پایانی گرفت.</w:t>
      </w:r>
      <w:r>
        <w:rPr>
          <w:rtl/>
        </w:rPr>
        <w:t xml:space="preserve"> در سطح مؤلفه، امتیاز هر مؤلفه برابر میانگین امتیاز گویه‌های زیرمجموعه آن است.</w:t>
      </w:r>
      <w:r>
        <w:rPr>
          <w:rtl/>
        </w:rPr>
        <w:t xml:space="preserve">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06"/>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07"/>
      </w:r>
      <w:r>
        <w:rPr>
          <w:rtl/>
        </w:rPr>
        <w:t xml:space="preserve">.</w:t>
      </w:r>
      <w:r>
        <w:rPr>
          <w:rtl/>
        </w:rPr>
        <w:t xml:space="preserve"> سلسله‌مراتب تصمیم در سه سطح تعریف شد: هدف، که شناسایی و اولویت‌بندی چالش‌های فروش است؛ نُه مؤلفه؛ و ۲۹ گویه زیر هر مؤلفه.</w:t>
      </w:r>
      <w:r>
        <w:rPr>
          <w:rtl/>
        </w:rPr>
        <w:t xml:space="preserve"> وزن‌ها بدون محاسبه‌ی مقایسه‌های زوجی و مستقیماً از میانگین امتیاز هر گویه در دور سوم به دست آمدند.</w:t>
      </w:r>
    </w:p>
    <w:p>
      <w:pPr>
        <w:bidi/>
        <w:spacing w:after="80" w:line="276" w:lineRule="auto"/>
        <w:ind w:firstLine="720"/>
        <w:jc w:val="both"/>
      </w:pPr>
      <w:r>
        <w:rPr>
          <w:rtl/>
        </w:rPr>
        <w:t xml:space="preserve">وزن هر مؤلفه برابر است با سهم میانگین آن از مجموع میانگین‌های نُه مؤلفه.</w:t>
      </w:r>
      <w:r>
        <w:rPr>
          <w:rtl/>
        </w:rPr>
        <w:t xml:space="preserve"> وزن محلی هر گویه برابر است با سهم میانگین آن از مجموع میانگین‌های گویه‌های همان مؤلفه، و وزن سراسری گویه حاصل ضرب وزن مؤلفه در وزن محلی آن است.</w:t>
      </w:r>
      <w:r>
        <w:rPr>
          <w:rtl/>
        </w:rPr>
        <w:t xml:space="preserve"> مجموع وزن‌های سراسری ۲۹ گویه برابر یک است.</w:t>
      </w:r>
      <w:r>
        <w:rPr>
          <w:rtl/>
        </w:rPr>
        <w:t xml:space="preserve"/>
      </w:r>
    </w:p>
    <w:p>
      <w:pPr>
        <w:pStyle w:val="Heading3"/>
        <w:keepNext/>
        <w:bidi/>
        <w:spacing w:before="180" w:after="80"/>
      </w:pPr>
      <w:bookmarkStart w:id="42" w:name="_Toc200000042"/>
      <w:r>
        <w:t xml:space="preserve">۳ـ۷ـ۴ چرایی انتخاب روش دلفی در میان رویکردهای رقیب</w:t>
      </w:r>
      <w:bookmarkEnd w:id="42"/>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8"/>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9"/>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3" w:name="_Toc200000043"/>
      <w:r>
        <w:t>۳ـ۸ ملاحظات اخلاقی پژوهش</w:t>
      </w:r>
      <w:bookmarkEnd w:id="43"/>
    </w:p>
    <w:p>
      <w:pPr>
        <w:bidi/>
        <w:spacing w:after="80"/>
        <w:ind w:firstLine="720"/>
        <w:jc w:val="both"/>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4" w:name="_Toc200000044"/>
            <w:r>
              <w:rPr>
                <w:rtl/>
              </w:rPr>
              <w:t xml:space="preserve">فصل چهارم: تجزیه و تحلیل داده‌ها</w:t>
            </w:r>
            <w:bookmarkEnd w:id="44"/>
          </w:p>
        </w:tc>
      </w:tr>
    </w:tbl>
    <w:p>
      <w:pPr>
        <w:pStyle w:val="Heading2"/>
        <w:keepNext/>
        <w:pageBreakBefore/>
        <w:bidi/>
        <w:spacing w:before="240" w:after="80"/>
      </w:pPr>
      <w:bookmarkStart w:id="45" w:name="_Toc200000045"/>
      <w:r>
        <w:t xml:space="preserve">۴ـ۱ مقدمه</w:t>
      </w:r>
      <w:bookmarkEnd w:id="45"/>
    </w:p>
    <w:p>
      <w:pPr>
        <w:bidi/>
        <w:spacing w:after="80"/>
        <w:ind w:firstLine="720"/>
        <w:jc w:val="both"/>
      </w:pPr>
      <w:r>
        <w:rPr>
          <w:rtl/>
        </w:rPr>
        <w:t xml:space="preserve">این فصل یافته‌های سه دور دلفی را به ترتیبی که اجرا شدند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w:t>
      </w:r>
      <w:r>
        <w:rPr>
          <w:rFonts w:ascii="Times New Roman" w:hAnsi="Times New Roman" w:cs="Times New Roman" w:eastAsia="Times New Roman"/>
          <w:sz w:val="26"/>
          <w:szCs w:val="26"/>
        </w:rPr>
        <w:t xml:space="preserve">AHP</w:t>
      </w:r>
      <w:r>
        <w:rPr>
          <w:rtl/>
        </w:rPr>
        <w:t xml:space="preserve"> آن‌ها گزارش می‌شود.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pPr>
      <w:bookmarkStart w:id="46" w:name="_Toc200000046"/>
      <w:r>
        <w:t xml:space="preserve">۴ـ۲ ترکیب پانل خبرگان</w:t>
      </w:r>
      <w:bookmarkEnd w:id="46"/>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7" w:name="_Toc200000047"/>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8" w:name="_Toc200000048"/>
      <w:r>
        <w:t xml:space="preserve">۴ـ۲ـ۱ توزیع فراوانی متغیرهای جمعیت‌شناختی پانل</w:t>
      </w:r>
      <w:bookmarkEnd w:id="48"/>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9" w:name="_Toc200000049"/>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0" w:name="_Toc200000050"/>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0"/>
    </w:p>
    <w:p>
      <w:pPr>
        <w:bidi/>
        <w:jc w:val="both"/>
      </w:pPr>
    </w:p>
    <w:p>
      <w:pPr>
        <w:pStyle w:val="TableCaption"/>
        <w:keepNext/>
        <w:spacing w:before="160" w:after="80"/>
        <w:jc w:val="center"/>
        <w:rPr>
          <w:vanish/>
        </w:rPr>
      </w:pPr>
      <w:bookmarkStart w:id="51" w:name="_Toc200000051"/>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2" w:name="_Toc200000052"/>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4" w:name="_Toc200000054"/>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6" w:name="_Toc200000056"/>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6"/>
    </w:p>
    <w:p>
      <w:pPr>
        <w:bidi/>
        <w:jc w:val="both"/>
      </w:pPr>
    </w:p>
    <w:p>
      <w:pPr>
        <w:pStyle w:val="Heading2"/>
        <w:keepNext/>
        <w:bidi/>
        <w:spacing w:before="180" w:after="80"/>
      </w:pPr>
      <w:bookmarkStart w:id="57" w:name="_Toc200000057"/>
      <w:r>
        <w:t xml:space="preserve">۴ـ۳ دور نخست دلفی: شناسایی گویه‌ها و مؤلفه‌ها</w:t>
      </w:r>
      <w:bookmarkEnd w:id="57"/>
    </w:p>
    <w:p>
      <w:pPr>
        <w:bidi/>
        <w:spacing w:after="80"/>
        <w:ind w:firstLine="720"/>
        <w:jc w:val="both"/>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10"/>
      </w:r>
      <w:r>
        <w:rPr>
          <w:rtl/>
        </w:rPr>
        <w:t xml:space="preserve"> کدگذاری شدند؛ گام کدگذاری باز بر پایه فرایند پنج‌مرحله‌ای تحلیل داده کیفی (بینگهام، ۲۰۲۳)</w:t>
      </w:r>
      <w:r>
        <w:rPr>
          <w:rStyle w:val="FootnoteReference"/>
        </w:rPr>
        <w:footnoteReference w:id="111"/>
      </w:r>
      <w:r>
        <w:rPr>
          <w:rtl/>
        </w:rPr>
        <w:t xml:space="preserve"> انجام شد (شرح کامل این فرایند در بخش ۳-۷-۱ آمده است). کدهای استخراج‌شده با چالش‌های برگرفته از ادبیات (جدول ۲-۱) ترکیب و بررسی شدند و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8" w:name="_Toc200000058"/>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8"/>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59" w:name="_Toc200000059"/>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59"/>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pPr>
      <w:bookmarkStart w:id="60" w:name="_Toc200000060"/>
      <w:r>
        <w:t xml:space="preserve">۴ـ۴ دور دوم دلفی: امتیازدهی و سنجش نخستین توافق</w:t>
      </w:r>
      <w:bookmarkEnd w:id="60"/>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pPr>
        <w:pStyle w:val="TableCaption"/>
        <w:keepNext/>
        <w:spacing w:before="160" w:after="80"/>
        <w:jc w:val="center"/>
        <w:rPr>
          <w:vanish/>
        </w:rPr>
      </w:pPr>
      <w:bookmarkStart w:id="61" w:name="_Toc200000061"/>
      <w:r>
        <w:fldChar w:fldCharType="begin"/>
      </w:r>
      <w:r>
        <w:instrText xml:space="preserve"> TC "جدول ۴-۸ آمار توصیفی امتیاز اهمیت گویه‌ها در دور دوم" \f T \l 4 </w:instrText>
      </w:r>
      <w:r>
        <w:fldChar w:fldCharType="end"/>
      </w:r>
      <w:r>
        <w:t xml:space="preserve">جدول ۴-۸ آمار توصیفی </w:t>
      </w:r>
      <w:r>
        <w:t xml:space="preserve">امتیاز اهمیت گویه‌ها در دور دوم</w:t>
      </w:r>
      <w:r>
        <w:t xml:space="preserve">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۴-۱۰).</w:t>
      </w:r>
    </w:p>
    <w:p>
      <w:pPr>
        <w:pStyle w:val="Heading2"/>
        <w:keepNext/>
        <w:bidi/>
        <w:spacing w:before="180" w:after="80"/>
      </w:pPr>
      <w:bookmarkStart w:id="62" w:name="_Toc200000062"/>
      <w:r>
        <w:t xml:space="preserve">۴ـ۵ دور سوم دلفی: بازخورد گروهی و همگرایی پاسخ‌ها</w:t>
      </w:r>
      <w:bookmarkEnd w:id="62"/>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pPr>
        <w:bidi/>
        <w:jc w:val="both"/>
      </w:pPr>
    </w:p>
    <w:p>
      <w:pPr>
        <w:pStyle w:val="TableCaption"/>
        <w:keepNext/>
        <w:spacing w:before="160" w:after="80"/>
        <w:jc w:val="center"/>
        <w:rPr>
          <w:vanish/>
        </w:rPr>
      </w:pPr>
      <w:bookmarkStart w:id="63" w:name="_Toc200000063"/>
      <w:r>
        <w:fldChar w:fldCharType="begin"/>
      </w:r>
      <w:r>
        <w:instrText xml:space="preserve"> TC "جدول ۴-۹ آمار توصیفی امتیاز اهمیت گویه‌ها در دور سوم" \f T \l 4 </w:instrText>
      </w:r>
      <w:r>
        <w:fldChar w:fldCharType="end"/>
      </w:r>
      <w:r>
        <w:t xml:space="preserve">جدول ۴-۹ آمار توصیفی </w:t>
      </w:r>
      <w:r>
        <w:t xml:space="preserve">امتیاز اهمیت گویه‌ها در دور سوم</w:t>
      </w:r>
      <w:r>
        <w:t xml:space="preserve"> (منبع: یافته‌های پژوهش)</w:t>
      </w:r>
      <w:bookmarkEnd w:id="6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4" w:name="_Toc200000064"/>
      <w:r>
        <w:t xml:space="preserve">۴ـ۵ـ۱ توافق اعضا: ضریب هماهنگی کندال</w:t>
      </w:r>
      <w:bookmarkEnd w:id="64"/>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11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5" w:name="_Toc200000065"/>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4"/>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6" w:name="_Toc200000066"/>
      <w:r>
        <w:t xml:space="preserve">۴ـ۵ـ۲ ثبات رتبه‌بندی: ضریب همبستگی اسپیرمن</w:t>
      </w:r>
      <w:bookmarkEnd w:id="66"/>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5"/>
      </w:r>
      <w:r>
        <w:rPr>
          <w:rtl/>
        </w:rPr>
        <w:t>.</w:t>
      </w:r>
    </w:p>
    <w:p>
      <w:pPr>
        <w:pStyle w:val="TableCaption"/>
        <w:keepNext/>
        <w:spacing w:before="160" w:after="80"/>
        <w:jc w:val="center"/>
        <w:rPr>
          <w:vanish/>
        </w:rPr>
      </w:pPr>
      <w:bookmarkStart w:id="67" w:name="_Toc200000067"/>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2"/>
        <w:keepNext/>
        <w:bidi/>
        <w:spacing w:before="180" w:after="80"/>
      </w:pPr>
      <w:bookmarkStart w:id="68" w:name="_Toc200000068"/>
      <w:r>
        <w:t xml:space="preserve">۴ـ۶ پاسخ به پرسش‌های پژوهش و رتبه‌بندی نهایی</w:t>
      </w:r>
      <w:bookmarkEnd w:id="68"/>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pPr>
        <w:pStyle w:val="TableCaption"/>
        <w:keepNext/>
        <w:spacing w:before="160" w:after="80"/>
        <w:jc w:val="center"/>
        <w:rPr>
          <w:vanish/>
        </w:rPr>
      </w:pPr>
      <w:bookmarkStart w:id="69" w:name="_Toc200000069"/>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pPr>
        <w:pStyle w:val="TableCaption"/>
        <w:keepNext/>
        <w:spacing w:before="160" w:after="80"/>
        <w:jc w:val="center"/>
        <w:rPr>
          <w:vanish/>
        </w:rPr>
      </w:pPr>
      <w:bookmarkStart w:id="70" w:name="_Toc200000070"/>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70"/>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71" w:name="_Toc200000071"/>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7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pPr>
      <w:bookmarkStart w:id="72" w:name="_Toc200000072"/>
      <w:r>
        <w:t xml:space="preserve">۴ـ۶ـ۱ وزن‌دهی و رتبه‌بندی به روش AHP</w:t>
      </w:r>
      <w:bookmarkEnd w:id="72"/>
    </w:p>
    <w:p>
      <w:pPr>
        <w:bidi/>
        <w:spacing w:after="80"/>
        <w:ind w:firstLine="720"/>
        <w:jc w:val="both"/>
      </w:pPr>
      <w:r>
        <w:rPr>
          <w:rtl/>
        </w:rPr>
        <w:t xml:space="preserve">وزن‌دهی و رتبه‌بندی با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16"/>
      </w:r>
      <w:r>
        <w:rPr>
          <w:rtl/>
        </w:rPr>
        <w:t xml:space="preserve">. سلسله‌مراتب تصمیم در سه سطح تعریف شد: هدف، که شناسایی و اولویت‌بندی چالش‌های فروش است؛ نُه مؤلفه؛ و ۲۹ گویه زیر هر مؤلفه. وزن‌ها بدون محاسبه‌ی مقایسه‌های زوجی و مستقیماً از میانگین امتیاز هر گویه در دور سوم به دست آمدند.</w:t>
      </w:r>
    </w:p>
    <w:p>
      <w:pPr>
        <w:bidi/>
        <w:spacing w:after="80"/>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جدول ۴-۱۵ وزن و رتبه مؤلفه‌ها و جدول ۴-۱۶ وزن سراسری گویه‌ها را نشان می‌دهد.</w:t>
      </w:r>
    </w:p>
    <w:p>
      <w:pPr>
        <w:pStyle w:val="TableCaption"/>
        <w:keepNext/>
        <w:spacing w:before="160" w:after="80"/>
        <w:jc w:val="center"/>
        <w:rPr>
          <w:vanish/>
        </w:rPr>
      </w:pPr>
      <w:bookmarkStart w:id="73" w:name="_Toc200000073"/>
      <w:r>
        <w:fldChar w:fldCharType="begin"/>
      </w:r>
      <w:r>
        <w:instrText xml:space="preserve"> TC "جدول ۴-۱۵ وزن AHP و رتبه‌بندی مؤلفه‌های چالش فروش" \f T \l 4 </w:instrText>
      </w:r>
      <w:r>
        <w:fldChar w:fldCharType="end"/>
      </w:r>
      <w:r>
        <w:t xml:space="preserve">جدول ۴-۱۵ وزن AHP و رتبه‌بندی مؤلفه‌های چالش فروش (منبع: یافته‌های پژوهش)</w:t>
      </w:r>
      <w:bookmarkEnd w:id="7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w:t>
            </w:r>
            <w:r>
              <w:rPr>
                <w:rFonts w:ascii="Times New Roman" w:hAnsi="Times New Roman" w:cs="Times New Roman" w:eastAsia="Times New Roman"/>
                <w:b/>
                <w:bCs/>
                <w:sz w:val="20"/>
                <w:szCs w:val="20"/>
              </w:rPr>
              <w:t xml:space="preserve">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ind w:firstLine="720"/>
        <w:jc w:val="both"/>
      </w:pPr>
      <w:r>
        <w:rPr>
          <w:rtl/>
        </w:rPr>
        <w:t xml:space="preserve">ترتیب مؤلفه‌ها بر پایه وزن </w:t>
      </w:r>
      <w:r>
        <w:rPr>
          <w:rFonts w:ascii="Times New Roman" w:hAnsi="Times New Roman" w:cs="Times New Roman" w:eastAsia="Times New Roman"/>
          <w:sz w:val="26"/>
          <w:szCs w:val="26"/>
        </w:rPr>
        <w:t xml:space="preserve">AHP</w:t>
      </w:r>
      <w:r>
        <w:rPr>
          <w:rtl/>
        </w:rPr>
        <w:t xml:space="preserve">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bookmarkStart w:id="74" w:name="_Toc200000074"/>
      <w:r>
        <w:fldChar w:fldCharType="begin"/>
      </w:r>
      <w:r>
        <w:instrText xml:space="preserve"> TC "جدول ۴-۱۶ وزن AHP سراسری و رتبه‌بندی گویه‌های چالش فروش" \f T \l 4 </w:instrText>
      </w:r>
      <w:r>
        <w:fldChar w:fldCharType="end"/>
      </w:r>
      <w:r>
        <w:t xml:space="preserve">جدول ۴-۱۶ وزن AHP سراسری و رتبه‌بندی گویه‌های چالش فروش (منبع: یافته‌های پژوهش)</w:t>
      </w:r>
      <w:bookmarkEnd w:id="7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ind w:firstLine="720"/>
        <w:jc w:val="both"/>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pPr>
      <w:bookmarkStart w:id="75" w:name="_Toc200000075"/>
      <w:r>
        <w:t xml:space="preserve">۴ـ۷ جمع‌بندی فصل</w:t>
      </w:r>
      <w:bookmarkEnd w:id="75"/>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w:t>
      </w:r>
      <w:r>
        <w:rPr>
          <w:rtl/>
        </w:rPr>
        <w:t xml:space="preserve">آمار توصیفی و استنباطی دورهای دوم و سوم</w:t>
      </w:r>
      <w:r>
        <w:rPr>
          <w:rtl/>
        </w:rPr>
        <w:t xml:space="preserve">.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w:t>
      </w:r>
      <w:r>
        <w:rPr>
          <w:rtl/>
        </w:rPr>
        <w:t xml:space="preserve">افزایش چشمگیری یافت که اثربخشی بازخورد</w:t>
      </w:r>
      <w:r>
        <w:rPr>
          <w:rtl/>
        </w:rPr>
        <w:t xml:space="preserve">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w:t>
      </w:r>
      <w:r>
        <w:rPr>
          <w:rtl/>
        </w:rPr>
        <w:t xml:space="preserve">در پنج رتبه نخست جای گرفتند؛ سپس وزن‌های </w:t>
      </w:r>
      <w:r>
        <w:rPr>
          <w:rFonts w:ascii="Times New Roman" w:hAnsi="Times New Roman" w:cs="Times New Roman" w:eastAsia="Times New Roman"/>
          <w:sz w:val="26"/>
          <w:szCs w:val="26"/>
        </w:rPr>
        <w:t xml:space="preserve">AHP</w:t>
      </w:r>
      <w:r>
        <w:rPr>
          <w:rtl/>
        </w:rPr>
        <w:t xml:space="preserve"> مؤلفه‌ها و گویه‌ها محاسبه شد (جدول ۴-۱۵ و جدول ۴-۱۶)؛ بیشترین وزن مؤلفه به «فشارهای اقتصاد کلان و کاهش قدرت خرید» (۰٫۱۲۲) و بیشترین وزن گویه به «افزایش بهای تمام‌شده و فشار بر حاشیه سود» (۰٫۰۶۷۵) تعلق گرفت</w:t>
      </w:r>
      <w:r>
        <w:rPr>
          <w:rtl/>
        </w:rPr>
        <w:t xml:space="preserve">.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6" w:name="_Toc200000076"/>
            <w:r>
              <w:rPr>
                <w:rtl/>
              </w:rPr>
              <w:t xml:space="preserve">فصل پنجم: بحث و نتیجه‌گیری</w:t>
            </w:r>
            <w:bookmarkEnd w:id="76"/>
          </w:p>
        </w:tc>
      </w:tr>
    </w:tbl>
    <w:p>
      <w:pPr>
        <w:pStyle w:val="Heading2"/>
        <w:keepNext/>
        <w:pageBreakBefore/>
        <w:bidi/>
        <w:spacing w:before="240" w:after="80"/>
      </w:pPr>
      <w:bookmarkStart w:id="77" w:name="_Toc200000077"/>
      <w:r>
        <w:t>۵ـ۱ مقدمه</w:t>
      </w:r>
      <w:bookmarkEnd w:id="77"/>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8" w:name="_Toc200000078"/>
      <w:r>
        <w:t>۵ـ۲ مروری بر خلاصه تحقیق</w:t>
      </w:r>
      <w:bookmarkEnd w:id="78"/>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w:t>
      </w:r>
      <w:r>
        <w:rPr>
          <w:rFonts w:ascii="Times New Roman" w:hAnsi="Times New Roman" w:cs="Times New Roman" w:eastAsia="Times New Roman"/>
          <w:sz w:val="26"/>
          <w:szCs w:val="26"/>
        </w:rPr>
        <w:t xml:space="preserve">AHP</w:t>
      </w:r>
      <w:r>
        <w:rPr>
          <w:rtl/>
        </w:rPr>
        <w:t xml:space="preserve"> بدون محاسبه‌ی مقایسه‌های زوجی وزن‌دهی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9" w:name="_Toc200000079"/>
      <w:r>
        <w:t>۵ـ۳ بحث و نتیجه‌گیری</w:t>
      </w:r>
      <w:bookmarkEnd w:id="79"/>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pPr>
      <w:bookmarkStart w:id="80" w:name="_Toc200000080"/>
      <w:r>
        <w:t>۵ـ۳ـ۱ بحث و نتیجه‌گیری درباره پرسش اول پژوهش</w:t>
      </w:r>
      <w:bookmarkEnd w:id="80"/>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7"/>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8"/>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9"/>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20"/>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21"/>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2"/>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3"/>
      </w:r>
      <w:r>
        <w:rPr>
          <w:rtl/>
        </w:rPr>
        <w:t xml:space="preserve">، محدودیت دانش و مهارت منابع انسانی، از جمله کمبود نیروی فروش ماهر (تانئو و همکاران، ۲۰۲۲)</w:t>
      </w:r>
      <w:r>
        <w:rPr>
          <w:rStyle w:val="FootnoteReference"/>
        </w:rPr>
        <w:footnoteReference w:id="124"/>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81" w:name="_Toc200000081"/>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8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6"/>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8"/>
            </w:r>
            <w:r>
              <w:rPr>
                <w:sz w:val="22"/>
                <w:szCs w:val="22"/>
                <w:rtl/>
              </w:rPr>
              <w:t xml:space="preserve">؛ پانگارکار و پرابهوداسای (۲۰۲۴) درباره قدرت چانه‌زنی خریدار</w:t>
            </w:r>
            <w:r>
              <w:rPr>
                <w:rStyle w:val="FootnoteReference"/>
              </w:rPr>
              <w:footnoteReference w:id="12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30"/>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2" w:name="_Toc200000082"/>
      <w:r>
        <w:t>۵ـ۳ـ۲ بحث و نتیجه‌گیری درباره پرسش دوم پژوهش</w:t>
      </w:r>
      <w:bookmarkEnd w:id="82"/>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31"/>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2"/>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3"/>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4"/>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5"/>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6"/>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pPr>
      <w:bookmarkStart w:id="83" w:name="_Toc200000083"/>
      <w:r>
        <w:t>۵ـ۴ پیشنهادات تحقیق</w:t>
      </w:r>
      <w:bookmarkEnd w:id="83"/>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7"/>
      </w:r>
      <w:r>
        <w:rPr>
          <w:rtl/>
        </w:rPr>
        <w:t xml:space="preserve"> و تنوع مرتبط ریسک بنگاه را می‌کاهد (مامن و همکاران، ۲۰۲۱)</w:t>
      </w:r>
      <w:r>
        <w:rPr>
          <w:rStyle w:val="FootnoteReference"/>
        </w:rPr>
        <w:footnoteReference w:id="138"/>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9"/>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4" w:name="_Toc200000084"/>
      <w:r>
        <w:t>۵ـ۵ محدودیت‌های پژوهش</w:t>
      </w:r>
      <w:bookmarkEnd w:id="84"/>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وزن‌های </w:t>
      </w:r>
      <w:r>
        <w:rPr>
          <w:rFonts w:ascii="Times New Roman" w:hAnsi="Times New Roman" w:cs="Times New Roman" w:eastAsia="Times New Roman"/>
          <w:sz w:val="26"/>
          <w:szCs w:val="26"/>
        </w:rPr>
        <w:t xml:space="preserve">AHP</w:t>
      </w:r>
      <w:r>
        <w:rPr>
          <w:rtl/>
        </w:rPr>
        <w:t xml:space="preserve"> بدون محاسبه‌ی مقایسه‌های زوجی و بر پایه میانگین امتیاز دور سوم محاسبه شدند؛ از این رو بیانگر اهمیت نسبی امتیازها هستند، نه قضاوت‌های زوجی اعضای پانل.</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5" w:name="_Toc200000085"/>
      <w:r>
        <w:t>۵ـ۶ پیشنهادهایی برای پژوهش‌های آتی</w:t>
      </w:r>
      <w:bookmarkEnd w:id="85"/>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6" w:name="_Toc200000086"/>
            <w:r>
              <w:rPr>
                <w:rtl/>
              </w:rPr>
              <w:t xml:space="preserve">منابع</w:t>
            </w:r>
            <w:bookmarkEnd w:id="86"/>
          </w:p>
        </w:tc>
      </w:tr>
    </w:tbl>
    <w:p>
      <w:pPr>
        <w:pStyle w:val="Heading2"/>
        <w:keepNext/>
        <w:pageBreakBefore/>
        <w:bidi/>
        <w:spacing w:before="0" w:after="80"/>
      </w:pPr>
      <w:bookmarkStart w:id="87" w:name="_Toc200000087"/>
      <w:r>
        <w:t>منابع داخلی</w:t>
      </w:r>
      <w:bookmarkEnd w:id="87"/>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8" w:name="_Toc200000088"/>
      <w:r>
        <w:t>منابع خارجی</w:t>
      </w:r>
      <w:bookmarkEnd w:id="88"/>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9" w:name="_Toc200000089"/>
            <w:r>
              <w:rPr>
                <w:rtl/>
              </w:rPr>
              <w:t xml:space="preserve">پیوست‌ها</w:t>
            </w:r>
            <w:bookmarkEnd w:id="89"/>
          </w:p>
        </w:tc>
      </w:tr>
    </w:tbl>
    <w:p>
      <w:pPr>
        <w:pStyle w:val="Heading2"/>
        <w:keepNext/>
        <w:pageBreakBefore/>
        <w:bidi/>
        <w:spacing w:before="0" w:after="80"/>
      </w:pPr>
      <w:bookmarkStart w:id="90" w:name="_Toc200000090"/>
      <w:r>
        <w:t>پیوست الف: فرم خام مصاحبه دور نخست دلفی</w:t>
      </w:r>
      <w:bookmarkEnd w:id="90"/>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مصاحبه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جمع‌آوری و به‌صورت ناشناس به اعضای پانل بازخورد داده می‌شود تا در دورهای بعدی، امکان بازبینی و نزدیک‌شدن نظرها به یکدیگر فراهم آید. این مصاحبه، نخستین دور از مجموع دورهای این فرایند است و ماهیتی کاملاً باز دارد؛ در دورهای بعدی، فهرست به‌دست‌آمده از همین دور، برای امتیازدهی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مصاحبه اختیاری است؛ در گزارش نهایی پژوهش، از پاسخ‌دهندگان با کدهای خ۱ تا خ۷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پاسخ‌گویی به این مصاحبه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بیان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مصاحبه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امتیازدهی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91" w:name="_Toc200000091"/>
      <w:r>
        <w:t>پیوست ب: فرم خام پرسشنامه دور دوم دلفی (رتبه‌بندی گویه‌ها)</w:t>
      </w:r>
      <w:bookmarkEnd w:id="91"/>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رتبه‌بندی: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2" w:name="_Toc200000092"/>
      <w:r>
        <w:t>پیوست پ: فرم خام پرسشنامه دور سوم دلفی (بازنگری رتبه‌بندی با بازخورد گروهی)</w:t>
      </w:r>
      <w:bookmarkEnd w:id="92"/>
    </w:p>
    <w:p>
      <w:pPr>
        <w:bidi/>
        <w:spacing w:after="60"/>
        <w:jc w:val="both"/>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spacing w:after="0" w:line="240" w:lineRule="auto"/>
        <w:sectPr>
          <w:footerReference w:type="default" r:id="rId6"/>
          <w:footerReference w:type="first" r:id="rId5"/>
          <w:pgSz w:w="11906" w:h="16838"/>
          <w:pgMar w:top="1701" w:right="1701" w:bottom="1417" w:left="1417" w:header="709" w:footer="709" w:gutter="0"/>
          <w:pgNumType w:fmt="decimal"/>
          <w:cols w:space="720"/>
          <w:titlePg/>
          <w:docGrid w:linePitch="360"/>
        </w:sectPr>
      </w:pP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and the weights were derived with the analytic hierarchy process.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6">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17">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8">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9">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2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1">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2">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6">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7">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8">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9">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1">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2">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3">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4">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5">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6">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7">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8">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9">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113</Pages>
  <Words>30751</Words>
  <Characters>142627</Characters>
  <Application>Microsoft Office Word</Application>
  <DocSecurity>0</DocSecurity>
  <Paragraphs>2239</Paragraphs>
  <ScaleCrop>false</ScaleCrop>
  <Company/>
  <LinksUpToDate>false</LinksUpToDate>
  <CharactersWithSpaces>173570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