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bidi/>
        <w:spacing w:before="5600"/>
        <w:jc w:val="center"/>
      </w:pPr>
      <w:r>
        <w:t>پیوست‌ها</w:t>
      </w:r>
    </w:p>
    <w:p>
      <w:pPr>
        <w:bidi/>
        <w:jc w:val="lowKashida"/>
      </w:pPr>
      <w:r>
        <w:br w:type="page"/>
      </w:r>
    </w:p>
    <w:p>
      <w:pPr>
        <w:pStyle w:val="Heading2"/>
        <w:keepNext/>
        <w:bidi/>
        <w:spacing w:before="0" w:after="80"/>
        <w:jc w:val="lowKashida"/>
      </w:pPr>
      <w:r>
        <w:t>پیوست الف: فرم مصاحبه (پرسشنامه باز دور نخست دلفی)</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788"/>
      </w:tblGrid>
      <w:tr>
        <w:trPr>
          <w:cantSplit/>
        </w:trPr>
        <w:tc>
          <w:tcPr>
            <w:tcW w:w="8788" w:type="dxa"/>
            <w:tcBorders>
              <w:top w:val="single" w:sz="4" w:color="000000" w:space="0"/>
              <w:left w:val="single" w:sz="4" w:color="000000" w:space="0"/>
              <w:bottom w:val="single" w:sz="4" w:color="000000" w:space="0"/>
              <w:right w:val="single" w:sz="4" w:color="000000" w:space="0"/>
            </w:tcBorders>
            <w:tcMar>
              <w:top w:w="100" w:type="dxa"/>
              <w:left w:w="100" w:type="dxa"/>
              <w:bottom w:w="100" w:type="dxa"/>
              <w:right w:w="100" w:type="dxa"/>
            </w:tcMar>
            <w:vAlign w:val="center"/>
          </w:tcPr>
          <w:p>
            <w:pPr>
              <w:bidi/>
              <w:spacing w:after="0"/>
              <w:jc w:val="center"/>
            </w:pPr>
            <w:r>
              <w:rPr>
                <w:b/>
                <w:bCs/>
                <w:sz w:val="26"/>
                <w:szCs w:val="26"/>
                <w:rtl/>
              </w:rPr>
              <w:t xml:space="preserve">پژوهش چالش‌های فروش محصولات تک‌محصولی در صنعت مواد غذایی</w:t>
            </w:r>
          </w:p>
        </w:tc>
      </w:tr>
    </w:tbl>
    <w:p>
      <w:pPr>
        <w:bidi/>
        <w:spacing w:after="60"/>
      </w:pPr>
    </w:p>
    <w:p>
      <w:pPr>
        <w:bidi/>
        <w:spacing w:after="60"/>
        <w:jc w:val="lowKashida"/>
      </w:pPr>
      <w:r>
        <w:rPr>
          <w:rtl/>
        </w:rPr>
        <w:t xml:space="preserve">خبره محترم، با سلام و احترام؛ این فرم در چارچوب پژوهشی دانشگاهی با هدف شناسایی و اولویت‌بندی چالش‌های فروش در شرکت‌های تک‌محصولی فعال در صنعت مواد غذایی و به روش دلفی تنظیم شده است. دلفی فرایندی چندمرحله‌ای است: در این مرحله دیدگاه شما به صورت باز و بدون فهرست پیشنهادی گردآوری می‌شود؛ در مرحله‌های بعد، فهرست حاصل برای رتبه‌بندی در اختیار شما قرار می‌گیرد و نتایج تجمیعی هر مرحله به صورت ناشناس به اعضای پانل بازخورد داده می‌شود.</w:t>
      </w:r>
    </w:p>
    <w:p>
      <w:pPr>
        <w:keepNext/>
        <w:bidi/>
        <w:spacing w:after="40"/>
        <w:jc w:val="lowKashida"/>
      </w:pPr>
      <w:r>
        <w:rPr>
          <w:b/>
          <w:bCs/>
          <w:rtl/>
        </w:rPr>
        <w:t xml:space="preserve">ملاحظات اخلاقی:</w:t>
      </w:r>
    </w:p>
    <w:p>
      <w:pPr>
        <w:pStyle w:val="ListParagraph"/>
        <w:numPr>
          <w:ilvl w:val="0"/>
          <w:numId w:val="1"/>
        </w:numPr>
        <w:bidi/>
        <w:spacing w:after="40"/>
        <w:jc w:val="lowKashida"/>
      </w:pPr>
      <w:r>
        <w:rPr>
          <w:rtl/>
        </w:rPr>
        <w:t xml:space="preserve">مشارکت شما داوطلبانه و با رضایت آگاهانه است و هدف پژوهش و نحوه استفاده از داده‌ها برای شما توضیح داده شده است.</w:t>
      </w:r>
    </w:p>
    <w:p>
      <w:pPr>
        <w:pStyle w:val="ListParagraph"/>
        <w:numPr>
          <w:ilvl w:val="0"/>
          <w:numId w:val="1"/>
        </w:numPr>
        <w:bidi/>
        <w:spacing w:after="40"/>
        <w:jc w:val="lowKashida"/>
      </w:pPr>
      <w:r>
        <w:rPr>
          <w:rtl/>
        </w:rPr>
        <w:t xml:space="preserve">درج نام در این فرم اختیاری است.</w:t>
      </w:r>
    </w:p>
    <w:p>
      <w:pPr>
        <w:pStyle w:val="ListParagraph"/>
        <w:numPr>
          <w:ilvl w:val="0"/>
          <w:numId w:val="1"/>
        </w:numPr>
        <w:bidi/>
        <w:spacing w:after="40"/>
        <w:jc w:val="lowKashida"/>
      </w:pPr>
      <w:r>
        <w:rPr>
          <w:rtl/>
        </w:rPr>
        <w:t xml:space="preserve">در گزارش پژوهش، شما با کد (خ۱ تا خ۷) معرفی می‌شوید و نام شما و شرکت محل فعالیتتان ذکر نمی‌شود.</w:t>
      </w:r>
    </w:p>
    <w:p>
      <w:pPr>
        <w:pStyle w:val="ListParagraph"/>
        <w:numPr>
          <w:ilvl w:val="0"/>
          <w:numId w:val="1"/>
        </w:numPr>
        <w:bidi/>
        <w:spacing w:after="40"/>
        <w:jc w:val="lowKashida"/>
      </w:pPr>
      <w:r>
        <w:rPr>
          <w:rtl/>
        </w:rPr>
        <w:t xml:space="preserve">داده‌ها تنها برای مقاصد این پژوهش به کار می‌رود.</w:t>
      </w:r>
    </w:p>
    <w:p>
      <w:pPr>
        <w:bidi/>
        <w:spacing w:after="60"/>
      </w:pPr>
    </w:p>
    <w:p>
      <w:pPr>
        <w:keepNext/>
        <w:bidi/>
        <w:spacing w:after="60"/>
        <w:jc w:val="lowKashida"/>
      </w:pPr>
      <w:r>
        <w:rPr>
          <w:b/>
          <w:bCs/>
          <w:rtl/>
        </w:rPr>
        <w:t xml:space="preserve">بخش نخست: مشخصات</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900"/>
        <w:gridCol w:w="5888"/>
      </w:tblGrid>
      <w:tr>
        <w:trPr>
          <w:cantSplit/>
        </w:trPr>
        <w:tc>
          <w:tcPr>
            <w:tcW w:w="2900"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b/>
                <w:bCs/>
                <w:sz w:val="24"/>
                <w:szCs w:val="24"/>
                <w:rtl/>
              </w:rPr>
              <w:t xml:space="preserve">کد خبره (توسط پژوهشگر تکمیل می‌شود)</w:t>
            </w:r>
          </w:p>
        </w:tc>
        <w:tc>
          <w:tcPr>
            <w:tcW w:w="5888"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sz w:val="24"/>
                <w:szCs w:val="24"/>
                <w:rtl/>
              </w:rPr>
              <w:t xml:space="preserve">خ ........</w:t>
            </w:r>
          </w:p>
        </w:tc>
      </w:tr>
      <w:tr>
        <w:trPr>
          <w:cantSplit/>
        </w:trPr>
        <w:tc>
          <w:tcPr>
            <w:tcW w:w="2900"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b/>
                <w:bCs/>
                <w:sz w:val="24"/>
                <w:szCs w:val="24"/>
                <w:rtl/>
              </w:rPr>
              <w:t xml:space="preserve">نام و نام خانوادگی (اختیاری)</w:t>
            </w:r>
          </w:p>
        </w:tc>
        <w:tc>
          <w:tcPr>
            <w:tcW w:w="5888"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sz w:val="24"/>
                <w:szCs w:val="24"/>
                <w:rtl/>
              </w:rPr>
              <w:t xml:space="preserve">................................................................</w:t>
            </w:r>
          </w:p>
        </w:tc>
      </w:tr>
      <w:tr>
        <w:trPr>
          <w:cantSplit/>
        </w:trPr>
        <w:tc>
          <w:tcPr>
            <w:tcW w:w="2900"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b/>
                <w:bCs/>
                <w:sz w:val="24"/>
                <w:szCs w:val="24"/>
                <w:rtl/>
              </w:rPr>
              <w:t xml:space="preserve">جایگاه شغلی</w:t>
            </w:r>
          </w:p>
        </w:tc>
        <w:tc>
          <w:tcPr>
            <w:tcW w:w="5888"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sz w:val="24"/>
                <w:szCs w:val="24"/>
                <w:rtl/>
              </w:rPr>
              <w:t xml:space="preserve">................................................................</w:t>
            </w:r>
          </w:p>
        </w:tc>
      </w:tr>
      <w:tr>
        <w:trPr>
          <w:cantSplit/>
        </w:trPr>
        <w:tc>
          <w:tcPr>
            <w:tcW w:w="2900"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b/>
                <w:bCs/>
                <w:sz w:val="24"/>
                <w:szCs w:val="24"/>
                <w:rtl/>
              </w:rPr>
              <w:t xml:space="preserve">سطح تحصیلات</w:t>
            </w:r>
          </w:p>
        </w:tc>
        <w:tc>
          <w:tcPr>
            <w:tcW w:w="5888"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sz w:val="24"/>
                <w:szCs w:val="24"/>
                <w:rtl/>
              </w:rPr>
              <w:t xml:space="preserve">☐ دیپلم    ☐ کارشناسی    ☐ کارشناسی ارشد    ☐ دکترا    ☐ سایر: ........</w:t>
            </w:r>
          </w:p>
        </w:tc>
      </w:tr>
      <w:tr>
        <w:trPr>
          <w:cantSplit/>
        </w:trPr>
        <w:tc>
          <w:tcPr>
            <w:tcW w:w="2900"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b/>
                <w:bCs/>
                <w:sz w:val="24"/>
                <w:szCs w:val="24"/>
                <w:rtl/>
              </w:rPr>
              <w:t xml:space="preserve">سابقه فعالیت</w:t>
            </w:r>
          </w:p>
        </w:tc>
        <w:tc>
          <w:tcPr>
            <w:tcW w:w="5888"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sz w:val="24"/>
                <w:szCs w:val="24"/>
                <w:rtl/>
              </w:rPr>
              <w:t xml:space="preserve">☐ کمتر از ۵ سال    ☐ ۵ تا ۱۰ سال    ☐ ۱۱ تا ۲۰ سال    ☐ بیش از ۲۰ سال</w:t>
            </w:r>
          </w:p>
        </w:tc>
      </w:tr>
      <w:tr>
        <w:trPr>
          <w:cantSplit/>
        </w:trPr>
        <w:tc>
          <w:tcPr>
            <w:tcW w:w="2900"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b/>
                <w:bCs/>
                <w:sz w:val="24"/>
                <w:szCs w:val="24"/>
                <w:rtl/>
              </w:rPr>
              <w:t xml:space="preserve">نوع محصول شرکت محل فعالیت</w:t>
            </w:r>
          </w:p>
        </w:tc>
        <w:tc>
          <w:tcPr>
            <w:tcW w:w="5888" w:type="dxa"/>
            <w:tcBorders>
              <w:top w:val="single" w:sz="4" w:color="000000" w:space="0"/>
              <w:left w:val="single" w:sz="4" w:color="000000" w:space="0"/>
              <w:bottom w:val="single" w:sz="4" w:color="000000" w:space="0"/>
              <w:right w:val="single" w:sz="4" w:color="000000" w:space="0"/>
            </w:tcBorders>
            <w:tcMar>
              <w:top w:w="90" w:type="dxa"/>
              <w:left w:w="100" w:type="dxa"/>
              <w:bottom w:w="90" w:type="dxa"/>
              <w:right w:w="100" w:type="dxa"/>
            </w:tcMar>
            <w:vAlign w:val="center"/>
          </w:tcPr>
          <w:p>
            <w:pPr>
              <w:bidi/>
              <w:spacing w:after="0"/>
            </w:pPr>
            <w:r>
              <w:rPr>
                <w:sz w:val="24"/>
                <w:szCs w:val="24"/>
                <w:rtl/>
              </w:rPr>
              <w:t xml:space="preserve">................................................................</w:t>
            </w:r>
          </w:p>
        </w:tc>
      </w:tr>
    </w:tbl>
    <w:p>
      <w:pPr>
        <w:bidi/>
        <w:spacing w:after="60"/>
      </w:pPr>
    </w:p>
    <w:p>
      <w:pPr>
        <w:keepNext/>
        <w:bidi/>
        <w:spacing w:after="60"/>
        <w:jc w:val="lowKashida"/>
      </w:pPr>
      <w:r>
        <w:rPr>
          <w:b/>
          <w:bCs/>
          <w:rtl/>
        </w:rPr>
        <w:t xml:space="preserve">بخش دوم: پرسش باز اصلی</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788"/>
      </w:tblGrid>
      <w:tr>
        <w:trPr>
          <w:cantSplit/>
        </w:trPr>
        <w:tc>
          <w:tcPr>
            <w:tcW w:w="8788" w:type="dxa"/>
            <w:tcBorders>
              <w:top w:val="single" w:sz="4" w:color="000000" w:space="0"/>
              <w:left w:val="single" w:sz="4" w:color="000000" w:space="0"/>
              <w:bottom w:val="single" w:sz="4" w:color="000000" w:space="0"/>
              <w:right w:val="single" w:sz="4" w:color="000000" w:space="0"/>
            </w:tcBorders>
            <w:tcMar>
              <w:top w:w="100" w:type="dxa"/>
              <w:left w:w="100" w:type="dxa"/>
              <w:bottom w:w="100" w:type="dxa"/>
              <w:right w:w="100" w:type="dxa"/>
            </w:tcMar>
            <w:vAlign w:val="center"/>
          </w:tcPr>
          <w:p>
            <w:pPr>
              <w:bidi/>
              <w:spacing w:after="0"/>
              <w:jc w:val="center"/>
            </w:pPr>
            <w:r>
              <w:rPr>
                <w:b/>
                <w:bCs/>
                <w:sz w:val="26"/>
                <w:szCs w:val="26"/>
                <w:rtl/>
              </w:rPr>
              <w:t xml:space="preserve">از نظر شما، چالش‌های فروش محصولات تک‌محصولی چیست؟</w:t>
            </w:r>
          </w:p>
        </w:tc>
      </w:tr>
    </w:tbl>
    <w:p>
      <w:pPr>
        <w:bidi/>
        <w:spacing w:after="60"/>
      </w:pPr>
    </w:p>
    <w:p>
      <w:pPr>
        <w:bidi/>
        <w:spacing w:after="60"/>
        <w:jc w:val="lowKashida"/>
      </w:pPr>
      <w:r>
        <w:rPr>
          <w:rtl/>
        </w:rPr>
        <w:t xml:space="preserve">لطفاً چالش‌هایی را که از منظر تجربه خود می‌شناسید آزادانه برشمارید. فهرست پیشنهادی وجود ندارد و شمار پاسخ‌ها محدود نیست؛ هر مورد را در یک ردیف بنویسید و در صورت نیاز ادامه پاسخ را در برگه جداگانه ثبت کنید.</w:t>
      </w:r>
    </w:p>
    <w:tbl>
      <w:tblPr>
        <w:bidiVisual/>
        <w:tblW w:w="8788" w:type="dxa"/>
        <w:tblLayout w:type="fixed"/>
        <w:tblCellMar>
          <w:left w:w="10" w:type="dxa"/>
          <w:right w:w="10" w:type="dxa"/>
        </w:tblCellMar>
        <w:tblLook w:val="04A0"/>
      </w:tblPr>
      <w:tblGrid>
        <w:gridCol w:w="600"/>
        <w:gridCol w:w="8188"/>
      </w:tblGrid>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۱</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۲</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۳</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۴</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۵</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۶</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۷</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۸</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۹</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r>
        <w:trPr>
          <w:cantSplit/>
        </w:trPr>
        <w:tc>
          <w:tcPr>
            <w:tcW w:w="600"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jc w:val="center"/>
            </w:pPr>
            <w:r>
              <w:rPr>
                <w:sz w:val="24"/>
                <w:szCs w:val="24"/>
                <w:rtl/>
              </w:rPr>
              <w:t xml:space="preserve">۱۰</w:t>
            </w:r>
          </w:p>
        </w:tc>
        <w:tc>
          <w:tcPr>
            <w:tcW w:w="8188" w:type="dxa"/>
            <w:tcBorders>
              <w:top w:val="nil" w:space="0"/>
              <w:left w:val="nil" w:space="0"/>
              <w:bottom w:val="single" w:sz="6" w:color="000000" w:space="0"/>
              <w:right w:val="nil" w:space="0"/>
            </w:tcBorders>
            <w:tcMar>
              <w:top w:w="130" w:type="dxa"/>
              <w:left w:w="60" w:type="dxa"/>
              <w:bottom w:w="130" w:type="dxa"/>
              <w:right w:w="60" w:type="dxa"/>
            </w:tcMar>
            <w:vAlign w:val="center"/>
          </w:tcPr>
          <w:p>
            <w:pPr>
              <w:bidi/>
              <w:spacing w:after="0"/>
            </w:pPr>
            <w:r>
              <w:rPr>
                <w:sz w:val="24"/>
                <w:szCs w:val="24"/>
                <w:rtl/>
              </w:rPr>
              <w:t xml:space="preserve"/>
            </w:r>
          </w:p>
        </w:tc>
      </w:tr>
    </w:tbl>
    <w:p>
      <w:pPr>
        <w:bidi/>
        <w:spacing w:after="120"/>
      </w:pPr>
    </w:p>
    <w:p>
      <w:pPr>
        <w:bidi/>
        <w:spacing w:after="120"/>
        <w:jc w:val="center"/>
      </w:pPr>
      <w:r>
        <w:rPr>
          <w:rtl/>
        </w:rPr>
        <w:t xml:space="preserve">از همکاری شما سپاسگزارم.</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788"/>
      </w:tblGrid>
      <w:tr>
        <w:trPr>
          <w:cantSplit/>
        </w:trPr>
        <w:tc>
          <w:tcPr>
            <w:tcW w:w="8788" w:type="dxa"/>
            <w:tcBorders>
              <w:top w:val="single" w:sz="4" w:color="000000" w:space="0"/>
              <w:left w:val="single" w:sz="4" w:color="000000" w:space="0"/>
              <w:bottom w:val="single" w:sz="4" w:color="000000" w:space="0"/>
              <w:right w:val="single" w:sz="4" w:color="000000" w:space="0"/>
            </w:tcBorders>
            <w:tcMar>
              <w:top w:w="110" w:type="dxa"/>
              <w:left w:w="100" w:type="dxa"/>
              <w:bottom w:w="110" w:type="dxa"/>
              <w:right w:w="100" w:type="dxa"/>
            </w:tcMar>
            <w:vAlign w:val="center"/>
          </w:tcPr>
          <w:p>
            <w:pPr>
              <w:bidi/>
              <w:spacing w:after="0"/>
            </w:pPr>
            <w:r>
              <w:rPr>
                <w:b/>
                <w:bCs/>
                <w:sz w:val="22"/>
                <w:szCs w:val="22"/>
                <w:rtl/>
              </w:rPr>
              <w:t xml:space="preserve">یادداشت پژوهشگر (ویژه پژوهشگر): نحوه بیان پاسخ‌ها و نکات قابل پیگیری برای دور بعد</w:t>
            </w:r>
          </w:p>
        </w:tc>
      </w:tr>
      <w:tr>
        <w:trPr>
          <w:cantSplit/>
        </w:trPr>
        <w:tc>
          <w:tcPr>
            <w:tcW w:w="8788" w:type="dxa"/>
            <w:tcBorders>
              <w:top w:val="single" w:sz="4" w:color="000000" w:space="0"/>
              <w:left w:val="single" w:sz="4" w:color="000000" w:space="0"/>
              <w:bottom w:val="single" w:sz="4" w:color="000000" w:space="0"/>
              <w:right w:val="single" w:sz="4" w:color="000000" w:space="0"/>
            </w:tcBorders>
            <w:tcMar>
              <w:top w:w="110" w:type="dxa"/>
              <w:left w:w="100" w:type="dxa"/>
              <w:bottom w:w="110" w:type="dxa"/>
              <w:right w:w="100" w:type="dxa"/>
            </w:tcMar>
            <w:vAlign w:val="center"/>
          </w:tcPr>
          <w:p>
            <w:pPr>
              <w:bidi/>
              <w:spacing w:after="0"/>
            </w:pPr>
            <w:r>
              <w:rPr>
                <w:sz w:val="22"/>
                <w:szCs w:val="22"/>
                <w:rtl/>
              </w:rPr>
              <w:t xml:space="preserve"/>
            </w:r>
          </w:p>
        </w:tc>
      </w:tr>
      <w:tr>
        <w:trPr>
          <w:cantSplit/>
        </w:trPr>
        <w:tc>
          <w:tcPr>
            <w:tcW w:w="8788" w:type="dxa"/>
            <w:tcBorders>
              <w:top w:val="single" w:sz="4" w:color="000000" w:space="0"/>
              <w:left w:val="single" w:sz="4" w:color="000000" w:space="0"/>
              <w:bottom w:val="single" w:sz="4" w:color="000000" w:space="0"/>
              <w:right w:val="single" w:sz="4" w:color="000000" w:space="0"/>
            </w:tcBorders>
            <w:tcMar>
              <w:top w:w="110" w:type="dxa"/>
              <w:left w:w="100" w:type="dxa"/>
              <w:bottom w:w="110" w:type="dxa"/>
              <w:right w:w="100" w:type="dxa"/>
            </w:tcMar>
            <w:vAlign w:val="center"/>
          </w:tcPr>
          <w:p>
            <w:pPr>
              <w:bidi/>
              <w:spacing w:after="0"/>
            </w:pPr>
            <w:r>
              <w:rPr>
                <w:sz w:val="22"/>
                <w:szCs w:val="22"/>
                <w:rtl/>
              </w:rPr>
              <w:t xml:space="preserve"/>
            </w:r>
          </w:p>
        </w:tc>
      </w:tr>
    </w:tbl>
    <w:p>
      <w:pPr>
        <w:pStyle w:val="Heading2"/>
        <w:keepNext/>
        <w:pageBreakBefore/>
        <w:bidi/>
        <w:spacing w:before="0" w:after="80"/>
        <w:jc w:val="lowKashida"/>
      </w:pPr>
      <w:r>
        <w:t>پیوست ج: خروجی‌های محاسبات آماری سه دور دلفی</w:t>
      </w:r>
    </w:p>
    <w:p>
      <w:pPr>
        <w:bidi/>
        <w:spacing w:after="60"/>
        <w:jc w:val="lowKashida"/>
      </w:pPr>
      <w:r>
        <w:rPr>
          <w:rtl/>
        </w:rPr>
        <w:t xml:space="preserve">این پیوست، خروجی کامل محاسبات هر سه دور فرایند دلفی را که جدول‌های فصل چهارم از آن‌ها خلاصه شده است ارائه می‌دهد. شماره گویه‌ها در همه جدول‌ها همان شماره جدول ۴-۶ است و کدهای </w:t>
      </w:r>
      <w:r>
        <w:rPr>
          <w:rtl/>
        </w:rPr>
        <w:t xml:space="preserve">خ۱</w:t>
      </w:r>
      <w:r>
        <w:rPr>
          <w:rtl/>
        </w:rPr>
        <w:t xml:space="preserve"> تا </w:t>
      </w:r>
      <w:r>
        <w:rPr>
          <w:rtl/>
        </w:rPr>
        <w:t xml:space="preserve">خ۷</w:t>
      </w:r>
      <w:r>
        <w:rPr>
          <w:rtl/>
        </w:rPr>
        <w:t xml:space="preserve"> اعضای پانل را مطابق جدول ۴-۱ نشان می‌دهند. محاسبه‌ها با زبان برنامه‌نویسی پایتون (کتابخانه‌های </w:t>
      </w:r>
      <w:r>
        <w:rPr>
          <w:rFonts w:ascii="Times New Roman" w:hAnsi="Times New Roman" w:cs="Times New Roman" w:eastAsia="Times New Roman"/>
        </w:rPr>
        <w:t xml:space="preserve">NumPy</w:t>
      </w:r>
      <w:r>
        <w:rPr>
          <w:rtl/>
        </w:rPr>
        <w:t xml:space="preserve"> و </w:t>
      </w:r>
      <w:r>
        <w:rPr>
          <w:rFonts w:ascii="Times New Roman" w:hAnsi="Times New Roman" w:cs="Times New Roman" w:eastAsia="Times New Roman"/>
        </w:rPr>
        <w:t xml:space="preserve">SciPy</w:t>
      </w:r>
      <w:r>
        <w:rPr>
          <w:rtl/>
        </w:rPr>
        <w:t xml:space="preserve">) انجام شده و روش آن‌ها به این قرار است:</w:t>
      </w:r>
    </w:p>
    <w:p>
      <w:pPr>
        <w:pStyle w:val="ListParagraph"/>
        <w:numPr>
          <w:ilvl w:val="0"/>
          <w:numId w:val="1"/>
        </w:numPr>
        <w:bidi/>
        <w:spacing w:after="40"/>
        <w:jc w:val="lowKashida"/>
      </w:pPr>
      <w:r>
        <w:rPr>
          <w:rtl/>
        </w:rPr>
        <w:t xml:space="preserve">میانگین، میانه و انحراف معیار (نمونه، با مخرج </w:t>
      </w:r>
      <w:r>
        <w:rPr>
          <w:rFonts w:ascii="Times New Roman" w:hAnsi="Times New Roman" w:cs="Times New Roman" w:eastAsia="Times New Roman"/>
        </w:rPr>
        <w:t xml:space="preserve">n − 1</w:t>
      </w:r>
      <w:r>
        <w:rPr>
          <w:rtl/>
        </w:rPr>
        <w:t xml:space="preserve">) هر گویه؛ چارک‌ها به روش درون‌یابی خطی (معادل </w:t>
      </w:r>
      <w:r>
        <w:rPr>
          <w:rFonts w:ascii="Times New Roman" w:hAnsi="Times New Roman" w:cs="Times New Roman" w:eastAsia="Times New Roman"/>
        </w:rPr>
        <w:t xml:space="preserve">QUARTILE.INC</w:t>
      </w:r>
      <w:r>
        <w:rPr>
          <w:rtl/>
        </w:rPr>
        <w:t xml:space="preserve"> در اکسل) و دامنه بین‌چارکی برابر </w:t>
      </w:r>
      <w:r>
        <w:rPr>
          <w:rFonts w:ascii="Times New Roman" w:hAnsi="Times New Roman" w:cs="Times New Roman" w:eastAsia="Times New Roman"/>
        </w:rPr>
        <w:t xml:space="preserve">Q3 − Q1</w:t>
      </w:r>
      <w:r>
        <w:rPr>
          <w:rtl/>
        </w:rPr>
        <w:t xml:space="preserve"> است.</w:t>
      </w:r>
    </w:p>
    <w:p>
      <w:pPr>
        <w:pStyle w:val="ListParagraph"/>
        <w:numPr>
          <w:ilvl w:val="0"/>
          <w:numId w:val="1"/>
        </w:numPr>
        <w:bidi/>
        <w:spacing w:after="40"/>
        <w:jc w:val="lowKashida"/>
      </w:pPr>
      <w:r>
        <w:rPr>
          <w:rtl/>
        </w:rPr>
        <w:t xml:space="preserve">ضریب هماهنگی کندال با اصلاح همرتبگی: هر عضو پانل گویه‌ها را بر پایه امتیازهای خود رتبه می‌دهد (امتیازهای برابر، میانگین رتبه‌ها را می‌گیرند)؛ سپس </w:t>
      </w:r>
      <w:r>
        <w:rPr>
          <w:rFonts w:ascii="Times New Roman" w:hAnsi="Times New Roman" w:cs="Times New Roman" w:eastAsia="Times New Roman"/>
          <w:i/>
          <w:iCs/>
        </w:rPr>
        <w:t xml:space="preserve">W = 12S / [m²(n³ − n) − mΣT]</w:t>
      </w:r>
      <w:r>
        <w:rPr>
          <w:rtl/>
        </w:rPr>
        <w:t xml:space="preserve"> و </w:t>
      </w:r>
      <w:r>
        <w:rPr>
          <w:rFonts w:ascii="Times New Roman" w:hAnsi="Times New Roman" w:cs="Times New Roman" w:eastAsia="Times New Roman"/>
          <w:i/>
          <w:iCs/>
        </w:rPr>
        <w:t xml:space="preserve">χ² = m(n − 1)W</w:t>
      </w:r>
      <w:r>
        <w:rPr>
          <w:rtl/>
        </w:rPr>
        <w:t xml:space="preserve"> با </w:t>
      </w:r>
      <w:r>
        <w:rPr>
          <w:rFonts w:ascii="Times New Roman" w:hAnsi="Times New Roman" w:cs="Times New Roman" w:eastAsia="Times New Roman"/>
          <w:i/>
          <w:iCs/>
        </w:rPr>
        <w:t xml:space="preserve">df = n − 1</w:t>
      </w:r>
      <w:r>
        <w:rPr>
          <w:rtl/>
        </w:rPr>
        <w:t xml:space="preserve">؛ در اینجا </w:t>
      </w:r>
      <w:r>
        <w:rPr>
          <w:rFonts w:ascii="Times New Roman" w:hAnsi="Times New Roman" w:cs="Times New Roman" w:eastAsia="Times New Roman"/>
          <w:i/>
          <w:iCs/>
        </w:rPr>
        <w:t xml:space="preserve">m = 7</w:t>
      </w:r>
      <w:r>
        <w:rPr>
          <w:rtl/>
        </w:rPr>
        <w:t xml:space="preserve"> عضو و </w:t>
      </w:r>
      <w:r>
        <w:rPr>
          <w:rFonts w:ascii="Times New Roman" w:hAnsi="Times New Roman" w:cs="Times New Roman" w:eastAsia="Times New Roman"/>
          <w:i/>
          <w:iCs/>
        </w:rPr>
        <w:t xml:space="preserve">n = 29</w:t>
      </w:r>
      <w:r>
        <w:rPr>
          <w:rtl/>
        </w:rPr>
        <w:t xml:space="preserve"> گویه است.</w:t>
      </w:r>
    </w:p>
    <w:p>
      <w:pPr>
        <w:pStyle w:val="ListParagraph"/>
        <w:numPr>
          <w:ilvl w:val="0"/>
          <w:numId w:val="1"/>
        </w:numPr>
        <w:bidi/>
        <w:spacing w:after="40"/>
        <w:jc w:val="lowKashida"/>
      </w:pPr>
      <w:r>
        <w:rPr>
          <w:rtl/>
        </w:rPr>
        <w:t xml:space="preserve">میانگین هر مؤلفه برابر میانگین میانگین‌های گویه‌های زیرمجموعه آن است.</w:t>
      </w:r>
    </w:p>
    <w:p>
      <w:pPr>
        <w:pStyle w:val="ListParagraph"/>
        <w:numPr>
          <w:ilvl w:val="0"/>
          <w:numId w:val="1"/>
        </w:numPr>
        <w:bidi/>
        <w:spacing w:after="40"/>
        <w:jc w:val="lowKashida"/>
      </w:pPr>
      <w:r>
        <w:rPr>
          <w:rtl/>
        </w:rPr>
        <w:t xml:space="preserve">ضریب همبستگی رتبه‌ای اسپیرمن میان میانگین گویه‌ها (یا مؤلفه‌ها) در دو دور؛ رتبه‌بندی نزولی (رتبه ۱ = بالاترین میانگین) و میانگین رتبه برای مقدارهای برابر، و آزمون معناداری دودامنه.</w:t>
      </w:r>
    </w:p>
    <w:p>
      <w:pPr>
        <w:pStyle w:val="Heading3"/>
        <w:keepNext/>
        <w:bidi/>
        <w:spacing w:before="240" w:after="80"/>
        <w:jc w:val="lowKashida"/>
      </w:pPr>
      <w:r>
        <w:t>ج-۱ دور نخست: ماتریس کدگذاری پاسخ‌های باز</w:t>
      </w:r>
    </w:p>
    <w:p>
      <w:pPr>
        <w:bidi/>
        <w:spacing w:after="40"/>
        <w:jc w:val="lowKashida"/>
      </w:pPr>
      <w:r>
        <w:rPr>
          <w:rtl/>
        </w:rPr>
        <w:t xml:space="preserve">جدول ج-۱ نشان می‌دهد هر عضو پانل در پاسخ باز خود به کدام گویه‌ها اشاره کرده است (علامت ● یعنی اشاره). جمع هر ستون شمار گویه‌هایی است که آن عضو بدان‌ها اشاره کرده و جمع هر ردیف شمار اعضای اشاره‌کننده؛ جمع کل علامت‌ها ۶۶ است (۲۹ گویه و ۷ عضو). خلاصه مؤلفه‌ای این ماتریس در جدول ۴-۷ آمده است.</w:t>
      </w:r>
    </w:p>
    <w:p>
      <w:pPr>
        <w:pStyle w:val="TableCaption"/>
        <w:keepNext/>
        <w:spacing w:before="160" w:after="80"/>
        <w:jc w:val="center"/>
        <w:rPr>
          <w:vanish/>
        </w:rPr>
      </w:pPr>
      <w:r>
        <w:t xml:space="preserve">جدول ج-۱ ماتریس کدگذاری گویه‌های استخراج‌شده از دور نخست به تفکیک اعضای پانل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20"/>
        <w:gridCol w:w="3230"/>
        <w:gridCol w:w="560"/>
        <w:gridCol w:w="560"/>
        <w:gridCol w:w="560"/>
        <w:gridCol w:w="560"/>
        <w:gridCol w:w="560"/>
        <w:gridCol w:w="560"/>
        <w:gridCol w:w="560"/>
        <w:gridCol w:w="1018"/>
      </w:tblGrid>
      <w:tr>
        <w:trPr>
          <w:cantSplit/>
          <w:tblHeader/>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ردیف</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b/>
                <w:bCs/>
                <w:sz w:val="20"/>
                <w:szCs w:val="20"/>
                <w:rtl/>
              </w:rPr>
              <w:t xml:space="preserve">گویه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خ۲</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خ۶</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خ۷</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جمع</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۱: آسیب‌پذیری ساختاری ناشی از تمرکز بر محصول واحد</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کامل درآمد و سودآوری شرکت به تقاضای یک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امکان جبران افت فروش از محل سایر اقلام سبد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انعطاف‌پذیری و کندی واکنش شرکت به تغییرات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۲: ضعف برندسازی و دشواری تمایز محصول</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برندسازی و تبلیغات و کمرنگ بودن جایگاه برند در ذهن مشتری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ایجاد تمایز نسبت به محصولات رقیب</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نوآوری و توسعه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کم‌توجهی به تحقیقات بازار و مطالعه رفتار مصرف‌کننده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۳: دشواری جذب و حفظ مشتری و وفاداری پایین</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جذب مشتری جدید</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وفاداری پایین مشتری به شرکت تک‌محصولی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پیشنهاد تازه برای حفظ و فعال‌سازی مجدد مشتریان فعلی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۴: ضعف در برنامه‌ریزی، پیش‌بینی و مدیریت فروش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۱۱</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پیش‌بینی دقیق تقاضای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۱۲</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برنامه‌ریزی و مدیریت موجودی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۱۳</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نظام برنامه‌ریزی و اطلاعات فروش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۱۴</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محدودیت منابع مالی برای توزیع و ترویج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۵: ناکارآمدی و هزینه‌بری شبکه توزیع و فروش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۱۵</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هزینه بالای پخش و توزیع به ازای یک قلم کالا</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۱۶</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کوچک بودن شبکه فروش و پوشش محدود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۱۷</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قدرت چانه‌زنی در برابر شبکه توزیع و خرده‌فروشی چندمحصولی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۱۸</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به تعداد محدودی مشتری یا کانال فروش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۶: شدت رقابت و فشار قیمتی بازار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۱۹</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ورود رقبای جدید و افزایش شدت رقابت</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۲۰</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حضور محصولات جایگزین و برندهای رقیب دارای سبد متنوع</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۲۱</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رقابت قیمتی و نوسان قیمت رقبا</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۷: تغییر ذائقه مصرف‌کننده و محدودیت بازار هدف</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۲۲</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تغییر سریع ذائقه و ترجیحات مصرف‌کننده در گذر زمان</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۲۳</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محدود بودن بازار هدف به یک گروه خاص از مشتریان</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۲۴</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افت ناگهانی تقاضا</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۸: ناپایداری تأمین و نوسان بهای مواد اولیه</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۲۵</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نوسان و کمبود در تأمین مواد اولیه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۲۶</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تأمین به واردات و اثر تحریم و محدودیت‌های اقتصادی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۲۷</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ناپیوستگی عرضه و کسری محصول در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۹: فشارهای اقتصاد کلان و کاهش قدرت خرید</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۲۸</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افزایش بهای تمام‌شده و فشار بر حاشیه سود</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۲۹</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قدرت خرید و مشکلات اقتصادی مصرف‌کننده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3850" w:type="dxa"/>
            <w:gridSpan w:val="2"/>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جمع علامت‌ها</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۷</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۱۷</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۱۶</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۱۰</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۷</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۶۶</w:t>
            </w:r>
          </w:p>
        </w:tc>
      </w:tr>
    </w:tbl>
    <w:p>
      <w:pPr>
        <w:pStyle w:val="Heading3"/>
        <w:keepNext/>
        <w:bidi/>
        <w:spacing w:before="360" w:after="80"/>
        <w:jc w:val="lowKashida"/>
      </w:pPr>
      <w:r>
        <w:t>ج-۲ دور دوم</w:t>
      </w:r>
    </w:p>
    <w:p>
      <w:pPr>
        <w:bidi/>
        <w:spacing w:after="40"/>
        <w:jc w:val="lowKashida"/>
      </w:pPr>
      <w:r>
        <w:rPr>
          <w:rtl/>
        </w:rPr>
        <w:t xml:space="preserve">جدول ج-۲ امتیاز اهمیت هر گویه را از دید هر عضو پانل، بر پایه طیف پنج‌درجه‌ای (امتیاز بالاتر، اهمیت بیشتر)، نشان می‌دهد؛ این امتیازها همان پاسخ‌های کامل‌شده پیوست ب هستند.</w:t>
      </w:r>
    </w:p>
    <w:p>
      <w:pPr>
        <w:pStyle w:val="TableCaption"/>
        <w:keepNext/>
        <w:spacing w:before="160" w:after="80"/>
        <w:jc w:val="center"/>
        <w:rPr>
          <w:vanish/>
        </w:rPr>
      </w:pPr>
      <w:r>
        <w:t xml:space="preserve">جدول ج-۲ ماتریس امتیازهای اهمیت گویه‌ها در دور دوم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620"/>
        <w:gridCol w:w="3230"/>
        <w:gridCol w:w="560"/>
        <w:gridCol w:w="560"/>
        <w:gridCol w:w="560"/>
        <w:gridCol w:w="560"/>
        <w:gridCol w:w="560"/>
        <w:gridCol w:w="560"/>
        <w:gridCol w:w="560"/>
        <w:gridCol w:w="1018"/>
      </w:tblGrid>
      <w:tr>
        <w:trPr>
          <w:cantSplit/>
          <w:tblHeader/>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ردیف</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b/>
                <w:bCs/>
                <w:sz w:val="20"/>
                <w:szCs w:val="20"/>
                <w:rtl/>
              </w:rPr>
              <w:t xml:space="preserve">گویه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خ۲</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خ۶</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خ۷</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میانگین</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۱: آسیب‌پذیری ساختاری ناشی از تمرکز بر محصول واحد</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کامل درآمد و سودآوری شرکت به تقاضای یک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امکان جبران افت فروش از محل سایر اقلام سبد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انعطاف‌پذیری و کندی واکنش شرکت به تغییرات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۴٫۲۹</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۲: ضعف برندسازی و دشواری تمایز محصول</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برندسازی و تبلیغات و کمرنگ بودن جایگاه برند در ذهن مشتری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۳٫۸۶</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ایجاد تمایز نسبت به محصولات رقیب</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۳٫۸۶</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نوآوری و توسعه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کم‌توجهی به تحقیقات بازار و مطالعه رفتار مصرف‌کننده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۳٫۲۹</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۳: دشواری جذب و حفظ مشتری و وفاداری پایین</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جذب مشتری جدید</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وفاداری پایین مشتری به شرکت تک‌محصولی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۳٫۷۱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پیشنهاد تازه برای حفظ و فعال‌سازی مجدد مشتریان فعلی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۳٫۵۷</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۴: ضعف در برنامه‌ریزی، پیش‌بینی و مدیریت فروش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۱۱</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پیش‌بینی دقیق تقاضای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۱۲</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برنامه‌ریزی و مدیریت موجودی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۳٫۸۶</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۱۳</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نظام برنامه‌ریزی و اطلاعات فروش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۱۴</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محدودیت منابع مالی برای توزیع و ترویج محصول</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۳٫۸۶</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۵: ناکارآمدی و هزینه‌بری شبکه توزیع و فروش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۱۵</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هزینه بالای پخش و توزیع به ازای یک قلم کالا</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۱۶</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کوچک بودن شبکه فروش و پوشش محدود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۳٫۷۱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۱۷</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قدرت چانه‌زنی در برابر شبکه توزیع و خرده‌فروشی چندمحصولی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۴٫۱۴</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۱۸</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به تعداد محدودی مشتری یا کانال فروش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۳٫۸۶</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۶: شدت رقابت و فشار قیمتی بازار</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۱۹</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ورود رقبای جدید و افزایش شدت رقابت</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۴٫۵۷</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۲۰</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حضور محصولات جایگزین و برندهای رقیب دارای سبد متنوع</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۲۱</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رقابت قیمتی و نوسان قیمت رقبا</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۷: تغییر ذائقه مصرف‌کننده و محدودیت بازار هدف</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۲۲</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تغییر سریع ذائقه و ترجیحات مصرف‌کننده در گذر زمان</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۲۳</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محدود بودن بازار هدف به یک گروه خاص از مشتریان</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۲۴</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افت ناگهانی تقاضا</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۴٫۱۴</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۸: ناپایداری تأمین و نوسان بهای مواد اولیه</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۲۵</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نوسان و کمبود در تأمین مواد اولیه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۴٫۲۹</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۲۶</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تأمین به واردات و اثر تحریم و محدودیت‌های اقتصادی</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۳٫۸۶</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۲۷</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ناپیوستگی عرضه و کسری محصول در بازار</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۳٫۸۶</w:t>
            </w:r>
          </w:p>
        </w:tc>
      </w:tr>
      <w:tr>
        <w:trPr>
          <w:cantSplit/>
        </w:trPr>
        <w:tc>
          <w:tcPr>
            <w:tcW w:w="8788" w:type="dxa"/>
            <w:gridSpan w:val="10"/>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sz w:val="20"/>
                <w:szCs w:val="20"/>
                <w:rtl/>
              </w:rPr>
              <w:t xml:space="preserve">مؤلفه ۹: فشارهای اقتصاد کلان و کاهش قدرت خرید</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۲۸</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افزایش بهای تمام‌شده و فشار بر حاشیه سود</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۴٫۵۷</w:t>
            </w:r>
          </w:p>
        </w:tc>
      </w:tr>
      <w:tr>
        <w:trPr>
          <w:cantSplit/>
        </w:trPr>
        <w:tc>
          <w:tcPr>
            <w:tcW w:w="62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۲۹</w:t>
            </w:r>
          </w:p>
        </w:tc>
        <w:tc>
          <w:tcPr>
            <w:tcW w:w="323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قدرت خرید و مشکلات اقتصادی مصرف‌کننده</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01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۴٫۱۴</w:t>
            </w:r>
          </w:p>
        </w:tc>
      </w:tr>
      <w:tr>
        <w:trPr>
          <w:cantSplit/>
        </w:trPr>
        <w:tc>
          <w:tcPr>
            <w:tcW w:w="3850" w:type="dxa"/>
            <w:gridSpan w:val="2"/>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میانگین هر عضو</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۳٫۹۰</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۴٫۴۱</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۴٫۳۱</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۴٫۰۷</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۳٫۸۶</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۳٫۹۷</w:t>
            </w:r>
          </w:p>
        </w:tc>
        <w:tc>
          <w:tcPr>
            <w:tcW w:w="560"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۳٫۷۹</w:t>
            </w:r>
          </w:p>
        </w:tc>
        <w:tc>
          <w:tcPr>
            <w:tcW w:w="1018" w:type="dxa"/>
            <w:tcBorders>
              <w:top w:val="single" w:sz="4" w:color="000000" w:space="0"/>
              <w:left w:val="single" w:sz="4" w:color="000000" w:space="0"/>
              <w:bottom w:val="single" w:sz="4" w:color="000000" w:space="0"/>
              <w:right w:val="single" w:sz="4" w:color="000000" w:space="0"/>
            </w:tcBorders>
            <w:shd w:val="clear" w:color="auto" w:fill="E7E6E6"/>
            <w:tcMar>
              <w:top w:w="40" w:type="dxa"/>
              <w:left w:w="40" w:type="dxa"/>
              <w:bottom w:w="40" w:type="dxa"/>
              <w:right w:w="40" w:type="dxa"/>
            </w:tcMar>
            <w:vAlign w:val="center"/>
          </w:tcPr>
          <w:p>
            <w:pPr>
              <w:bidi/>
              <w:spacing w:after="0"/>
              <w:jc w:val="center"/>
            </w:pPr>
            <w:r>
              <w:rPr>
                <w:b/>
                <w:bCs/>
                <w:sz w:val="20"/>
                <w:szCs w:val="20"/>
                <w:rtl/>
              </w:rPr>
              <w:t xml:space="preserve">۴٫۰۴</w:t>
            </w:r>
          </w:p>
        </w:tc>
      </w:tr>
    </w:tbl>
    <w:p>
      <w:pPr>
        <w:bidi/>
        <w:spacing w:after="120"/>
      </w:pPr>
    </w:p>
    <w:p>
      <w:pPr>
        <w:bidi/>
        <w:spacing w:after="40"/>
        <w:jc w:val="lowKashida"/>
      </w:pPr>
      <w:r>
        <w:rPr>
          <w:rtl/>
        </w:rPr>
        <w:t xml:space="preserve">جدول ج-۳ شاخص‌های توصیفی هر گویه را (به تعداد n = ۷) به همراه میانگین رتبه‌ی آن در آزمون کندال نشان می‌دهد؛ میانگین، میانه، انحراف معیار و دامنه بین‌چارکی همان مقدارهای جدول ۴-۸ هستند.</w:t>
      </w:r>
    </w:p>
    <w:p>
      <w:pPr>
        <w:pStyle w:val="TableCaption"/>
        <w:keepNext/>
        <w:spacing w:before="160" w:after="80"/>
        <w:jc w:val="center"/>
        <w:rPr>
          <w:vanish/>
        </w:rPr>
      </w:pPr>
      <w:r>
        <w:t xml:space="preserve">جدول ج-۳ آمار توصیفی و میانگین رتبه گویه‌ها در دور دوم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60"/>
        <w:gridCol w:w="2150"/>
        <w:gridCol w:w="700"/>
        <w:gridCol w:w="560"/>
        <w:gridCol w:w="760"/>
        <w:gridCol w:w="620"/>
        <w:gridCol w:w="680"/>
        <w:gridCol w:w="640"/>
        <w:gridCol w:w="640"/>
        <w:gridCol w:w="800"/>
        <w:gridCol w:w="678"/>
      </w:tblGrid>
      <w:tr>
        <w:trPr>
          <w:cantSplit/>
          <w:tblHeader/>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ردیف</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b/>
                <w:bCs/>
                <w:sz w:val="18"/>
                <w:szCs w:val="18"/>
                <w:rtl/>
              </w:rPr>
              <w:t xml:space="preserve">گویه</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میانگین</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میانه</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انحراف معیار</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حداقل</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حداکثر</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چارک اول</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چارک سوم</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دامنه بین چارکی</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b/>
                <w:bCs/>
                <w:sz w:val="18"/>
                <w:szCs w:val="18"/>
                <w:rtl/>
              </w:rPr>
              <w:t xml:space="preserve">میانگین رتبه</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وابستگی کامل درآمد و سودآوری شرکت به تقاضای یک محصول</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۰٫۵۳</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۱۸٫۹۳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نبود امکان جبران افت فروش از محل سایر اقلام سبد محصول</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۰٫۵۳</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۱۹٫۰۷</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کاهش انعطاف‌پذیری و کندی واکنش شرکت به تغییرات بازار</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۴٫۲۹</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۰٫۷۶</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۱۷٫۲۱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ضعف در برندسازی و تبلیغات و کمرنگ بودن جایگاه برند در ذهن مشتری</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۳٫۸۶</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۱٫۰۷</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۱۲٫۷۹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دشواری ایجاد تمایز نسبت به محصولات رقیب</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۳٫۸۶</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۰٫۹۰</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۱۲٫۹۳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۶</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نبود نوآوری و توسعه محصول</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۹٫۲۹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۷</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کم‌توجهی به تحقیقات بازار و مطالعه رفتار مصرف‌کننده</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۳٫۲۹</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۰٫۹۵</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۸٫۰۷</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۸</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دشواری جذب مشتری جدید</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۴٫۰۰</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۰٫۸۲</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۱۴٫۲۱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۹</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وفاداری پایین مشتری به شرکت تک‌محصولی</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۳٫۷۱</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۰٫۷۶</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۱۱٫۰۰</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نبود پیشنهاد تازه برای حفظ و فعال‌سازی مجدد مشتریان فعلی</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۳٫۵۷</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۹٫۶۴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۱۱</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ضعف در پیش‌بینی دقیق تقاضای بازار</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۴٫۰۰</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۰٫۸۲</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۱۴٫۴۳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۱۲</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ضعف در برنامه‌ریزی و مدیریت موجودی</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۳٫۸۶</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۰٫۹۰</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۱۳٫۲۹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۱۳</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ضعف در نظام برنامه‌ریزی و اطلاعات فروش</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۸٫۵۰</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۱۴</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محدودیت منابع مالی برای توزیع و ترویج محصول</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۳٫۸۶</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۰٫۶۹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۱۳٫۳۶</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هزینه بالای پخش و توزیع به ازای یک قلم کالا</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۰٫۵۳</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۱۸٫۷۱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۱۶</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کوچک بودن شبکه فروش و پوشش محدود بازار</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۳٫۷۱</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۰٫۷۶</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۱۱٫۷۱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۱۷</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کاهش قدرت چانه‌زنی در برابر شبکه توزیع و خرده‌فروشی چندمحصولی</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۴٫۱۴</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۰٫۶۹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۱۶٫۰۰</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۱۸</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وابستگی به تعداد محدودی مشتری یا کانال فروش</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۳٫۸۶</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۰٫۶۹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۱۳٫۰۷</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۱۹</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ورود رقبای جدید و افزایش شدت رقابت</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۴٫۵۷</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۰٫۵۳</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۲۰٫۴۳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۲۰</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حضور محصولات جایگزین و برندهای رقیب دارای سبد متنوع</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۰٫۵۳</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۱۸٫۹۳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۲۱</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رقابت قیمتی و نوسان قیمت رقبا</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۰٫۵۳</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۱۸٫۸۶</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۲۲</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تغییر سریع ذائقه و ترجیحات مصرف‌کننده در گذر زمان</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۱۸٫۷۱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۲۳</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محدود بودن بازار هدف به یک گروه خاص از مشتریان</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۴٫۴۳</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۰٫۷۹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۱۸٫۷۱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۲۴</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افت ناگهانی تقاضا</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۴٫۱۴</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۰٫۶۹</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۱۵٫۸۶</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۲۵</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نوسان و کمبود در تأمین مواد اولیه</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۴٫۲۹</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۰٫۹۵</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۱۷٫۶۴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۲۶</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وابستگی تأمین به واردات و اثر تحریم و محدودیت‌های اقتصادی</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۳٫۸۶</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۰٫۹۰</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۱۳٫۶۴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۲۷</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ناپیوستگی عرضه و کسری محصول در بازار</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۳٫۸۶</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۰٫۹۰</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۳٫۰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۱۳٫۷۱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۲۸</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افزایش بهای تمام‌شده و فشار بر حاشیه سود</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۴٫۵۷</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۰٫۵۳</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۲۰٫۵۰</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۲۹</w:t>
            </w:r>
          </w:p>
        </w:tc>
        <w:tc>
          <w:tcPr>
            <w:tcW w:w="215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pPr>
            <w:r>
              <w:rPr>
                <w:sz w:val="18"/>
                <w:szCs w:val="18"/>
                <w:rtl/>
              </w:rPr>
              <w:t xml:space="preserve">کاهش قدرت خرید و مشکلات اقتصادی مصرف‌کننده</w:t>
            </w:r>
          </w:p>
        </w:tc>
        <w:tc>
          <w:tcPr>
            <w:tcW w:w="7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۴٫۱۴</w:t>
            </w:r>
          </w:p>
        </w:tc>
        <w:tc>
          <w:tcPr>
            <w:tcW w:w="5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76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۰٫۳۸</w:t>
            </w:r>
          </w:p>
        </w:tc>
        <w:tc>
          <w:tcPr>
            <w:tcW w:w="62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w:t>
            </w:r>
          </w:p>
        </w:tc>
        <w:tc>
          <w:tcPr>
            <w:tcW w:w="68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۵</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64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۴٫۰</w:t>
            </w:r>
          </w:p>
        </w:tc>
        <w:tc>
          <w:tcPr>
            <w:tcW w:w="800"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۰٫۰</w:t>
            </w:r>
          </w:p>
        </w:tc>
        <w:tc>
          <w:tcPr>
            <w:tcW w:w="678" w:type="dxa"/>
            <w:tcBorders>
              <w:top w:val="single" w:sz="4" w:color="000000" w:space="0"/>
              <w:left w:val="single" w:sz="4" w:color="000000" w:space="0"/>
              <w:bottom w:val="single" w:sz="4" w:color="000000" w:space="0"/>
              <w:right w:val="single" w:sz="4" w:color="000000" w:space="0"/>
            </w:tcBorders>
            <w:tcMar>
              <w:top w:w="40" w:type="dxa"/>
              <w:left w:w="30" w:type="dxa"/>
              <w:bottom w:w="40" w:type="dxa"/>
              <w:right w:w="30" w:type="dxa"/>
            </w:tcMar>
            <w:vAlign w:val="center"/>
          </w:tcPr>
          <w:p>
            <w:pPr>
              <w:bidi/>
              <w:spacing w:after="0"/>
              <w:jc w:val="center"/>
            </w:pPr>
            <w:r>
              <w:rPr>
                <w:sz w:val="18"/>
                <w:szCs w:val="18"/>
                <w:rtl/>
              </w:rPr>
              <w:t xml:space="preserve">۱۵٫۷۹</w:t>
            </w:r>
          </w:p>
        </w:tc>
      </w:tr>
    </w:tbl>
    <w:p>
      <w:pPr>
        <w:bidi/>
        <w:spacing w:after="120"/>
      </w:pPr>
    </w:p>
    <w:p>
      <w:pPr>
        <w:pStyle w:val="TableCaption"/>
        <w:keepNext/>
        <w:spacing w:before="160" w:after="80"/>
        <w:jc w:val="center"/>
        <w:rPr>
          <w:vanish/>
        </w:rPr>
      </w:pPr>
      <w:r>
        <w:t xml:space="preserve">جدول ج-۴ آزمون ضریب هماهنگی کندال (W) در دور دوم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600"/>
        <w:gridCol w:w="3188"/>
      </w:tblGrid>
      <w:tr>
        <w:trPr>
          <w:cantSplit/>
          <w:tblHeader/>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b/>
                <w:bCs/>
                <w:sz w:val="22"/>
                <w:szCs w:val="22"/>
                <w:rtl/>
              </w:rPr>
              <w:t xml:space="preserve">شاخص</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مقدار</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تعداد اعضای پانل (m)</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۷</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تعداد گویه‌ها (n)</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۲۹</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مجموع مجذور انحراف رتبه‌های جمع‌شده از میانگین (S)</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۱۸۵۷۴</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جمع تصحیح همرتبگی (ΣT)</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۲۸۲۴۸</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ضریب W کندال</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۰٫۲۲۴</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آماره مجذور کای (χ²)</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۴۳٫۸۷</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درجه آزادی (df)</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۲۸</w:t>
            </w:r>
          </w:p>
        </w:tc>
      </w:tr>
      <w:tr>
        <w:trPr>
          <w:cantSplit/>
        </w:trPr>
        <w:tc>
          <w:tcPr>
            <w:tcW w:w="5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2"/>
                <w:szCs w:val="22"/>
                <w:rtl/>
              </w:rPr>
              <w:t xml:space="preserve">سطح معناداری (p)</w:t>
            </w:r>
          </w:p>
        </w:tc>
        <w:tc>
          <w:tcPr>
            <w:tcW w:w="3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۰٫۰۲۸۶</w:t>
            </w:r>
          </w:p>
        </w:tc>
      </w:tr>
    </w:tbl>
    <w:p>
      <w:pPr>
        <w:bidi/>
        <w:spacing w:after="120"/>
      </w:pPr>
    </w:p>
    <w:p>
      <w:pPr>
        <w:pStyle w:val="TableCaption"/>
        <w:keepNext/>
        <w:spacing w:before="160" w:after="80"/>
        <w:jc w:val="center"/>
        <w:rPr>
          <w:vanish/>
        </w:rPr>
      </w:pPr>
      <w:r>
        <w:t xml:space="preserve">جدول ج-۵ آمار توصیفی امتیازهای هر عضو پانل در دور دوم (روی ۲۹ گویه)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188"/>
        <w:gridCol w:w="1650"/>
        <w:gridCol w:w="1650"/>
        <w:gridCol w:w="1650"/>
        <w:gridCol w:w="1650"/>
      </w:tblGrid>
      <w:tr>
        <w:trPr>
          <w:cantSplit/>
          <w:tblHeader/>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عضو پانل</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میانگین</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انحراف معیار</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حداقل</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حداکثر</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خ۱</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۳٫۹۰</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۰٫۷۷</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۵</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خ۲</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۴٫۴۱</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۰٫۷۸</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۵</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خ۳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۴٫۳۱</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۰٫۸۵</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۵</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خ۴</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۴٫۰۷</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۰٫۸۰</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۵</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خ۵</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۳٫۸۶</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۰٫۶۹</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۵</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خ۶</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۳٫۹۷</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۰٫۷۳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۵</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خ۷</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۳٫۷۹</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۰٫۷۳</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۲</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۵</w:t>
            </w:r>
          </w:p>
        </w:tc>
      </w:tr>
      <w:tr>
        <w:trPr>
          <w:cantSplit/>
        </w:trPr>
        <w:tc>
          <w:tcPr>
            <w:tcW w:w="21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کل پانل</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۴٫۰۴</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۰٫۷۹</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۲</w:t>
            </w:r>
          </w:p>
        </w:tc>
        <w:tc>
          <w:tcPr>
            <w:tcW w:w="165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۵</w:t>
            </w:r>
          </w:p>
        </w:tc>
      </w:tr>
    </w:tbl>
    <w:p>
      <w:pPr>
        <w:bidi/>
        <w:spacing w:after="120"/>
      </w:pPr>
    </w:p>
    <w:p>
      <w:pPr>
        <w:pStyle w:val="TableCaption"/>
        <w:keepNext/>
        <w:spacing w:before="160" w:after="80"/>
        <w:jc w:val="center"/>
        <w:rPr>
          <w:vanish/>
        </w:rPr>
      </w:pPr>
      <w:r>
        <w:t xml:space="preserve">جدول ج-۶ میانگین مؤلفه‌ها در دور دوم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60"/>
        <w:gridCol w:w="3300"/>
        <w:gridCol w:w="1500"/>
        <w:gridCol w:w="1000"/>
        <w:gridCol w:w="1200"/>
        <w:gridCol w:w="1228"/>
      </w:tblGrid>
      <w:tr>
        <w:trPr>
          <w:cantSplit/>
          <w:tblHeader/>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ردیف</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b/>
                <w:bCs/>
                <w:sz w:val="20"/>
                <w:szCs w:val="20"/>
                <w:rtl/>
              </w:rPr>
              <w:t xml:space="preserve">مؤلفه</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دسته</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شمار گویه</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میانگین</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رتبه</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آسیب‌پذیری ساختاری ناشی از تمرکز بر محصول واحد</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درون‌سازمانی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۴٫۳۸</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برندسازی و دشواری تمایز محصول</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درون‌سازمانی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۳٫۶۱</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جذب و حفظ مشتری و وفاداری پایین</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درون‌سازمانی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۳٫۷۶</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برنامه‌ریزی، پیش‌بینی و مدیریت فروش</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درون‌سازمانی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۳٫۷۹</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ناکارآمدی و هزینه‌بری شبکه توزیع و فروش</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درون‌سازمانی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۴٫۰۴</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شدت رقابت و فشار قیمتی بازار</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۴٫۴۸</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تغییر ذائقه مصرف‌کننده و محدودیت بازار هدف</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۴٫۳۳</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ناپایداری تأمین و نوسان بهای مواد اولیه</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فشارهای اقتصاد کلان و کاهش قدرت خرید</w:t>
            </w:r>
          </w:p>
        </w:tc>
        <w:tc>
          <w:tcPr>
            <w:tcW w:w="15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برون‌سازمانی</w:t>
            </w:r>
          </w:p>
        </w:tc>
        <w:tc>
          <w:tcPr>
            <w:tcW w:w="10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۴٫۳۶</w:t>
            </w:r>
          </w:p>
        </w:tc>
        <w:tc>
          <w:tcPr>
            <w:tcW w:w="12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bl>
    <w:p>
      <w:pPr>
        <w:pStyle w:val="Heading3"/>
        <w:keepNext/>
        <w:bidi/>
        <w:spacing w:before="360" w:after="80"/>
        <w:jc w:val="lowKashida"/>
      </w:pPr>
      <w:r>
        <w:t>ج-۳ دور سوم</w:t>
      </w:r>
    </w:p>
    <w:p>
      <w:pPr>
        <w:bidi/>
        <w:spacing w:after="40"/>
        <w:jc w:val="lowKashida"/>
      </w:pPr>
      <w:r>
        <w:rPr>
          <w:rtl/>
        </w:rPr>
        <w:t xml:space="preserve">در دور سوم، هر عضو پانل با آگاهی از بازخورد ناشناس دور دوم (امتیاز خود و میانگین و میانه کل پانل) گویه‌ها را دوباره رتبه‌بندی کرد. جدول ج-۷ شاخص‌های توصیفی هر گویه را در این دور، به همراه جابه‌جایی میانگین نسبت به دور دوم، نشان می‌دهد؛ میانگین، میانه، انحراف معیار و دامنه بین‌چارکی همان مقدارهای جدول ۴-۹ هستند.</w:t>
      </w:r>
    </w:p>
    <w:p>
      <w:pPr>
        <w:pStyle w:val="TableCaption"/>
        <w:keepNext/>
        <w:spacing w:before="160" w:after="80"/>
        <w:jc w:val="center"/>
        <w:rPr>
          <w:vanish/>
        </w:rPr>
      </w:pPr>
      <w:r>
        <w:t xml:space="preserve">جدول ج-۷ آمار توصیفی گویه‌ها در دور سوم و جابه‌جایی میانگین نسبت به دور دوم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60"/>
        <w:gridCol w:w="3250"/>
        <w:gridCol w:w="760"/>
        <w:gridCol w:w="640"/>
        <w:gridCol w:w="800"/>
        <w:gridCol w:w="900"/>
        <w:gridCol w:w="1878"/>
      </w:tblGrid>
      <w:tr>
        <w:trPr>
          <w:cantSplit/>
          <w:tblHeader/>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ردیف</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b/>
                <w:bCs/>
                <w:sz w:val="20"/>
                <w:szCs w:val="20"/>
                <w:rtl/>
              </w:rPr>
              <w:t xml:space="preserve">گویه</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میانگین</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میانه</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انحراف معیار</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دامنه بین چارکی</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تغییر میانگین</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کامل درآمد و سودآوری شرکت به تقاضای یک محصول</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۰٫۵۳</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بدون تغییر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امکان جبران افت فروش از محل سایر اقلام سبد محصول</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۰٫۵۳</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بدون تغییر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انعطاف‌پذیری و کندی واکنش شرکت به تغییرات بازار</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۰٫۲۹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برندسازی و تبلیغات و کمرنگ بودن جایگاه برند در ذهن مشتری</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ایجاد تمایز نسبت به محصولات رقیب</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نوآوری و توسعه محصول</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۳٫۱۴</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۰٫۳۸</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۰٫۲۹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کم‌توجهی به تحقیقات بازار و مطالعه رفتار مصرف‌کننده</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۳٫۱۴</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۰٫۳۸</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۰٫۱۵</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جذب مشتری جدید</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بدون تغییر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وفاداری پایین مشتری به شرکت تک‌محصولی</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۰٫۲۹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نبود پیشنهاد تازه برای حفظ و فعال‌سازی مجدد مشتریان فعلی</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۳٫۴۳</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۰٫۵۳</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۱۱</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پیش‌بینی دقیق تقاضای بازار</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بدون تغییر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۱۲</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برنامه‌ریزی و مدیریت موجودی</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۱۳</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نظام برنامه‌ریزی و اطلاعات فروش</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۳٫۱۴</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۰٫۳۸</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۰٫۲۹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۱۴</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محدودیت منابع مالی برای توزیع و ترویج محصول</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۱۵</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هزینه بالای پخش و توزیع به ازای یک قلم کالا</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۰٫۵۳</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بدون تغییر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۱۶</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کوچک بودن شبکه فروش و پوشش محدود بازار</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۰٫۲۹</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۱۷</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قدرت چانه‌زنی در برابر شبکه توزیع و خرده‌فروشی چندمحصولی</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۱۸</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به تعداد محدودی مشتری یا کانال فروش</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۱۹</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ورود رقبای جدید و افزایش شدت رقابت</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۰٫۴۳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۲۰</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حضور محصولات جایگزین و برندهای رقیب دارای سبد متنوع</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۰٫۴۳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۲۱</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رقابت قیمتی و نوسان قیمت رقبا</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۰٫۴۳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۲۲</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تغییر سریع ذائقه و ترجیحات مصرف‌کننده در گذر زمان</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۴٫۷۱</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۰٫۴۹</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۰٫۵</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۰٫۲۸</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۲۳</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محدود بودن بازار هدف به یک گروه خاص از مشتریان</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۴٫۵۷</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۰٫۵۳</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۲۴</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افت ناگهانی تقاضا</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۲۵</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نوسان و کمبود در تأمین مواد اولیه</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۴٫۵۷</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۰٫۵۳</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۰٫۲۸</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۲۶</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وابستگی تأمین به واردات و اثر تحریم و محدودیت‌های اقتصادی</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۲۷</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ناپیوستگی عرضه و کسری محصول در بازار</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۰٫۱۴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۲۸</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افزایش بهای تمام‌شده و فشار بر حاشیه سود</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افزایش ۰٫۴۳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۲۹</w:t>
            </w:r>
          </w:p>
        </w:tc>
        <w:tc>
          <w:tcPr>
            <w:tcW w:w="325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کاهش قدرت خرید و مشکلات اقتصادی مصرف‌کننده</w:t>
            </w:r>
          </w:p>
        </w:tc>
        <w:tc>
          <w:tcPr>
            <w:tcW w:w="7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64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8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۰٫۰۰</w:t>
            </w:r>
          </w:p>
        </w:tc>
        <w:tc>
          <w:tcPr>
            <w:tcW w:w="9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۰٫۰</w:t>
            </w:r>
          </w:p>
        </w:tc>
        <w:tc>
          <w:tcPr>
            <w:tcW w:w="187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کاهش ۰٫۱۴</w:t>
            </w:r>
          </w:p>
        </w:tc>
      </w:tr>
    </w:tbl>
    <w:p>
      <w:pPr>
        <w:bidi/>
        <w:spacing w:after="120"/>
      </w:pPr>
    </w:p>
    <w:p>
      <w:pPr>
        <w:pStyle w:val="TableCaption"/>
        <w:keepNext/>
        <w:spacing w:before="160" w:after="80"/>
        <w:jc w:val="center"/>
        <w:rPr>
          <w:vanish/>
        </w:rPr>
      </w:pPr>
      <w:r>
        <w:t xml:space="preserve">جدول ج-۸ میانگین و رتبه مؤلفه‌ها در دور دوم و دور سوم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60"/>
        <w:gridCol w:w="3400"/>
        <w:gridCol w:w="1200"/>
        <w:gridCol w:w="1100"/>
        <w:gridCol w:w="1200"/>
        <w:gridCol w:w="1328"/>
      </w:tblGrid>
      <w:tr>
        <w:trPr>
          <w:cantSplit/>
          <w:tblHeader/>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ردیف</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b/>
                <w:bCs/>
                <w:sz w:val="20"/>
                <w:szCs w:val="20"/>
                <w:rtl/>
              </w:rPr>
              <w:t xml:space="preserve">مؤلفه</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میانگین دور دوم</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رتبه دور دوم</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میانگین دور سوم</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b/>
                <w:bCs/>
                <w:sz w:val="20"/>
                <w:szCs w:val="20"/>
                <w:rtl/>
              </w:rPr>
              <w:t xml:space="preserve">رتبه دور سوم</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فشارهای اقتصاد کلان و کاهش قدرت خرید</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۴٫۳۶</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۴٫۵۰</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تغییر ذائقه مصرف‌کننده و محدودیت بازار هدف</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۴٫۳۳</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۴٫۴۳</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شدت رقابت و فشار قیمتی بازار</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۴٫۴۸</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۱</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۴٫۳۳</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آسیب‌پذیری ساختاری ناشی از تمرکز بر محصول واحد</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۴٫۳۸</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۲</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۴٫۲۹</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ناپایداری تأمین و نوسان بهای مواد اولیه</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۴٫۰۰</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۴٫۱۹</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ناکارآمدی و هزینه‌بری شبکه توزیع و فروش</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۴٫۰۴</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۵</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۴٫۱۱</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۶</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دشواری جذب و حفظ مشتری و وفاداری پایین</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۳٫۷۶</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۳٫۸۱</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در برنامه‌ریزی، پیش‌بینی و مدیریت فروش</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۳٫۷۹</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۷</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۳٫۷۹</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۸</w:t>
            </w:r>
          </w:p>
        </w:tc>
      </w:tr>
      <w:tr>
        <w:trPr>
          <w:cantSplit/>
        </w:trPr>
        <w:tc>
          <w:tcPr>
            <w:tcW w:w="56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c>
          <w:tcPr>
            <w:tcW w:w="34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pPr>
            <w:r>
              <w:rPr>
                <w:sz w:val="20"/>
                <w:szCs w:val="20"/>
                <w:rtl/>
              </w:rPr>
              <w:t xml:space="preserve">ضعف برندسازی و دشواری تمایز محصول</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۳٫۶۱</w:t>
            </w:r>
          </w:p>
        </w:tc>
        <w:tc>
          <w:tcPr>
            <w:tcW w:w="11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c>
          <w:tcPr>
            <w:tcW w:w="1200"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۳٫۵۷</w:t>
            </w:r>
          </w:p>
        </w:tc>
        <w:tc>
          <w:tcPr>
            <w:tcW w:w="1328" w:type="dxa"/>
            <w:tcBorders>
              <w:top w:val="single" w:sz="4" w:color="000000" w:space="0"/>
              <w:left w:val="single" w:sz="4" w:color="000000" w:space="0"/>
              <w:bottom w:val="single" w:sz="4" w:color="000000" w:space="0"/>
              <w:right w:val="single" w:sz="4" w:color="000000" w:space="0"/>
            </w:tcBorders>
            <w:tcMar>
              <w:top w:w="40" w:type="dxa"/>
              <w:left w:w="40" w:type="dxa"/>
              <w:bottom w:w="40" w:type="dxa"/>
              <w:right w:w="40" w:type="dxa"/>
            </w:tcMar>
            <w:vAlign w:val="center"/>
          </w:tcPr>
          <w:p>
            <w:pPr>
              <w:bidi/>
              <w:spacing w:after="0"/>
              <w:jc w:val="center"/>
            </w:pPr>
            <w:r>
              <w:rPr>
                <w:sz w:val="20"/>
                <w:szCs w:val="20"/>
                <w:rtl/>
              </w:rPr>
              <w:t xml:space="preserve">۹</w:t>
            </w:r>
          </w:p>
        </w:tc>
      </w:tr>
    </w:tbl>
    <w:p>
      <w:pPr>
        <w:bidi/>
        <w:spacing w:after="120"/>
      </w:pPr>
    </w:p>
    <w:p>
      <w:pPr>
        <w:bidi/>
        <w:spacing w:after="60"/>
        <w:jc w:val="lowKashida"/>
      </w:pPr>
      <w:r>
        <w:rPr>
          <w:highlight w:val="yellow"/>
          <w:rtl/>
        </w:rPr>
        <w:t xml:space="preserve">[ماتریس امتیازهای خام دور سوم و میانگین رتبه‌های آزمون کندال در آن دور: پس از دریافت داده خام دور سوم تکمیل می‌شود.]</w:t>
      </w:r>
    </w:p>
    <w:p>
      <w:pPr>
        <w:pStyle w:val="TableCaption"/>
        <w:keepNext/>
        <w:spacing w:before="160" w:after="80"/>
        <w:jc w:val="center"/>
        <w:rPr>
          <w:vanish/>
        </w:rPr>
      </w:pPr>
      <w:r>
        <w:t xml:space="preserve">جدول ج-۹ خلاصه آزمون ضریب هماهنگی کندال (W) در دور دوم و دور سوم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400"/>
        <w:gridCol w:w="1600"/>
        <w:gridCol w:w="1600"/>
        <w:gridCol w:w="1500"/>
        <w:gridCol w:w="1688"/>
      </w:tblGrid>
      <w:tr>
        <w:trPr>
          <w:cantSplit/>
          <w:tblHeader/>
        </w:trPr>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دور</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ضریب W کندال</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مجذور کای</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درجه آزادی</w:t>
            </w:r>
          </w:p>
        </w:tc>
        <w:tc>
          <w:tcPr>
            <w:tcW w:w="1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سطح معناداری</w:t>
            </w:r>
          </w:p>
        </w:tc>
      </w:tr>
      <w:tr>
        <w:trPr>
          <w:cantSplit/>
        </w:trPr>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دوم</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۰٫۲۲۴</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۴۳٫۸۷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۲۸</w:t>
            </w:r>
          </w:p>
        </w:tc>
        <w:tc>
          <w:tcPr>
            <w:tcW w:w="1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۰٫۰۲۸۶</w:t>
            </w:r>
          </w:p>
        </w:tc>
      </w:tr>
      <w:tr>
        <w:trPr>
          <w:cantSplit/>
        </w:trPr>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سوم (مطابق جدول ۴-۱۰)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۰٫۷۵۶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۱۴۸٫۱۹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۲۸</w:t>
            </w:r>
          </w:p>
        </w:tc>
        <w:tc>
          <w:tcPr>
            <w:tcW w:w="1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کمتر از ۰٫۰۰۰۱</w:t>
            </w:r>
          </w:p>
        </w:tc>
      </w:tr>
    </w:tbl>
    <w:p>
      <w:pPr>
        <w:pStyle w:val="Heading3"/>
        <w:keepNext/>
        <w:pageBreakBefore/>
        <w:bidi/>
        <w:spacing w:before="0" w:after="80"/>
        <w:jc w:val="lowKashida"/>
      </w:pPr>
      <w:r>
        <w:t>ج-۴ ثبات رتبه‌بندی میان دور دوم و دور سوم</w:t>
      </w:r>
    </w:p>
    <w:p>
      <w:pPr>
        <w:bidi/>
        <w:spacing w:after="40"/>
        <w:jc w:val="lowKashida"/>
      </w:pPr>
      <w:r>
        <w:rPr>
          <w:rtl/>
        </w:rPr>
        <w:t xml:space="preserve">جدول ج-۱۰ ضریب همبستگی اسپیرمن میان رتبه‌بندی دور دوم و دور سوم را در دو سطح گویه و مؤلفه گزارش می‌کند. جدول ج-۱۱ رتبه میانگین هر گویه را در دو دور نشان می‌دهد (رتبه ۱ = بالاترین میانگین؛ برای میانگین‌های برابر، میانگین رتبه)؛ رتبه مؤلفه‌ها در جدول ج-۸ آمده است.</w:t>
      </w:r>
    </w:p>
    <w:p>
      <w:pPr>
        <w:pStyle w:val="TableCaption"/>
        <w:keepNext/>
        <w:spacing w:before="160" w:after="80"/>
        <w:jc w:val="center"/>
        <w:rPr>
          <w:vanish/>
        </w:rPr>
      </w:pPr>
      <w:r>
        <w:t xml:space="preserve">جدول ج-۱۰ ضریب همبستگی رتبه‌ای اسپیرمن میان دور دوم و دور سوم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2400"/>
        <w:gridCol w:w="1500"/>
        <w:gridCol w:w="2400"/>
        <w:gridCol w:w="2488"/>
      </w:tblGrid>
      <w:tr>
        <w:trPr>
          <w:cantSplit/>
          <w:tblHeader/>
        </w:trPr>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سطح تحلیل</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تعداد</w:t>
            </w:r>
          </w:p>
        </w:tc>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ضریب اسپیرمن (ρ)</w:t>
            </w:r>
          </w:p>
        </w:tc>
        <w:tc>
          <w:tcPr>
            <w:tcW w:w="24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سطح معناداری (دودامنه)</w:t>
            </w:r>
          </w:p>
        </w:tc>
      </w:tr>
      <w:tr>
        <w:trPr>
          <w:cantSplit/>
        </w:trPr>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گویه‌ها</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۲۹</w:t>
            </w:r>
          </w:p>
        </w:tc>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۰٫۸۴۷</w:t>
            </w:r>
          </w:p>
        </w:tc>
        <w:tc>
          <w:tcPr>
            <w:tcW w:w="24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کمتر از ۰٫۰۰۰۱</w:t>
            </w:r>
          </w:p>
        </w:tc>
      </w:tr>
      <w:tr>
        <w:trPr>
          <w:cantSplit/>
        </w:trPr>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مؤلفه‌ها</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۹</w:t>
            </w:r>
          </w:p>
        </w:tc>
        <w:tc>
          <w:tcPr>
            <w:tcW w:w="24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۰٫۸۳۳</w:t>
            </w:r>
          </w:p>
        </w:tc>
        <w:tc>
          <w:tcPr>
            <w:tcW w:w="24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۰٫۰۰۵۳</w:t>
            </w:r>
          </w:p>
        </w:tc>
      </w:tr>
    </w:tbl>
    <w:p>
      <w:pPr>
        <w:bidi/>
        <w:spacing w:after="120"/>
      </w:pPr>
    </w:p>
    <w:p>
      <w:pPr>
        <w:pStyle w:val="TableCaption"/>
        <w:keepNext/>
        <w:spacing w:before="160" w:after="80"/>
        <w:jc w:val="center"/>
        <w:rPr>
          <w:vanish/>
        </w:rPr>
      </w:pPr>
      <w:r>
        <w:t xml:space="preserve">جدول ج-۱۱ میانگین و رتبه گویه‌ها در دور دوم و دور سوم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800"/>
        <w:gridCol w:w="1600"/>
        <w:gridCol w:w="1500"/>
        <w:gridCol w:w="1600"/>
        <w:gridCol w:w="1500"/>
        <w:gridCol w:w="1788"/>
      </w:tblGrid>
      <w:tr>
        <w:trPr>
          <w:cantSplit/>
          <w:tblHeader/>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ردیف</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میانگین دور دوم</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رتبه دور دوم</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میانگین دور سوم</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رتبه دور سوم</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اختلاف رتبه</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۴٫۲۹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۱۰٫۵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۳٫۸۶</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۳٫۸۶</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۲۷٫۵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۳٫۱۴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۲۸</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۳٫۲۹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۲۹</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۳٫۱۴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۲۸</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۸</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۹</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۳٫۷۱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۲۴٫۵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۳٫۵۷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۲۶</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۱۱</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۱۲</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۳٫۸۶</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۱۳</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۲۷٫۵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۳٫۱۴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۲۸</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۱۴</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۳٫۸۶</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۳٫۷۱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۲۴٫۵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۴٫۱۴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۱۳</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۱۸</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۳٫۸۶</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۱۹</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۵٫۰۰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۱۱</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۲۱</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۱۱</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۲۲</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۴٫۷۱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۲۳</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۲۴</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۴٫۱۴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۱۳</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۴٫۲۹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۱۰٫۵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۲۶</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۳٫۸۶</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۲۷</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۳٫۸۶</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۲۰</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۲۸</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۵٫۰۰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۱٫۵</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w:t>
            </w:r>
          </w:p>
        </w:tc>
      </w:tr>
      <w:tr>
        <w:trPr>
          <w:cantSplit/>
        </w:trPr>
        <w:tc>
          <w:tcPr>
            <w:tcW w:w="8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۲۹</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۴٫۱۴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۱۳</w:t>
            </w:r>
          </w:p>
        </w:tc>
        <w:tc>
          <w:tcPr>
            <w:tcW w:w="16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۴٫۰۰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۱۷</w:t>
            </w:r>
          </w:p>
        </w:tc>
        <w:tc>
          <w:tcPr>
            <w:tcW w:w="17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w:t>
            </w:r>
          </w:p>
        </w:tc>
      </w:tr>
    </w:tbl>
    <w:p>
      <w:pPr>
        <w:pStyle w:val="Heading2"/>
        <w:keepNext/>
        <w:pageBreakBefore/>
        <w:bidi/>
        <w:spacing w:before="0" w:after="80"/>
        <w:jc w:val="lowKashida"/>
      </w:pPr>
      <w:r>
        <w:t>پیوست د: صنعت مواد غذایی ایران در یک نگاه</w:t>
      </w:r>
    </w:p>
    <w:p>
      <w:pPr>
        <w:bidi/>
        <w:spacing w:after="60"/>
        <w:jc w:val="lowKashida"/>
      </w:pPr>
      <w:r>
        <w:rPr>
          <w:rtl/>
        </w:rPr>
        <w:t xml:space="preserve">این پیوست تصویری کلی از صنعت مواد غذایی ایران، به عنوان بستر انجام پژوهش، ارائه می‌دهد. ارقام نقل‌شده از منابع و سال‌های گوناگون گرفته شده و به دلیل تفاوت در تعریف صنعت و سال مبنا هم‌تراز نیستند؛ از این رو برای نمایش مرتبه بزرگی به کار رفته‌اند، نه به جای آمار رسمی که در گزارش‌های سالانه مرکز آمار ایران (کارگاه‌های صنعتی ۱۰ نفر کارکن و بیشتر) منتشر می‌شود.</w:t>
      </w:r>
    </w:p>
    <w:p>
      <w:pPr>
        <w:pStyle w:val="Heading3"/>
        <w:keepNext/>
        <w:bidi/>
        <w:spacing w:before="120" w:after="80"/>
        <w:jc w:val="lowKashida"/>
      </w:pPr>
      <w:r>
        <w:t>د-۱ تعریف و دامنه صنعت</w:t>
      </w:r>
    </w:p>
    <w:p>
      <w:pPr>
        <w:bidi/>
        <w:spacing w:after="60"/>
        <w:jc w:val="lowKashida"/>
      </w:pPr>
      <w:r>
        <w:rPr>
          <w:rtl/>
        </w:rPr>
        <w:t xml:space="preserve">صنعت مواد غذایی مجموعه فعالیت‌های تولید، فرآوری، بسته‌بندی و توزیع محصولات خوراکی و آشامیدنی است (بخش ۱-۸-۳). در طبقه‌بندی بین‌المللی فعالیت‌های اقتصادی (</w:t>
      </w:r>
      <w:r>
        <w:rPr>
          <w:rFonts w:ascii="Times New Roman" w:hAnsi="Times New Roman" w:cs="Times New Roman" w:eastAsia="Times New Roman"/>
        </w:rPr>
        <w:t xml:space="preserve">ISIC</w:t>
      </w:r>
      <w:r>
        <w:rPr>
          <w:rtl/>
        </w:rPr>
        <w:t xml:space="preserve">)، تولید محصولات غذایی و تولید نوشیدنی‌ها دو بخش جداگانه‌اند (در ویرایش چهارم، بخش‌های ۱۰ و ۱۱). زیربخش‌های اصلی آن در ایران عبارت‌اند از فرآورده‌های لبنی، گوشت و فرآورده‌های گوشتی، روغن‌ها و چربی‌های خوراکی، آرد و فرآورده‌های غلات، قند و شکر، شیرینی و شکلات، کنسرو و فرآورده‌های میوه و سبزی و نوشیدنی‌ها. محصول شرکت‌های محل فعالیت اعضای پانل این پژوهش (فرآورده‌های لبنی، کره و حلوا ارده؛ جدول ۴-۵) نمونه‌هایی از همین زیربخش‌هاست.</w:t>
      </w:r>
    </w:p>
    <w:p>
      <w:pPr>
        <w:pStyle w:val="Heading3"/>
        <w:keepNext/>
        <w:bidi/>
        <w:spacing w:before="120" w:after="80"/>
        <w:jc w:val="lowKashida"/>
      </w:pPr>
      <w:r>
        <w:t>د-۲ جایگاه اقتصادی</w:t>
      </w:r>
    </w:p>
    <w:p>
      <w:pPr>
        <w:keepNext/>
        <w:bidi/>
        <w:spacing w:after="0"/>
        <w:jc w:val="lowKashida"/>
      </w:pPr>
      <w:r>
        <w:rPr>
          <w:rtl/>
        </w:rPr>
        <w:t xml:space="preserve">صنایع غذایی از بزرگ‌ترین بخش‌های صنعتی کشور از نظر اشتغال است. جدول د-۱ چند شاخص گزارش‌شده را، به نقل از اظهارات رئیس کمیسیون صنایع غذایی اتاق ایران در اردیبهشت ۱۴۰۳، نشان می‌دهد. سهم ایران از صادرات جهانی این صنعت اندک است؛ قلی‌پور و همکاران (۱۴۰۳) نیز نشان داده‌اند که ایران در تجارت محصولات غذایی با عمان عمدتاً در مراحل ابتدایی زنجیره ارزش قرار دارد و از ارزش افزوده بالا و تمایز محصول کمتر بهره می‌برد.</w:t>
      </w:r>
    </w:p>
    <w:p>
      <w:pPr>
        <w:pStyle w:val="TableCaption"/>
        <w:keepNext/>
        <w:spacing w:before="160" w:after="80"/>
        <w:jc w:val="center"/>
        <w:rPr>
          <w:vanish/>
        </w:rPr>
      </w:pPr>
      <w:r>
        <w:t xml:space="preserve">جدول د-۱ شاخص‌های گزارش‌شده درباره صنعت مواد غذایی ایران (منبع: خبرگزاری مهر، ۱۴۰۳)</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5200"/>
        <w:gridCol w:w="3588"/>
      </w:tblGrid>
      <w:tr>
        <w:trPr>
          <w:cantSplit/>
          <w:tblHeader/>
        </w:trPr>
        <w:tc>
          <w:tcPr>
            <w:tcW w:w="5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شاخص</w:t>
            </w:r>
          </w:p>
        </w:tc>
        <w:tc>
          <w:tcPr>
            <w:tcW w:w="35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2"/>
                <w:szCs w:val="22"/>
                <w:rtl/>
              </w:rPr>
              <w:t xml:space="preserve">مقدار گزارش‌شده</w:t>
            </w:r>
          </w:p>
        </w:tc>
      </w:tr>
      <w:tr>
        <w:trPr>
          <w:cantSplit/>
        </w:trPr>
        <w:tc>
          <w:tcPr>
            <w:tcW w:w="5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سهم صنعت از اشتغال صنعتی کشور</w:t>
            </w:r>
          </w:p>
        </w:tc>
        <w:tc>
          <w:tcPr>
            <w:tcW w:w="35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highlight w:val="yellow"/>
                <w:rtl/>
              </w:rPr>
              <w:t xml:space="preserve">حدود ۱۸ درصد</w:t>
            </w:r>
          </w:p>
        </w:tc>
      </w:tr>
      <w:tr>
        <w:trPr>
          <w:cantSplit/>
        </w:trPr>
        <w:tc>
          <w:tcPr>
            <w:tcW w:w="5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ارزش صادرات جهانی صنایع غذایی در سال ۲۰۲۳</w:t>
            </w:r>
          </w:p>
        </w:tc>
        <w:tc>
          <w:tcPr>
            <w:tcW w:w="35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highlight w:val="yellow"/>
                <w:rtl/>
              </w:rPr>
              <w:t xml:space="preserve">حدود ۷۰۰ میلیارد دلار</w:t>
            </w:r>
          </w:p>
        </w:tc>
      </w:tr>
      <w:tr>
        <w:trPr>
          <w:cantSplit/>
        </w:trPr>
        <w:tc>
          <w:tcPr>
            <w:tcW w:w="5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rtl/>
              </w:rPr>
              <w:t xml:space="preserve">سهم ایران از صادرات جهانی صنایع غذایی</w:t>
            </w:r>
          </w:p>
        </w:tc>
        <w:tc>
          <w:tcPr>
            <w:tcW w:w="35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2"/>
                <w:szCs w:val="22"/>
                <w:highlight w:val="yellow"/>
                <w:rtl/>
              </w:rPr>
              <w:t xml:space="preserve">حدود ۰٫۳ درصد</w:t>
            </w:r>
          </w:p>
        </w:tc>
      </w:tr>
    </w:tbl>
    <w:p>
      <w:pPr>
        <w:bidi/>
        <w:spacing w:after="60"/>
      </w:pPr>
    </w:p>
    <w:p>
      <w:pPr>
        <w:pStyle w:val="Heading3"/>
        <w:keepNext/>
        <w:bidi/>
        <w:spacing w:before="120" w:after="80"/>
        <w:jc w:val="lowKashida"/>
      </w:pPr>
      <w:r>
        <w:t>د-۳ نهاده‌ها و زنجیره تأمین</w:t>
      </w:r>
    </w:p>
    <w:p>
      <w:pPr>
        <w:bidi/>
        <w:spacing w:after="60"/>
        <w:jc w:val="lowKashida"/>
      </w:pPr>
      <w:r>
        <w:rPr>
          <w:rtl/>
        </w:rPr>
        <w:t xml:space="preserve">زنجیره تأمین این صنعت به محصولات کشاورزی و دامی وابسته است؛ از این رو عرضه مواد اولیه تابع شرایط اقلیمی و فصلی است و بخشی از مواد اولیه و ملزومات بسته‌بندی به ارز و واردات بستگی دارد. نوسان نرخ ارز، محدودیت‌های مقطعی واردات و تحریم‌ها بهای تمام‌شده و پایداری تأمین را متأثر می‌سازد؛ کریمی و همکاران (۱۴۰۳) اختلال در تأمین را عاملی تعیین‌کننده در عملکرد و تاب‌آوری زنجیره تأمین مواد غذایی می‌دانند. ماندگاری محدود بسیاری از محصولات نیز سرعت گردش در کانال توزیع را اهمیتی ویژه می‌بخشد (مانگلا و همکاران، ۲۰۲۱).</w:t>
      </w:r>
    </w:p>
    <w:p>
      <w:pPr>
        <w:pStyle w:val="Heading3"/>
        <w:keepNext/>
        <w:bidi/>
        <w:spacing w:before="120" w:after="80"/>
        <w:jc w:val="lowKashida"/>
      </w:pPr>
      <w:r>
        <w:t>د-۴ توزیع و فروش</w:t>
      </w:r>
    </w:p>
    <w:p>
      <w:pPr>
        <w:bidi/>
        <w:spacing w:after="60"/>
        <w:jc w:val="lowKashida"/>
      </w:pPr>
      <w:r>
        <w:rPr>
          <w:rtl/>
        </w:rPr>
        <w:t xml:space="preserve">فروش محصولات غذایی در ایران عمدتاً از راه شبکه‌ای از شرکت‌های پخش، عمده‌فروشان و خرده‌فروشان انجام می‌شود. سیدغفوری و همکاران (۱۴۰۳) تعدد اتحادیه‌های صنفی در خرده‌فروشی سنتی و تسلط بخش نامنظم در برابر شبکه توزیع سازمان‌یافته را از موانع اصلی اثربخشی توزیع در این صنعت می‌دانند. برای بنگاه تک‌محصولی، که باید هزینه ثابت پخش را میان یک قلم کالا سرشکن کند و در برابر شبکه خرده‌فروشی چندمحصولی قدرت چانه‌زنی اندکی دارد، همین ساختار یکی از ریشه‌های چالش فروش است (مؤلفه پنجم جدول ۴-۱۲).</w:t>
      </w:r>
    </w:p>
    <w:p>
      <w:pPr>
        <w:pStyle w:val="Heading3"/>
        <w:keepNext/>
        <w:bidi/>
        <w:spacing w:before="120" w:after="80"/>
        <w:jc w:val="lowKashida"/>
      </w:pPr>
      <w:r>
        <w:t>د-۵ مقررات و قیمت‌گذاری</w:t>
      </w:r>
    </w:p>
    <w:p>
      <w:pPr>
        <w:bidi/>
        <w:spacing w:after="60"/>
        <w:jc w:val="lowKashida"/>
      </w:pPr>
      <w:r>
        <w:rPr>
          <w:rtl/>
        </w:rPr>
        <w:t xml:space="preserve">پیوند مستقیم محصولات غذایی با سلامت عمومی، تولید و عرضه آن‌ها را مشمول الزامات بهداشتی و استاندارد کرده است؛ مانگلا و همکاران (۲۰۲۱) این الزامات و اعتماد مصرف‌کننده به ایمنی محصول را از تعیین‌کننده‌های اصلی رفتار خرید در این صنعت می‌دانند. افزون بر آن، قیمت بخشی از اقلام اساسی با نظارت یا تعیین دولت انجام می‌شود و در دوره‌های تورمی، فاصله میان بهای تمام‌شده و قیمت مجاز فروش، حاشیه سود بنگاه را تحت فشار می‌گذارد؛ گویه «افزایش بهای تمام‌شده و فشار بر حاشیه سود» نیز در دور سوم از بالاترین میانگین‌ها (۵٫۰۰) را داشت.</w:t>
      </w:r>
    </w:p>
    <w:p>
      <w:pPr>
        <w:pStyle w:val="Heading3"/>
        <w:keepNext/>
        <w:bidi/>
        <w:spacing w:before="120" w:after="80"/>
        <w:jc w:val="lowKashida"/>
      </w:pPr>
      <w:r>
        <w:t>د-۶ جمع‌بندی و پیوند با پژوهش</w:t>
      </w:r>
    </w:p>
    <w:p>
      <w:pPr>
        <w:bidi/>
        <w:spacing w:after="0"/>
        <w:jc w:val="lowKashida"/>
      </w:pPr>
      <w:r>
        <w:rPr>
          <w:rtl/>
        </w:rPr>
        <w:t xml:space="preserve">وابستگی به نهاده‌های کشاورزی و وارداتی، شبکه توزیع پرهزینه و پراکنده، الزامات نظارتی و حساسیت قیمتی مصرف‌کننده، شرایطی می‌سازد که بنگاه تک‌محصولی، بی‌بهره از سپر تنوع محصولی، در آن آسیب‌پذیرتر است. همین بستر در یافته‌های فصل چهارم بازتاب دارد: سه مؤلفه نخست رتبه‌بندی نهایی، یعنی فشارهای اقتصاد کلان، تغییر ذائقه مصرف‌کننده و شدت رقابت، همگی برون‌سازمانی‌اند (جدول ۴-۱۳).</w:t>
      </w:r>
    </w:p>
    <w:sectPr w:rsidR="00EF16F2">
      <w:pgSz w:w="11906" w:h="16838"/>
      <w:pgMar w:top="1701" w:right="1701"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517047" w14:textId="77777777" w:rsidR="00414E0E" w:rsidRDefault="00414E0E" w:rsidP="00414E0E">
      <w:pPr>
        <w:spacing w:line="240" w:lineRule="auto"/>
      </w:pPr>
      <w:r>
        <w:separator/>
      </w:r>
    </w:p>
  </w:endnote>
  <w:endnote w:type="continuationSeparator" w:id="0">
    <w:p w14:paraId="7DA590FA" w14:textId="77777777" w:rsidR="00414E0E" w:rsidRDefault="00414E0E" w:rsidP="00414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BBB11D" w14:textId="77777777" w:rsidR="00414E0E" w:rsidRDefault="00414E0E" w:rsidP="00414E0E">
      <w:pPr>
        <w:spacing w:line="240" w:lineRule="auto"/>
      </w:pPr>
      <w:r>
        <w:separator/>
      </w:r>
    </w:p>
  </w:footnote>
  <w:footnote w:type="continuationSeparator" w:id="0">
    <w:p w14:paraId="0AAFFE1E" w14:textId="77777777" w:rsidR="00414E0E" w:rsidRDefault="00414E0E" w:rsidP="00414E0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CE0CA7"/>
    <w:multiLevelType w:val="hybridMultilevel"/>
    <w:tmpl w:val="1A2E951E"/>
    <w:lvl w:ilvl="0" w:tplc="40348366">
      <w:start w:val="1"/>
      <w:numFmt w:val="bullet"/>
      <w:lvlText w:val="●"/>
      <w:lvlJc w:val="left"/>
      <w:pPr>
        <w:ind w:left="720" w:hanging="360"/>
      </w:pPr>
    </w:lvl>
    <w:lvl w:ilvl="1" w:tplc="84845566">
      <w:start w:val="1"/>
      <w:numFmt w:val="bullet"/>
      <w:lvlText w:val="○"/>
      <w:lvlJc w:val="left"/>
      <w:pPr>
        <w:ind w:left="1440" w:hanging="360"/>
      </w:pPr>
    </w:lvl>
    <w:lvl w:ilvl="2" w:tplc="BD9A7008">
      <w:start w:val="1"/>
      <w:numFmt w:val="bullet"/>
      <w:lvlText w:val="■"/>
      <w:lvlJc w:val="left"/>
      <w:pPr>
        <w:ind w:left="2160" w:hanging="360"/>
      </w:pPr>
    </w:lvl>
    <w:lvl w:ilvl="3" w:tplc="72DCD10E">
      <w:start w:val="1"/>
      <w:numFmt w:val="bullet"/>
      <w:lvlText w:val="●"/>
      <w:lvlJc w:val="left"/>
      <w:pPr>
        <w:ind w:left="2880" w:hanging="360"/>
      </w:pPr>
    </w:lvl>
    <w:lvl w:ilvl="4" w:tplc="A82E5F9E">
      <w:start w:val="1"/>
      <w:numFmt w:val="bullet"/>
      <w:lvlText w:val="○"/>
      <w:lvlJc w:val="left"/>
      <w:pPr>
        <w:ind w:left="3600" w:hanging="360"/>
      </w:pPr>
    </w:lvl>
    <w:lvl w:ilvl="5" w:tplc="CB20117C">
      <w:start w:val="1"/>
      <w:numFmt w:val="bullet"/>
      <w:lvlText w:val="■"/>
      <w:lvlJc w:val="left"/>
      <w:pPr>
        <w:ind w:left="4320" w:hanging="360"/>
      </w:pPr>
    </w:lvl>
    <w:lvl w:ilvl="6" w:tplc="0986B4DC">
      <w:start w:val="1"/>
      <w:numFmt w:val="bullet"/>
      <w:lvlText w:val="●"/>
      <w:lvlJc w:val="left"/>
      <w:pPr>
        <w:ind w:left="5040" w:hanging="360"/>
      </w:pPr>
    </w:lvl>
    <w:lvl w:ilvl="7" w:tplc="EB665D00">
      <w:start w:val="1"/>
      <w:numFmt w:val="bullet"/>
      <w:lvlText w:val="●"/>
      <w:lvlJc w:val="left"/>
      <w:pPr>
        <w:ind w:left="5760" w:hanging="360"/>
      </w:pPr>
    </w:lvl>
    <w:lvl w:ilvl="8" w:tplc="5540EAF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E0E"/>
    <w:rsid w:val="00414E0E"/>
    <w:rsid w:val="0048646F"/>
    <w:rsid w:val="00723EBE"/>
    <w:rsid w:val="00AF356D"/>
    <w:rsid w:val="00E51E8F"/>
    <w:rsid w:val="00EF16F2"/>
    <w:rsid w:val="00F33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6A6E7"/>
  <w15:chartTrackingRefBased/>
  <w15:docId w15:val="{AD187049-148D-4A56-A71D-96D1F10EA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4E0E"/>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414E0E"/>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414E0E"/>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414E0E"/>
    <w:pPr>
      <w:spacing w:after="0" w:line="240" w:lineRule="auto"/>
      <w:outlineLvl w:val="2"/>
    </w:pPr>
    <w:rPr>
      <w:rFonts w:ascii="B Nazanin" w:eastAsia="B Nazanin" w:hAnsi="B Nazanin" w:cs="B Nazanin"/>
      <w:b/>
      <w:bCs/>
      <w:color w:val="000000"/>
      <w:sz w:val="28"/>
      <w:szCs w:val="28"/>
      <w:rtl/>
      <w:lang w:bidi="fa-IR"/>
    </w:rPr>
  </w:style>
  <w:style w:type="paragraph" w:styleId="Heading4">
    <w:name w:val="heading 4"/>
    <w:link w:val="Heading4Char"/>
    <w:uiPriority w:val="9"/>
    <w:unhideWhenUsed/>
    <w:qFormat/>
    <w:rsid w:val="00414E0E"/>
    <w:pPr>
      <w:spacing w:after="0" w:line="240" w:lineRule="auto"/>
      <w:outlineLvl w:val="3"/>
    </w:pPr>
    <w:rPr>
      <w:rFonts w:ascii="B Nazanin" w:eastAsia="B Nazanin" w:hAnsi="B Nazanin" w:cs="B Nazanin"/>
      <w:b/>
      <w:bCs/>
      <w:color w:val="000000"/>
      <w:sz w:val="28"/>
      <w:szCs w:val="28"/>
      <w:rtl/>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E0E"/>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414E0E"/>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414E0E"/>
    <w:rPr>
      <w:rFonts w:ascii="B Nazanin" w:eastAsia="B Nazanin" w:hAnsi="B Nazanin" w:cs="B Nazanin"/>
      <w:b/>
      <w:bCs/>
      <w:color w:val="000000"/>
      <w:sz w:val="28"/>
      <w:szCs w:val="28"/>
      <w:lang w:bidi="fa-IR"/>
    </w:rPr>
  </w:style>
  <w:style w:type="character" w:customStyle="1" w:styleId="Heading4Char">
    <w:name w:val="Heading 4 Char"/>
    <w:basedOn w:val="DefaultParagraphFont"/>
    <w:link w:val="Heading4"/>
    <w:uiPriority w:val="9"/>
    <w:rsid w:val="00414E0E"/>
    <w:rPr>
      <w:rFonts w:ascii="B Nazanin" w:eastAsia="B Nazanin" w:hAnsi="B Nazanin" w:cs="B Nazanin"/>
      <w:b/>
      <w:bCs/>
      <w:color w:val="000000"/>
      <w:sz w:val="28"/>
      <w:szCs w:val="28"/>
      <w:lang w:bidi="fa-IR"/>
    </w:rPr>
  </w:style>
  <w:style w:type="paragraph" w:styleId="ListParagraph">
    <w:name w:val="List Paragraph"/>
    <w:qFormat/>
    <w:rsid w:val="00414E0E"/>
    <w:pPr>
      <w:spacing w:after="0" w:line="276" w:lineRule="auto"/>
    </w:pPr>
    <w:rPr>
      <w:rFonts w:ascii="B Nazanin" w:eastAsia="B Nazanin" w:hAnsi="B Nazanin" w:cs="B Nazanin"/>
      <w:sz w:val="28"/>
      <w:szCs w:val="28"/>
      <w:lang w:bidi="fa-IR"/>
    </w:rPr>
  </w:style>
  <w:style w:type="character" w:styleId="FootnoteReference">
    <w:name w:val="footnote reference"/>
    <w:uiPriority w:val="99"/>
    <w:semiHidden/>
    <w:unhideWhenUsed/>
    <w:rsid w:val="00414E0E"/>
    <w:rPr>
      <w:vertAlign w:val="superscript"/>
    </w:rPr>
  </w:style>
  <w:style w:type="paragraph" w:customStyle="1" w:styleId="TableCaption">
    <w:name w:val="TableCaption"/>
    <w:rsid w:val="00414E0E"/>
    <w:pPr>
      <w:bidi/>
      <w:spacing w:after="0" w:line="240" w:lineRule="auto"/>
      <w:jc w:val="center"/>
    </w:pPr>
    <w:rPr>
      <w:rFonts w:ascii="B Nazanin" w:eastAsia="B Nazanin" w:hAnsi="B Nazanin" w:cs="B Nazanin"/>
      <w:b/>
      <w:bCs/>
      <w:sz w:val="24"/>
      <w:szCs w:val="24"/>
      <w:rtl/>
      <w:lang w:bidi="fa-IR"/>
    </w:rPr>
  </w:style>
  <w:style w:type="paragraph" w:customStyle="1" w:styleId="CaptionSource">
    <w:name w:val="CaptionSource"/>
    <w:rsid w:val="00414E0E"/>
    <w:pPr>
      <w:bidi/>
      <w:spacing w:after="0" w:line="240" w:lineRule="auto"/>
      <w:jc w:val="center"/>
    </w:pPr>
    <w:rPr>
      <w:rFonts w:ascii="B Nazanin" w:eastAsia="B Nazanin" w:hAnsi="B Nazanin" w:cs="B Nazanin"/>
      <w:b/>
      <w:bCs/>
      <w:sz w:val="24"/>
      <w:szCs w:val="24"/>
      <w:rtl/>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3378</Words>
  <Characters>19256</Characters>
  <Application>Microsoft Office Word</Application>
  <DocSecurity>0</DocSecurity>
  <Lines>160</Lines>
  <Paragraphs>45</Paragraphs>
  <ScaleCrop>false</ScaleCrop>
  <Company/>
  <LinksUpToDate>false</LinksUpToDate>
  <CharactersWithSpaces>22589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پیوست‌ها</dc:title>
  <dc:subject/>
  <dc:creator>taha abdollahi</dc:creator>
  <cp:keywords/>
  <dc:description/>
  <cp:lastModifiedBy>taha abdollahi</cp:lastModifiedBy>
  <cp:revision>1</cp:revision>
  <dcterms:created xsi:type="dcterms:W3CDTF">2026-10-21T09:56:00Z</dcterms:created>
  <dcterms:modified xsi:type="dcterms:W3CDTF">2026-10-21T09:57:00Z</dcterms:modified>
</cp:coreProperties>
</file>