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pPr>
        <w:bidi/>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pPr>
        <w:bidi/>
        <w:jc w:val="both"/>
      </w:pPr>
      <w:r>
        <w:rPr>
          <w:rtl/>
        </w:rPr>
        <w:t xml:space="preserve">نعیم و همکاران (۲۰۲۳)</w:t>
      </w:r>
      <w:r>
        <w:rPr>
          <w:rStyle w:val="FootnoteReference"/>
        </w:rPr>
        <w:footnoteReference w:id="58"/>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59"/>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ISM-FDEMATEL»،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jc w:val="both"/>
      </w:pPr>
      <w:r>
        <w:rPr>
          <w:rtl/>
        </w:rPr>
        <w:t xml:space="preserve">دخیخ و النجری (۲۰۲۶)</w:t>
      </w:r>
      <w:r>
        <w:rPr>
          <w:rStyle w:val="FootnoteReference"/>
        </w:rPr>
        <w:footnoteReference w:id="60"/>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61"/>
      </w:r>
      <w:r>
        <w:rPr>
          <w:rtl/>
        </w:rPr>
        <w:t xml:space="preserve"> است و در کنار هم، تصویری چندوجهی از چالش‌های بنگاه کوچک ارائه می‌دهند.</w:t>
      </w:r>
    </w:p>
    <w:p>
      <w:pPr>
        <w:bidi/>
        <w:jc w:val="both"/>
      </w:pPr>
      <w:r>
        <w:rPr>
          <w:rtl/>
        </w:rPr>
        <w:t xml:space="preserve">لاندجوهو و کریستوفر (۲۰۲۶)</w:t>
      </w:r>
      <w:r>
        <w:rPr>
          <w:rStyle w:val="FootnoteReference"/>
        </w:rPr>
        <w:footnoteReference w:id="62"/>
      </w:r>
      <w:r>
        <w:rPr>
          <w:rtl/>
        </w:rPr>
        <w:t xml:space="preserve"> در مروری نظام‌مند با عنوان «تأثیر بازاریابی دیجیتال بر رشد بنگاه‌های کوچک و متوسط (SMEs): مرور نظام‌مند»، که ۵۲ پژوهش تجربی را بررسی کرده است، رابطه مثبت پذیرش بازاریابی دیجیتال با رشد بنگاه‌های کوچک و متوسط را گزارش کردند.</w:t>
      </w:r>
    </w:p>
    <w:p>
      <w:pPr>
        <w:bidi/>
        <w:jc w:val="both"/>
      </w:pPr>
      <w:r>
        <w:rPr>
          <w:rtl/>
        </w:rPr>
        <w:t xml:space="preserve">شرابتی و همکاران (۲۰۲۴)</w:t>
      </w:r>
      <w:r>
        <w:rPr>
          <w:rStyle w:val="FootnoteReference"/>
        </w:rPr>
        <w:footnoteReference w:id="63"/>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jc w:val="both"/>
      </w:pPr>
      <w:r>
        <w:rPr>
          <w:rtl/>
        </w:rPr>
        <w:t xml:space="preserve">گوپتا و جگتپ (۲۰۲۴)</w:t>
      </w:r>
      <w:r>
        <w:rPr>
          <w:rStyle w:val="FootnoteReference"/>
        </w:rPr>
        <w:footnoteReference w:id="64"/>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jc w:val="both"/>
      </w:pPr>
      <w:r>
        <w:rPr>
          <w:rtl/>
        </w:rPr>
        <w:t xml:space="preserve">زین، رملی، زین، رحیم و موسی (۲۰۲۳)</w:t>
      </w:r>
      <w:r>
        <w:rPr>
          <w:rStyle w:val="FootnoteReference"/>
        </w:rPr>
        <w:footnoteReference w:id="65"/>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jc w:val="both"/>
      </w:pPr>
      <w:r>
        <w:rPr>
          <w:rtl/>
        </w:rPr>
        <w:t xml:space="preserve">شاه، دیر، جوشی و تریپاتی (۲۰۲۳)</w:t>
      </w:r>
      <w:r>
        <w:rPr>
          <w:rStyle w:val="FootnoteReference"/>
        </w:rPr>
        <w:footnoteReference w:id="66"/>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jc w:val="both"/>
      </w:pPr>
      <w:r>
        <w:rPr>
          <w:rtl/>
        </w:rPr>
        <w:t xml:space="preserve">نعیم و همکاران (۲۰۲۳)</w:t>
      </w:r>
      <w:r>
        <w:rPr>
          <w:rStyle w:val="FootnoteReference"/>
        </w:rPr>
        <w:footnoteReference w:id="67"/>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jc w:val="both"/>
      </w:pPr>
      <w:r>
        <w:rPr>
          <w:rtl/>
        </w:rPr>
        <w:t xml:space="preserve">آرته و لاریمو (۲۰۲۲)</w:t>
      </w:r>
      <w:r>
        <w:rPr>
          <w:rStyle w:val="FootnoteReference"/>
        </w:rPr>
        <w:footnoteReference w:id="68"/>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w:t>
      </w:r>
    </w:p>
    <w:p>
      <w:pPr>
        <w:bidi/>
        <w:jc w:val="both"/>
      </w:pPr>
      <w:r>
        <w:rPr>
          <w:rtl/>
        </w:rPr>
        <w:t xml:space="preserve">تانئو، نویا، ستیاتی و ملانی (۲۰۲۲)</w:t>
      </w:r>
      <w:r>
        <w:rPr>
          <w:rStyle w:val="FootnoteReference"/>
        </w:rPr>
        <w:footnoteReference w:id="69"/>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jc w:val="both"/>
      </w:pPr>
      <w:r>
        <w:rPr>
          <w:rtl/>
        </w:rPr>
        <w:t xml:space="preserve">توماران، الشلاقی، المعماری و عبدالرب (۲۰۲۲)</w:t>
      </w:r>
      <w:r>
        <w:rPr>
          <w:rStyle w:val="FootnoteReference"/>
        </w:rPr>
        <w:footnoteReference w:id="70"/>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jc w:val="both"/>
      </w:pPr>
      <w:r>
        <w:rPr>
          <w:rtl/>
        </w:rPr>
        <w:t xml:space="preserve">سینگ، دولتانی و ساهو (۲۰۲۲)</w:t>
      </w:r>
      <w:r>
        <w:rPr>
          <w:rStyle w:val="FootnoteReference"/>
        </w:rPr>
        <w:footnoteReference w:id="71"/>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jc w:val="both"/>
      </w:pPr>
      <w:r>
        <w:rPr>
          <w:rtl/>
        </w:rPr>
        <w:t xml:space="preserve">میکلیان و هولشر (۲۰۲۲)</w:t>
      </w:r>
      <w:r>
        <w:rPr>
          <w:rStyle w:val="FootnoteReference"/>
        </w:rPr>
        <w:footnoteReference w:id="72"/>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jc w:val="both"/>
      </w:pPr>
      <w:r>
        <w:rPr>
          <w:rtl/>
        </w:rPr>
        <w:t xml:space="preserve">آزم و همکاران (۲۰۲۱)</w:t>
      </w:r>
      <w:r>
        <w:rPr>
          <w:rStyle w:val="FootnoteReference"/>
        </w:rPr>
        <w:footnoteReference w:id="73"/>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jc w:val="both"/>
      </w:pPr>
      <w:r>
        <w:rPr>
          <w:rtl/>
        </w:rPr>
        <w:t xml:space="preserve">مانگلا و همکاران (۲۰۲۱)</w:t>
      </w:r>
      <w:r>
        <w:rPr>
          <w:rStyle w:val="FootnoteReference"/>
        </w:rPr>
        <w:footnoteReference w:id="75"/>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jc w:val="both"/>
      </w:pPr>
      <w:r>
        <w:rPr>
          <w:rtl/>
        </w:rPr>
        <w:t xml:space="preserve">شومر، ریشتر و کارنا (۲۰۱۹)</w:t>
      </w:r>
      <w:r>
        <w:rPr>
          <w:rStyle w:val="FootnoteReference"/>
        </w:rPr>
        <w:footnoteReference w:id="76"/>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jc w:val="both"/>
      </w:pPr>
      <w:r>
        <w:rPr>
          <w:rtl/>
        </w:rPr>
        <w:t xml:space="preserve">ویلیامز و آرون (۲۰۱۸)</w:t>
      </w:r>
      <w:r>
        <w:rPr>
          <w:rStyle w:val="FootnoteReference"/>
        </w:rPr>
        <w:footnoteReference w:id="77"/>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8"/>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9"/>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80"/>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1"/>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2"/>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pPr>
        <w:bidi/>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در مرحله ترکیب و بررسی گویه‌ها با کدهای پاسخ‌های دور نخست سنجیده شد؛ گویه‌ها از کدهای پاسخ‌ها ساخته شدند و چالشی از این فهرست تنها در صورتی وارد گویه‌ها شد که خبرگان آن را مطرح کرده بودند.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3"/>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