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pPr>
        <w:bidi/>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 گویه‌ها از کدهای پاسخ خبرگان ساخته شدند و هر گویه دست‌کم در پاسخ یک عضو پانل بازتاب داشت.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 در مقابل، کدی که در ادبیات همتای روشنی نداشت، به‌دلیل بازتاب در پاسخ خبرگان در فهرست ماند. حاصل این مرحله ۲۹ گویه در نُه مؤلفه بود.</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0"/>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1"/>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2"/>
      </w:r>
      <w:r>
        <w:rPr>
          <w:rtl/>
        </w:rPr>
        <w:t xml:space="preserve">.</w:t>
      </w:r>
      <w:r>
        <w:rPr>
          <w:rtl/>
        </w:rPr>
        <w:t xml:space="preserve"> سلسله‌مراتب تصمیم در سه سطح تعریف شد: هدف، که شناسایی و اولویت‌بندی چالش‌های فروش است؛ نُه مؤلفه؛ و ۲۹ گویه زیر هر مؤلفه.</w:t>
      </w:r>
      <w:r>
        <w:rPr>
          <w:rtl/>
        </w:rPr>
        <w:t xml:space="preserve"> وزن‌ها بدون محاسبه‌ی مقایسه‌های زوجی و مستقیماً از میانگین امتیاز هر گویه در دور سوم به دست آمدند.</w:t>
      </w:r>
    </w:p>
    <w:p>
      <w:pPr>
        <w:bidi/>
        <w:jc w:val="both"/>
      </w:pPr>
      <w:r>
        <w:rPr>
          <w:rtl/>
        </w:rPr>
        <w:t xml:space="preserve">وزن هر مؤلفه برابر است با سهم میانگین آن از مجموع میانگین‌های نُه مؤلفه.</w:t>
      </w:r>
      <w:r>
        <w:rPr>
          <w:rtl/>
        </w:rPr>
        <w:t xml:space="preserve"> وزن محلی هر گویه برابر است با سهم میانگین آن از مجموع میانگین‌های گویه‌های همان مؤلفه، و وزن سراسری گویه حاصل ضرب وزن مؤلفه در وزن محلی آن است.</w:t>
      </w:r>
      <w:r>
        <w:rPr>
          <w:rtl/>
        </w:rPr>
        <w:t xml:space="preserve"> مجموع وزن‌های سراسری ۲۹ گویه برابر یک است.</w:t>
      </w:r>
      <w:r>
        <w:rPr>
          <w:rtl/>
        </w:rPr>
        <w:t xml:space="preserve"/>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