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bidi/>
        <w:spacing w:before="5600"/>
        <w:jc w:val="center"/>
      </w:pPr>
      <w:r>
        <w:t>منابع</w:t>
      </w:r>
    </w:p>
    <w:p>
      <w:pPr>
        <w:bidi/>
        <w:jc w:val="lowKashida"/>
      </w:pPr>
      <w:r>
        <w:br w:type="page"/>
      </w:r>
    </w:p>
    <w:p>
      <w:pPr>
        <w:pStyle w:val="Heading2"/>
        <w:keepNext/>
        <w:bidi/>
        <w:spacing w:before="0" w:after="80"/>
        <w:jc w:val="lowKashida"/>
      </w:pPr>
      <w:r>
        <w:t>منابع داخلی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آسیابانی، ن.، کاظم‌پور کهریز، ا.، حسنی‌مقدم، م.، دوراندیش، آ.، و قاسمی، ا. (۱۴۰۴). ارزیابی پایداری ترجیحات مصرف‌کنندگان برنج در کشور. </w:t>
      </w:r>
      <w:r>
        <w:rPr>
          <w:i/>
          <w:iCs/>
          <w:sz w:val="24"/>
          <w:szCs w:val="24"/>
          <w:rtl/>
        </w:rPr>
        <w:t xml:space="preserve">اقتصاد و توسعه کشاورزی، ۳۹</w:t>
      </w:r>
      <w:r>
        <w:rPr>
          <w:sz w:val="24"/>
          <w:szCs w:val="24"/>
          <w:rtl/>
        </w:rPr>
        <w:t xml:space="preserve">(۳)، ۲۷۳–۲۸۹.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https://doi.org/10.22067/jead.2025.93036.1343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اسکندری، م.، دارابی، م.، و اصغری، ح. (۱۴۰۴). شناسایی و ارزیابی موانع حوزه فروش به‌منظور کاهش بحران‌های زنجیره تأمین مواد غذایی. </w:t>
      </w:r>
      <w:r>
        <w:rPr>
          <w:i/>
          <w:iCs/>
          <w:sz w:val="24"/>
          <w:szCs w:val="24"/>
          <w:rtl/>
        </w:rPr>
        <w:t xml:space="preserve">مدیریت زنجیره تأمین، ۲۷</w:t>
      </w:r>
      <w:r>
        <w:rPr>
          <w:sz w:val="24"/>
          <w:szCs w:val="24"/>
          <w:rtl/>
        </w:rPr>
        <w:t xml:space="preserve">(۱، پیاپی ۸۶)، ۱۹–۲۹.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خبرگزاری مهر. (۱۹ اردیبهشت ۱۴۰۳). </w:t>
      </w:r>
      <w:r>
        <w:rPr>
          <w:i/>
          <w:iCs/>
          <w:sz w:val="24"/>
          <w:szCs w:val="24"/>
          <w:rtl/>
        </w:rPr>
        <w:t xml:space="preserve">سهم ۰٫۳ درصدی ایران از صادرات صنایع غذایی جهان</w:t>
      </w:r>
      <w:r>
        <w:rPr>
          <w:sz w:val="24"/>
          <w:szCs w:val="24"/>
          <w:rtl/>
        </w:rPr>
        <w:t xml:space="preserve">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https://www.mehrnews.com/news/6100732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سیدغفوری، س.، ناصحی‌فر، و.، و عسکری، ف. (۱۴۰۳). شناسایی عوامل مؤثر بر استراتژی توزیع در صنایع غذایی با نگرش بازاریابی و فروش آنلاین (فراترکیب). </w:t>
      </w:r>
      <w:r>
        <w:rPr>
          <w:i/>
          <w:iCs/>
          <w:sz w:val="24"/>
          <w:szCs w:val="24"/>
          <w:rtl/>
        </w:rPr>
        <w:t xml:space="preserve">ارزش‌آفرینی در مدیریت کسب‌وکار، ۴</w:t>
      </w:r>
      <w:r>
        <w:rPr>
          <w:sz w:val="24"/>
          <w:szCs w:val="24"/>
          <w:rtl/>
        </w:rPr>
        <w:t xml:space="preserve">(۴)، ۳۳۷–۳۶۲.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https://doi.org/10.22034/jvcbm.2024.463254.1400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صفری، م.، و اسماعیل‌نژاد، د. (۱۴۰۳). شناسایی و اولویت‌بندی موانع فروش محصولات سبز در ترویج الگوی مصرف پایدار با استفاده از روش بهترین–بدترین و تودیم فازی. </w:t>
      </w:r>
      <w:r>
        <w:rPr>
          <w:i/>
          <w:iCs/>
          <w:sz w:val="24"/>
          <w:szCs w:val="24"/>
          <w:rtl/>
        </w:rPr>
        <w:t xml:space="preserve">راهبردهای بازرگانی، ۳۱</w:t>
      </w:r>
      <w:r>
        <w:rPr>
          <w:sz w:val="24"/>
          <w:szCs w:val="24"/>
          <w:rtl/>
        </w:rPr>
        <w:t xml:space="preserve">(۲۳).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https://doi.org/10.22070/cs.2025.20707.1440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فائقی، م.، سبزعلی یمقانی، ک.، محزونی، م.، و احمدی، م. (۱۴۰۳). اولویت‌بندی عوامل اثرگذار تکنیک‌های بازاریابی عصبی در تولید پایدار (مورد مطالعه صنایع غذایی ایران). </w:t>
      </w:r>
      <w:r>
        <w:rPr>
          <w:i/>
          <w:iCs/>
          <w:sz w:val="24"/>
          <w:szCs w:val="24"/>
          <w:rtl/>
        </w:rPr>
        <w:t xml:space="preserve">مدیریت بازاریابی هوشمند، ۵</w:t>
      </w:r>
      <w:r>
        <w:rPr>
          <w:sz w:val="24"/>
          <w:szCs w:val="24"/>
          <w:rtl/>
        </w:rPr>
        <w:t xml:space="preserve">(۲)، ۶۵–۱۰۰.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قلی‌پور، س.، حسینی، م.، و پیروز، ا. (۱۴۰۳). فرصت‌ها و چالش‌های تجارت محصولات غذایی ایران به بازار عمان. </w:t>
      </w:r>
      <w:r>
        <w:rPr>
          <w:i/>
          <w:iCs/>
          <w:sz w:val="24"/>
          <w:szCs w:val="24"/>
          <w:rtl/>
        </w:rPr>
        <w:t xml:space="preserve">مطالعات کشورها، ۳</w:t>
      </w:r>
      <w:r>
        <w:rPr>
          <w:sz w:val="24"/>
          <w:szCs w:val="24"/>
          <w:rtl/>
        </w:rPr>
        <w:t xml:space="preserve">(۲).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https://doi.org/10.22059/jcountst.2025.387432.1210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کریمی، ا.، حسن‌پور، ح.، و مصدق‌خواه، م. (۱۴۰۳). ارائه الگوی تحلیل اختلالات و تاب‌آوری زنجیره تأمین مواد غذایی. </w:t>
      </w:r>
      <w:r>
        <w:rPr>
          <w:i/>
          <w:iCs/>
          <w:sz w:val="24"/>
          <w:szCs w:val="24"/>
          <w:rtl/>
        </w:rPr>
        <w:t xml:space="preserve">بهبود مدیریت، ۱۸</w:t>
      </w:r>
      <w:r>
        <w:rPr>
          <w:sz w:val="24"/>
          <w:szCs w:val="24"/>
          <w:rtl/>
        </w:rPr>
        <w:t xml:space="preserve">(۲)، ۴۸–۷۳.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https://doi.org/10.22034/jmi.2024.449228.3074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کنعانی، آ. (۱۳۹۴). اولویت‌بندی عوامل مؤثر بر بازاریابی و فروش محصول جدید در کسب‌وکارهای کوچک و متوسط حوزه زیست‌فناوری غذایی. </w:t>
      </w:r>
      <w:r>
        <w:rPr>
          <w:i/>
          <w:iCs/>
          <w:sz w:val="24"/>
          <w:szCs w:val="24"/>
          <w:rtl/>
        </w:rPr>
        <w:t xml:space="preserve">توسعه کارآفرینی، ۸</w:t>
      </w:r>
      <w:r>
        <w:rPr>
          <w:sz w:val="24"/>
          <w:szCs w:val="24"/>
          <w:rtl/>
        </w:rPr>
        <w:t xml:space="preserve">(۲)، ۳۳۳–۳۵۲.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محسنی‌کبیر، ز.، موسوی‌کاشی، ز.، و سیدحسینی‌نیا، س. ش. (۱۴۰۳). تبیین مدل تاب‌آوری کسب‌وکارهای کوچک و متوسط در کشور ایران با رویکرد آمیخته ISM-FDEMATEL. </w:t>
      </w:r>
      <w:r>
        <w:rPr>
          <w:i/>
          <w:iCs/>
          <w:sz w:val="24"/>
          <w:szCs w:val="24"/>
          <w:rtl/>
        </w:rPr>
        <w:t xml:space="preserve">فصلنامه انجمن علوم مدیریت ایران، ۱۹</w:t>
      </w:r>
      <w:r>
        <w:rPr>
          <w:sz w:val="24"/>
          <w:szCs w:val="24"/>
          <w:rtl/>
        </w:rPr>
        <w:t xml:space="preserve">(۷۳)، ۵۷–۹۸.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https://journal.iams.ir/article_419.html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محمدی، ح.، و ثانی‌حیدری، ع. (۱۳۹۵). عوامل مؤثر بر انتخاب نوع استراتژی بازاریابی محصولات صنایع غذایی در مراحل رشد و معرفی محصول (مطالعه موردی شهر مشهد). </w:t>
      </w:r>
      <w:r>
        <w:rPr>
          <w:i/>
          <w:iCs/>
          <w:sz w:val="24"/>
          <w:szCs w:val="24"/>
          <w:rtl/>
        </w:rPr>
        <w:t xml:space="preserve">اقتصاد کشاورزی، ۱۰</w:t>
      </w:r>
      <w:r>
        <w:rPr>
          <w:sz w:val="24"/>
          <w:szCs w:val="24"/>
          <w:rtl/>
        </w:rPr>
        <w:t xml:space="preserve">(۴).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https://www.iranianjae.ir/article_22019.html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محمدی، ح.، ثانی‌حیدری، ع.، و شهرکی، ع. (۱۴۰۱). عوامل مؤثر بر انتخاب استراتژی بازاریابی در مراحل مختلف چرخه عمر محصول. </w:t>
      </w:r>
      <w:r>
        <w:rPr>
          <w:i/>
          <w:iCs/>
          <w:sz w:val="24"/>
          <w:szCs w:val="24"/>
          <w:rtl/>
        </w:rPr>
        <w:t xml:space="preserve">اقتصاد و توسعه کشاورزی، ۳۶</w:t>
      </w:r>
      <w:r>
        <w:rPr>
          <w:sz w:val="24"/>
          <w:szCs w:val="24"/>
          <w:rtl/>
        </w:rPr>
        <w:t xml:space="preserve">(۴)، ۳۳۷–۳۵۲.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https://doi.org/10.22067/jead.2022.17748.0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میثمی‌آزاد، ص.، حاجی‌ها، ع.، عبدالوند، م. ع.، و خیری، ب. (۱۴۰۰). طراحی الگوی برندسازی محصولات سبز در صنعت مواد غذایی. </w:t>
      </w:r>
      <w:r>
        <w:rPr>
          <w:i/>
          <w:iCs/>
          <w:sz w:val="24"/>
          <w:szCs w:val="24"/>
          <w:rtl/>
        </w:rPr>
        <w:t xml:space="preserve">چشم‌انداز مدیریت بازرگانی، ۲۰</w:t>
      </w:r>
      <w:r>
        <w:rPr>
          <w:sz w:val="24"/>
          <w:szCs w:val="24"/>
          <w:rtl/>
        </w:rPr>
        <w:t xml:space="preserve">(۴۷)، ۱۶۴–۱۸۸.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https://doi.org/10.52547/jbmp.20.47.164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نجاتی، ن. (۱۴۰۰). بررسی اثرات اعمال استراتژی‌های بازاریابی دیجیتال در توسعه فروش محصولات صنایع غذایی. </w:t>
      </w:r>
      <w:r>
        <w:rPr>
          <w:i/>
          <w:iCs/>
          <w:sz w:val="24"/>
          <w:szCs w:val="24"/>
          <w:rtl/>
        </w:rPr>
        <w:t xml:space="preserve">مطالعات مدیریت، اقتصاد و کارآفرینی، ۲</w:t>
      </w:r>
      <w:r>
        <w:rPr>
          <w:sz w:val="24"/>
          <w:szCs w:val="24"/>
          <w:rtl/>
        </w:rPr>
        <w:t xml:space="preserve">(۴)، ۲۲–۳۸.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https://doi.org/10.22034/jmek.2021.143779</w:t>
      </w:r>
    </w:p>
    <w:p>
      <w:pPr>
        <w:pStyle w:val="Heading2"/>
        <w:keepNext/>
        <w:bidi/>
        <w:spacing w:before="360" w:after="80"/>
        <w:jc w:val="lowKashida"/>
      </w:pPr>
      <w:r>
        <w:t>منابع خارجی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Arte, P., &amp; Larimo, J. (2022). Moderating influence of product diversification on the international diversification-performance relationship: A meta-analysis.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Business Research, 139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1408–1423.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https://doi.org/10.1016/j.jbusres.2021.10.037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Azam, T., Wang, S., Mohsin, M., Nazam, M., Hashim, M., Baig, S. A., &amp; Zia-ur-Rehman, M. (2021). Does stakeholder pressure matters in adopting sustainable supply chain initiatives? Insights from agro-based processing industry.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Sustainability, 13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(13), Article 7278.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https://doi.org/10.3390/su13137278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Beiderbeck, D., Frevel, N., von der Gracht, H. A., Schmidt, S. L., &amp; Schweitzer, V. M. (2021). Preparing, conducting, and analyzing Delphi surveys: Cross-disciplinary practices, new directions, and advancements.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MethodsX, 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101401.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https://doi.org/10.1016/j.mex.2021.101401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Bernard, A. B., Redding, S. J., &amp; Schott, P. K. (2010). Multiple-product firms and product switching.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American Economic Review, 100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70–97.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https://doi.org/10.1257/aer.100.1.70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Braun, V., &amp; Clarke, V. (2006). Using thematic analysis in psychology.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Qualitative Research in Psychology, 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77–101.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https://doi.org/10.1191/1478088706qp063oa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Braun, V., &amp; Clarke, V. (2021).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Thematic analysis: A practical guide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. SAGE Publications.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Dukhaykh, S., &amp; Alangri, N. (2026). Dynamic capabilities and sustainable competitive advantage in SMEs: The roles of innovation and organizational learning.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Sustainability, 18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(3), Article 1320.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https://doi.org/10.3390/su18031320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Gabaix, X. (2011). The granular origins of aggregate fluctuations.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Econometrica, 79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(3), 733–772.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https://doi.org/10.3982/ECTA8769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Gupta, S., &amp; Jagtap, S. (2024). Unlocking digital growth: Overcoming barriers to digital transformation for Indian food SMEs.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Discover Food, 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55.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https://doi.org/10.1007/s44187-024-00131-6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Kero, C. A., &amp; Bogale, A. T. (2023). A systematic review of resource-based view and dynamic capabilities of firms and future research avenues.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of Sustainable Development and Planning, 18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(10), 3137–3154.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https://doi.org/10.18280/ijsdp.181016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Kotler, P., &amp; Keller, K. L. (2016).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Marketing management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(15th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Kotler, P., Keller, K. L., &amp; Chernev, A. (2022).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Marketing management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(16th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Landjohou, G., &amp; Christopher, E. (2026). The impact of digital marketing on small and medium enterprises (SMEs) growth: A systematic review.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on Recent Trends in Business and Tourism, 10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1–18.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https://doi.org/10.31674/ijrtbt.2026.v010i01.001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Mammen, J., Alessandri, T. M., &amp; Weiss, M. (2021). The risk implications of diversification: Integrating the effects of product and geographic diversification.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Long Range Planning, 54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Article 101942.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https://doi.org/10.1016/j.lrp.2019.101942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Mangla, S. K., Bhattacharya, A., Yadav, A. K., Sharma, Y. K., Ishizaka, A., Luthra, S., &amp; Chakraborty, R. (2021). A framework to assess the challenges to food safety initiatives in an emerging economy.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Cleaner Production, 284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124709.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https://doi.org/10.1016/j.jclepro.2020.124709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Miklian, J., &amp; Hoelscher, K. (2022). SMEs and exogenous shocks: A conceptual literature review and forward research agenda.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Small Business Journal, 40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178–204.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https://doi.org/10.1177/02662426211050796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Naeem, M., Ozuem, W., Howell, K., &amp; Ranfagni, S. (2023). A step-by-step process of thematic analysis to develop a conceptual model in qualitative research.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of Qualitative Methods, 22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16094069231205789.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https://doi.org/10.1177/16094069231205789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Nasa, P., Jain, R., &amp; Juneja, D. (2021). Delphi methodology in healthcare research: How to decide its appropriateness.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World Journal of Methodology, 11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(4), 116–129.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https://doi.org/10.5662/wjm.v11.i4.116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Okoli, C., &amp; Pawlowski, S. D. (2004). The Delphi method as a research tool: An example, design considerations and applications.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Information &amp; Management, 42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15–29.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https://doi.org/10.1016/j.im.2003.11.002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Pangarkar, N., &amp; Prabhudesai, R. (2024). Using Porter's five forces analysis to drive strategy.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Global Business and Organizational Excellence, 43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(5), 24–34.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https://doi.org/10.1002/joe.22250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Saaty, T. L. (1980).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The analytic hierarchy process: Planning, priority setting, resource allocation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. McGraw-Hill.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Saunders, M. N. K., Lewis, P., &amp; Thornhill, A. (2023).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Research methods for business students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(9th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Schifano, J., &amp; Niederberger, M. (2025). How Delphi studies in the health sciences find consensus: A scoping review.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Systematic Reviews, 14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https://doi.org/10.1186/s13643-024-02738-3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Schmidt, R. C. (1997). Managing Delphi surveys using nonparametric statistical techniques.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Decision Sciences, 28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(3), 763–774.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https://doi.org/10.1111/j.1540-5915.1997.tb01330.x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Schommer, M., Richter, A., &amp; Karna, A. (2019). Does the diversification-firm performance relationship change over time? A meta-analytical review.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Management Studies, 56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270–298.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https://doi.org/10.1111/joms.12393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Shah, P., Dhir, A., Joshi, R., &amp; Tripathy, N. (2023). Opportunities and challenges in food entrepreneurship: In-depth qualitative investigation of millet entrepreneurs.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Business Research, 155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113372.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https://doi.org/10.1016/j.jbusres.2022.113372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Sharabati, A.-A. A., Ali, A. A. A., Allahham, M. I., Hussein, A. A., Alheet, A. F., &amp; Mohammad, A. S. (2024). The impact of digital marketing on the performance of SMEs: An analytical study in light of modern digital transformations.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Sustainability, 16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(19), Article 8667.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https://doi.org/10.3390/su16198667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Singh, G., Daultani, Y., &amp; Sahu, R. (2022). Investigating the barriers to growth in the Indian food processing sector.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OPSEARCH, 59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441–459.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https://doi.org/10.1007/s12597-021-00553-1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Suryati, L., &amp; Lusiah, L. (2022). Distribution channel and prices as critical factors for sales volume improvement.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Accounting and Finance Management, 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(5), 217–223.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https://doi.org/10.38035/jafm.v3i5.128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Taneo, S. Y. M., Noya, S., Setiyati, E. A., &amp; Melany. (2022). Improving the human resource capability of food SMEs managers through training: A preliminary research.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of Research in Business and Social Science, 11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(9), 90–96.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https://doi.org/10.20525/ijrbs.v11i9.2163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Thomran, M., Alshallaqi, M., Al-Mamary, Y. H., &amp; Abdulrab, M. (2022). The key enablers of competitive advantage formation in small and medium enterprises: The case of the Ha'il region.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Frontiers in Psychology, 13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1030405.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https://doi.org/10.3389/fpsyg.2022.1030405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Williams, R. I., Jr., &amp; Aaron, J. R. (2018). Specialization as a small business strategic approach.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Small Business Institute Journal, 14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1–15.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Zain, R. M., Ramli, A., Zain, M. Z. M., Rahim, M. N. A., &amp; Musa, A. (2023). Evaluation and prioritisation of GSCM barriers in food and beverage SMEs using the AHP.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AIP Conference Proceedings, 2827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Article 030057.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https://doi.org/10.1063/5.0164583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Zain, R. M., Ramli, A., Zain, M. Z. M., Yekini, L. S., Musa, A., Rahim, M. N. A., Dirie, A. N., &amp; Aziz, N. I. C. (2024). An investigation of the barriers and drivers for implementing green supply chain in Malaysian food and beverage SMEs: A qualitative perspective.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WSEAS Transactions on Business and Economics, 21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2169–2189.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https://doi.org/10.37394/23207.2024.21.179</w:t>
      </w:r>
    </w:p>
    <w:sectPr w:rsidR="00EF16F2">
      <w:pgSz w:w="11906" w:h="16838"/>
      <w:pgMar w:top="1701" w:right="1701" w:bottom="1417" w:left="1417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17047" w14:textId="77777777" w:rsidR="00414E0E" w:rsidRDefault="00414E0E" w:rsidP="00414E0E">
      <w:pPr>
        <w:spacing w:line="240" w:lineRule="auto"/>
      </w:pPr>
      <w:r>
        <w:separator/>
      </w:r>
    </w:p>
  </w:endnote>
  <w:endnote w:type="continuationSeparator" w:id="0">
    <w:p w14:paraId="7DA590FA" w14:textId="77777777" w:rsidR="00414E0E" w:rsidRDefault="00414E0E" w:rsidP="00414E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BBB11D" w14:textId="77777777" w:rsidR="00414E0E" w:rsidRDefault="00414E0E" w:rsidP="00414E0E">
      <w:pPr>
        <w:spacing w:line="240" w:lineRule="auto"/>
      </w:pPr>
      <w:r>
        <w:separator/>
      </w:r>
    </w:p>
  </w:footnote>
  <w:footnote w:type="continuationSeparator" w:id="0">
    <w:p w14:paraId="0AAFFE1E" w14:textId="77777777" w:rsidR="00414E0E" w:rsidRDefault="00414E0E" w:rsidP="00414E0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CE0CA7"/>
    <w:multiLevelType w:val="hybridMultilevel"/>
    <w:tmpl w:val="1A2E951E"/>
    <w:lvl w:ilvl="0" w:tplc="40348366">
      <w:start w:val="1"/>
      <w:numFmt w:val="bullet"/>
      <w:lvlText w:val="●"/>
      <w:lvlJc w:val="left"/>
      <w:pPr>
        <w:ind w:left="720" w:hanging="360"/>
      </w:pPr>
    </w:lvl>
    <w:lvl w:ilvl="1" w:tplc="84845566">
      <w:start w:val="1"/>
      <w:numFmt w:val="bullet"/>
      <w:lvlText w:val="○"/>
      <w:lvlJc w:val="left"/>
      <w:pPr>
        <w:ind w:left="1440" w:hanging="360"/>
      </w:pPr>
    </w:lvl>
    <w:lvl w:ilvl="2" w:tplc="BD9A7008">
      <w:start w:val="1"/>
      <w:numFmt w:val="bullet"/>
      <w:lvlText w:val="■"/>
      <w:lvlJc w:val="left"/>
      <w:pPr>
        <w:ind w:left="2160" w:hanging="360"/>
      </w:pPr>
    </w:lvl>
    <w:lvl w:ilvl="3" w:tplc="72DCD10E">
      <w:start w:val="1"/>
      <w:numFmt w:val="bullet"/>
      <w:lvlText w:val="●"/>
      <w:lvlJc w:val="left"/>
      <w:pPr>
        <w:ind w:left="2880" w:hanging="360"/>
      </w:pPr>
    </w:lvl>
    <w:lvl w:ilvl="4" w:tplc="A82E5F9E">
      <w:start w:val="1"/>
      <w:numFmt w:val="bullet"/>
      <w:lvlText w:val="○"/>
      <w:lvlJc w:val="left"/>
      <w:pPr>
        <w:ind w:left="3600" w:hanging="360"/>
      </w:pPr>
    </w:lvl>
    <w:lvl w:ilvl="5" w:tplc="CB20117C">
      <w:start w:val="1"/>
      <w:numFmt w:val="bullet"/>
      <w:lvlText w:val="■"/>
      <w:lvlJc w:val="left"/>
      <w:pPr>
        <w:ind w:left="4320" w:hanging="360"/>
      </w:pPr>
    </w:lvl>
    <w:lvl w:ilvl="6" w:tplc="0986B4DC">
      <w:start w:val="1"/>
      <w:numFmt w:val="bullet"/>
      <w:lvlText w:val="●"/>
      <w:lvlJc w:val="left"/>
      <w:pPr>
        <w:ind w:left="5040" w:hanging="360"/>
      </w:pPr>
    </w:lvl>
    <w:lvl w:ilvl="7" w:tplc="EB665D00">
      <w:start w:val="1"/>
      <w:numFmt w:val="bullet"/>
      <w:lvlText w:val="●"/>
      <w:lvlJc w:val="left"/>
      <w:pPr>
        <w:ind w:left="5760" w:hanging="360"/>
      </w:pPr>
    </w:lvl>
    <w:lvl w:ilvl="8" w:tplc="5540EA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E0E"/>
    <w:rsid w:val="00414E0E"/>
    <w:rsid w:val="0048646F"/>
    <w:rsid w:val="00723EBE"/>
    <w:rsid w:val="00AF356D"/>
    <w:rsid w:val="00E51E8F"/>
    <w:rsid w:val="00EF16F2"/>
    <w:rsid w:val="00F3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56D6A6E7"/>
  <w15:chartTrackingRefBased/>
  <w15:docId w15:val="{AD187049-148D-4A56-A71D-96D1F10EA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E0E"/>
    <w:pPr>
      <w:spacing w:after="0" w:line="276" w:lineRule="auto"/>
    </w:pPr>
    <w:rPr>
      <w:rFonts w:ascii="B Nazanin" w:eastAsia="B Nazanin" w:hAnsi="B Nazanin" w:cs="B Nazanin"/>
      <w:sz w:val="28"/>
      <w:szCs w:val="28"/>
      <w:lang w:bidi="fa-IR"/>
    </w:rPr>
  </w:style>
  <w:style w:type="paragraph" w:styleId="Heading1">
    <w:name w:val="heading 1"/>
    <w:link w:val="Heading1Char"/>
    <w:uiPriority w:val="9"/>
    <w:qFormat/>
    <w:rsid w:val="00414E0E"/>
    <w:pPr>
      <w:spacing w:after="0" w:line="240" w:lineRule="auto"/>
      <w:outlineLvl w:val="0"/>
    </w:pPr>
    <w:rPr>
      <w:rFonts w:ascii="B Nazanin" w:eastAsia="B Nazanin" w:hAnsi="B Nazanin" w:cs="B Nazanin"/>
      <w:b/>
      <w:bCs/>
      <w:color w:val="000000"/>
      <w:sz w:val="36"/>
      <w:szCs w:val="36"/>
      <w:rtl/>
      <w:lang w:bidi="fa-IR"/>
    </w:rPr>
  </w:style>
  <w:style w:type="paragraph" w:styleId="Heading2">
    <w:name w:val="heading 2"/>
    <w:link w:val="Heading2Char"/>
    <w:uiPriority w:val="9"/>
    <w:unhideWhenUsed/>
    <w:qFormat/>
    <w:rsid w:val="00414E0E"/>
    <w:pPr>
      <w:spacing w:after="0" w:line="240" w:lineRule="auto"/>
      <w:outlineLvl w:val="1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paragraph" w:styleId="Heading3">
    <w:name w:val="heading 3"/>
    <w:link w:val="Heading3Char"/>
    <w:uiPriority w:val="9"/>
    <w:unhideWhenUsed/>
    <w:qFormat/>
    <w:rsid w:val="00414E0E"/>
    <w:pPr>
      <w:spacing w:after="0" w:line="240" w:lineRule="auto"/>
      <w:outlineLvl w:val="2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paragraph" w:styleId="Heading4">
    <w:name w:val="heading 4"/>
    <w:link w:val="Heading4Char"/>
    <w:uiPriority w:val="9"/>
    <w:unhideWhenUsed/>
    <w:qFormat/>
    <w:rsid w:val="00414E0E"/>
    <w:pPr>
      <w:spacing w:after="0" w:line="240" w:lineRule="auto"/>
      <w:outlineLvl w:val="3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4E0E"/>
    <w:rPr>
      <w:rFonts w:ascii="B Nazanin" w:eastAsia="B Nazanin" w:hAnsi="B Nazanin" w:cs="B Nazanin"/>
      <w:b/>
      <w:bCs/>
      <w:color w:val="000000"/>
      <w:sz w:val="36"/>
      <w:szCs w:val="36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paragraph" w:styleId="ListParagraph">
    <w:name w:val="List Paragraph"/>
    <w:qFormat/>
    <w:rsid w:val="00414E0E"/>
    <w:pPr>
      <w:spacing w:after="0" w:line="276" w:lineRule="auto"/>
    </w:pPr>
    <w:rPr>
      <w:rFonts w:ascii="B Nazanin" w:eastAsia="B Nazanin" w:hAnsi="B Nazanin" w:cs="B Nazanin"/>
      <w:sz w:val="28"/>
      <w:szCs w:val="28"/>
      <w:lang w:bidi="fa-IR"/>
    </w:rPr>
  </w:style>
  <w:style w:type="character" w:styleId="FootnoteReference">
    <w:name w:val="footnote reference"/>
    <w:uiPriority w:val="99"/>
    <w:semiHidden/>
    <w:unhideWhenUsed/>
    <w:rsid w:val="00414E0E"/>
    <w:rPr>
      <w:vertAlign w:val="superscript"/>
    </w:rPr>
  </w:style>
  <w:style w:type="paragraph" w:customStyle="1" w:styleId="TableCaption">
    <w:name w:val="TableCaption"/>
    <w:rsid w:val="00414E0E"/>
    <w:pPr>
      <w:bidi/>
      <w:spacing w:after="0" w:line="240" w:lineRule="auto"/>
      <w:jc w:val="center"/>
    </w:pPr>
    <w:rPr>
      <w:rFonts w:ascii="B Nazanin" w:eastAsia="B Nazanin" w:hAnsi="B Nazanin" w:cs="B Nazanin"/>
      <w:b/>
      <w:bCs/>
      <w:sz w:val="24"/>
      <w:szCs w:val="24"/>
      <w:rtl/>
      <w:lang w:bidi="fa-IR"/>
    </w:rPr>
  </w:style>
  <w:style w:type="paragraph" w:customStyle="1" w:styleId="CaptionSource">
    <w:name w:val="CaptionSource"/>
    <w:rsid w:val="00414E0E"/>
    <w:pPr>
      <w:bidi/>
      <w:spacing w:after="0" w:line="240" w:lineRule="auto"/>
      <w:jc w:val="center"/>
    </w:pPr>
    <w:rPr>
      <w:rFonts w:ascii="B Nazanin" w:eastAsia="B Nazanin" w:hAnsi="B Nazanin" w:cs="B Nazanin"/>
      <w:b/>
      <w:bCs/>
      <w:sz w:val="24"/>
      <w:szCs w:val="24"/>
      <w:rtl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3378</Words>
  <Characters>19256</Characters>
  <Application>Microsoft Office Word</Application>
  <DocSecurity>0</DocSecurity>
  <Lines>160</Lines>
  <Paragraphs>45</Paragraphs>
  <ScaleCrop>false</ScaleCrop>
  <Company/>
  <LinksUpToDate>false</LinksUpToDate>
  <CharactersWithSpaces>22589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منابع</dc:title>
  <dc:subject/>
  <dc:creator>taha abdollahi</dc:creator>
  <cp:keywords/>
  <dc:description/>
  <cp:lastModifiedBy>taha abdollahi</cp:lastModifiedBy>
  <cp:revision>1</cp:revision>
  <dcterms:created xsi:type="dcterms:W3CDTF">2026-10-21T09:56:00Z</dcterms:created>
  <dcterms:modified xsi:type="dcterms:W3CDTF">2026-10-21T09:57:00Z</dcterms:modified>
</cp:coreProperties>
</file>