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numbering.xml" ContentType="application/vnd.openxmlformats-officedocument.wordprocessingml.numbering+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rPr>
          <w:rtl/>
        </w:rPr>
      </w:pPr>
      <w:r>
        <w:rPr>
          <w:noProof/>
        </w:rPr>
        <w:drawing>
          <wp:inline distT="0" distB="0" distL="0" distR="0" wp14:anchorId="7FB5D822" wp14:editId="7E319FFC">
            <wp:extent cx="1143000" cy="1143000"/>
            <wp:effectExtent l="0" t="0" r="0" b="0"/>
            <wp:docPr id="1" name="Picture 1" descr="آرم موسسه آموزش عالی تابرا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1143000" cy="1143000"/>
                    </a:xfrm>
                    <a:prstGeom prst="rect">
                      <a:avLst/>
                    </a:prstGeom>
                  </pic:spPr>
                </pic:pic>
              </a:graphicData>
            </a:graphic>
          </wp:inline>
        </w:drawing>
      </w:r>
    </w:p>
    <w:p>
      <w:pPr>
        <w:bidi/>
        <w:spacing w:before="900" w:after="700"/>
        <w:jc w:val="center"/>
      </w:pPr>
      <w:r>
        <w:rPr>
          <w:b/>
          <w:bCs/>
          <w:sz w:val="44"/>
          <w:szCs w:val="44"/>
          <w:rtl/>
        </w:rPr>
        <w:t>موسسه آموزش عالی تابران</w:t>
      </w:r>
    </w:p>
    <w:p>
      <w:pPr>
        <w:bidi/>
        <w:spacing w:after="700"/>
        <w:jc w:val="center"/>
      </w:pPr>
      <w:r>
        <w:rPr>
          <w:b/>
          <w:bCs/>
          <w:rtl/>
        </w:rPr>
        <w:t>پایان‌نامه کارشناسی ارشد رشته مدیریت بازرگانی گرایش مدیریت استراتژیک</w:t>
      </w:r>
    </w:p>
    <w:p>
      <w:pPr>
        <w:bidi/>
        <w:spacing w:after="120"/>
        <w:jc w:val="center"/>
      </w:pPr>
      <w:r>
        <w:rPr>
          <w:b/>
          <w:bCs/>
          <w:rtl/>
        </w:rPr>
        <w:t>عنوان:</w:t>
      </w:r>
    </w:p>
    <w:p>
      <w:pPr>
        <w:bidi/>
        <w:spacing w:after="800"/>
        <w:jc w:val="center"/>
      </w:pPr>
      <w:r>
        <w:rPr>
          <w:b/>
          <w:bCs/>
          <w:rtl/>
        </w:rPr>
        <w:t>شناسایی و اولویت‌بندی چالش‌های فروش در شرکت‌های تک‌محصولی فعال در صنعت مواد غذایی (مطالعه‌ای کیفی مبتنی بر تحلیل مضمون)</w:t>
      </w:r>
    </w:p>
    <w:p>
      <w:pPr>
        <w:bidi/>
        <w:spacing w:after="120"/>
        <w:jc w:val="center"/>
      </w:pPr>
      <w:r>
        <w:rPr>
          <w:b/>
          <w:bCs/>
          <w:rtl/>
        </w:rPr>
        <w:t>استاد راهنما:</w:t>
      </w:r>
    </w:p>
    <w:p>
      <w:pPr>
        <w:bidi/>
        <w:spacing w:after="700"/>
        <w:jc w:val="center"/>
      </w:pPr>
      <w:r>
        <w:rPr>
          <w:b/>
          <w:bCs/>
          <w:rtl/>
        </w:rPr>
        <w:t>دکتر .............................</w:t>
      </w:r>
    </w:p>
    <w:p>
      <w:pPr>
        <w:bidi/>
        <w:spacing w:after="120"/>
        <w:jc w:val="center"/>
      </w:pPr>
      <w:r>
        <w:rPr>
          <w:b/>
          <w:bCs/>
          <w:rtl/>
        </w:rPr>
        <w:t>پژوهشگر:</w:t>
      </w:r>
    </w:p>
    <w:p>
      <w:pPr>
        <w:bidi/>
        <w:spacing w:after="900"/>
        <w:jc w:val="center"/>
      </w:pPr>
      <w:r>
        <w:rPr>
          <w:b/>
          <w:bCs/>
          <w:rtl/>
        </w:rPr>
        <w:t>سعید خان قیطاقی</w:t>
      </w:r>
    </w:p>
    <w:p>
      <w:pPr>
        <w:bidi/>
        <w:jc w:val="center"/>
        <w:sectPr>
          <w:footerReference w:type="default" r:id="rId5"/>
          <w:pgSz w:w="11906" w:h="16838"/>
          <w:pgMar w:top="1701" w:right="1701" w:bottom="1417" w:left="1417" w:header="709" w:footer="709" w:gutter="0"/>
          <w:cols w:space="720"/>
          <w:docGrid w:linePitch="360"/>
        </w:sectPr>
      </w:pPr>
      <w:r>
        <w:rPr>
          <w:b/>
          <w:bCs/>
          <w:rtl/>
        </w:rPr>
        <w:t>پاییز ۱۴۰۵</w:t>
      </w:r>
    </w:p>
    <w:p>
      <w:pPr>
        <w:jc w:val="center"/>
      </w:pPr>
      <w:r>
        <w:rPr>
          <w:noProof/>
        </w:rPr>
        <w:lastRenderedPageBreak/>
        <w:drawing>
          <wp:inline distT="0" distB="0" distL="0" distR="0" wp14:anchorId="75BF5BC2" wp14:editId="493017F0">
            <wp:extent cx="857250" cy="857250"/>
            <wp:effectExtent l="0" t="0" r="0" b="0"/>
            <wp:docPr id="2" name="Picture 2" descr="آرم موسسه آموزش عالی تابرا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857250" cy="857250"/>
                    </a:xfrm>
                    <a:prstGeom prst="rect">
                      <a:avLst/>
                    </a:prstGeom>
                  </pic:spPr>
                </pic:pic>
              </a:graphicData>
            </a:graphic>
          </wp:inline>
        </w:drawing>
      </w:r>
    </w:p>
    <w:p>
      <w:pPr>
        <w:pStyle w:val="FrontTitle"/>
        <w:spacing w:before="200" w:after="240"/>
      </w:pPr>
      <w:r>
        <w:t>تعهدنامه اصالت اثر</w:t>
      </w:r>
    </w:p>
    <w:p>
      <w:pPr>
        <w:bidi/>
        <w:spacing w:after="100"/>
        <w:jc w:val="both"/>
      </w:pPr>
      <w:r>
        <w:rPr>
          <w:rtl/>
        </w:rPr>
        <w:t>اینجانب سعید خان قیطاقی دانش‌آموخته مقطع تحصیلی کارشناسی ارشد رشته مدیریت بازرگانی گرایش مدیریت استراتژیک که در تاریخ ....../....../...... از پایان‌نامه خود تحت عنوان «شناسایی و اولویت‌بندی چالش‌های فروش در شرکت‌های تک‌محصولی فعال در صنعت مواد غذایی (مطالعه‌ای کیفی مبتنی بر تحلیل مضمون)» با کسب نمره ........ درجه ........ دفاع نموده‌ام، متعهد می‌شوم:</w:t>
      </w:r>
    </w:p>
    <w:p>
      <w:pPr>
        <w:bidi/>
        <w:spacing w:after="100"/>
        <w:ind w:left="420" w:hanging="420"/>
        <w:jc w:val="both"/>
      </w:pPr>
      <w:r>
        <w:rPr>
          <w:rtl/>
        </w:rPr>
        <w:t>۱ــ این پایان‌نامه حاصل تحقیق و پژوهش انجام‌شده توسط اینجانب بوده و در مواردی که از دستاوردهای علمی و پژوهشی دیگران (اعم از مقاله، کتاب، پایان‌نامه و غیره) استفاده نموده‌ام، مطابق ضوابط و رویه موجود، نام منبع مورد استفاده و سایر مشخصات آن را در فهرست مربوط ذکر و درج کرده‌ام.</w:t>
      </w:r>
    </w:p>
    <w:p>
      <w:pPr>
        <w:bidi/>
        <w:spacing w:after="100"/>
        <w:ind w:left="420" w:hanging="420"/>
        <w:jc w:val="both"/>
      </w:pPr>
      <w:r>
        <w:rPr>
          <w:rtl/>
        </w:rPr>
        <w:t>۲ــ این پایان‌نامه قبلاً برای دریافت هیچ مدرک تحصیلی (هم‌سطح، پایین‌تر یا بالاتر) در سایر دانشگاه‌ها و مؤسسات آموزش عالی ارائه نشده است.</w:t>
      </w:r>
    </w:p>
    <w:p>
      <w:pPr>
        <w:bidi/>
        <w:spacing w:after="100"/>
        <w:ind w:left="420" w:hanging="420"/>
        <w:jc w:val="both"/>
      </w:pPr>
      <w:r>
        <w:rPr>
          <w:rtl/>
        </w:rPr>
        <w:t>۳ــ چنانچه در هر مقطع زمانی خلاف موارد فوق ثابت شود، عواقب ناشی از آن را می‌پذیرم و دانشگاه مجاز است با اینجانب مطابق ضوابط و مقررات رفتار نموده و در صورت ابطال مدرک تحصیلی‌ام هیچ‌گونه ادعایی نخواهم داشت.</w:t>
      </w:r>
    </w:p>
    <w:p>
      <w:pPr>
        <w:bidi/>
        <w:spacing w:before="900" w:after="160"/>
        <w:jc w:val="center"/>
      </w:pPr>
      <w:r>
        <w:rPr>
          <w:b/>
          <w:bCs/>
          <w:rtl/>
        </w:rPr>
        <w:t>نام و نام خانوادگی: سعید خان قیطاقی</w:t>
      </w:r>
    </w:p>
    <w:p>
      <w:pPr>
        <w:bidi/>
        <w:jc w:val="center"/>
      </w:pPr>
      <w:r>
        <w:rPr>
          <w:b/>
          <w:bCs/>
          <w:rtl/>
        </w:rPr>
        <w:t>تاریخ و امضا: ....../....../......</w:t>
      </w:r>
    </w:p>
    <w:p>
      <w:pPr>
        <w:pStyle w:val="FrontTitle"/>
        <w:pageBreakBefore/>
        <w:spacing w:after="240"/>
      </w:pPr>
      <w:r>
        <w:lastRenderedPageBreak/>
        <w:t>صورت‌جلسه دفاع</w:t>
      </w:r>
    </w:p>
    <w:p>
      <w:pPr>
        <w:bidi/>
        <w:spacing w:after="80"/>
        <w:jc w:val="center"/>
      </w:pPr>
      <w:r>
        <w:rPr>
          <w:sz w:val="24"/>
          <w:szCs w:val="24"/>
          <w:rtl/>
        </w:rPr>
        <w:t>(فرم رسمی صورت‌جلسه دفاع پس از برگزاری جلسه از سوی مؤسسه صادر و در این صفحه قرار می‌گیرد.)</w:t>
      </w:r>
    </w:p>
    <w:p>
      <w:pPr>
        <w:pStyle w:val="FrontTitle"/>
        <w:pageBreakBefore/>
        <w:spacing w:before="3000" w:after="400"/>
      </w:pPr>
      <w:r>
        <w:lastRenderedPageBreak/>
        <w:t>تقدیم</w:t>
      </w:r>
    </w:p>
    <w:p>
      <w:pPr>
        <w:bidi/>
        <w:spacing w:after="80"/>
        <w:jc w:val="center"/>
      </w:pPr>
      <w:r>
        <w:rPr>
          <w:rtl/>
        </w:rPr>
        <w:t>تقدیم به پدر و مادرم،</w:t>
      </w:r>
    </w:p>
    <w:p>
      <w:pPr>
        <w:bidi/>
        <w:jc w:val="center"/>
      </w:pPr>
      <w:r>
        <w:rPr>
          <w:rtl/>
        </w:rPr>
        <w:t>که آموختند پشتکار، کوتاه‌ترین راه به هر مقصدی است.</w:t>
      </w:r>
    </w:p>
    <w:p>
      <w:pPr>
        <w:pStyle w:val="FrontTitle"/>
        <w:pageBreakBefore/>
        <w:spacing w:after="240"/>
      </w:pPr>
      <w:r>
        <w:lastRenderedPageBreak/>
        <w:t>سپاسگزاری</w:t>
      </w:r>
    </w:p>
    <w:p>
      <w:pPr>
        <w:bidi/>
        <w:spacing w:after="100"/>
        <w:jc w:val="both"/>
      </w:pPr>
      <w:r>
        <w:rPr>
          <w:rtl/>
        </w:rPr>
        <w:t>بر خود لازم می‌دانم از استاد راهنمای گرامی، جناب آقای/سرکار خانم دکتر ..............، که در تمام مراحل این پژوهش با راهنمایی‌های دقیق و صبورانه خود مرا همراهی کردند، صمیمانه سپاسگزاری کنم.</w:t>
      </w:r>
    </w:p>
    <w:p>
      <w:pPr>
        <w:bidi/>
        <w:spacing w:after="100"/>
        <w:jc w:val="both"/>
      </w:pPr>
      <w:r>
        <w:rPr>
          <w:rtl/>
        </w:rPr>
        <w:t>همچنین از هفت خبره ارجمندی که با وجود مشغله فراوان، وقت خود را در اختیار این پژوهش گذاشتند و تجربه سال‌ها فعالیت خویش را بی‌دریغ در میان نهادند، قدردانی می‌کنم. بدون روایت آنان، این پایان‌نامه شکل نمی‌گرفت.</w:t>
      </w:r>
    </w:p>
    <w:p>
      <w:pPr>
        <w:bidi/>
        <w:spacing w:after="100"/>
        <w:jc w:val="both"/>
      </w:pPr>
      <w:r>
        <w:rPr>
          <w:rtl/>
        </w:rPr>
        <w:t>در پایان، از خانواده‌ام که در طول این مسیر پشتیبان من بودند، سپاسگزارم.</w:t>
      </w:r>
    </w:p>
    <w:p>
      <w:pPr>
        <w:pStyle w:val="FrontTitle"/>
        <w:pageBreakBefore/>
        <w:spacing w:after="200"/>
        <w:jc w:val="left"/>
      </w:pPr>
      <w:r>
        <w:lastRenderedPageBreak/>
        <w:t>چکیده</w:t>
      </w:r>
    </w:p>
    <w:p>
      <w:pPr>
        <w:bidi/>
        <w:spacing w:after="200"/>
        <w:jc w:val="both"/>
      </w:pPr>
      <w:r>
        <w:rPr>
          <w:rtl/>
        </w:rPr>
        <w:t xml:space="preserve">شرکت‌های تک‌محصولی فعال در صنعت مواد غذایی، به دلیل اتکای کامل درآمد به یک محصول، در برابر تغییرات بازار آسیب‌پذیرترند و امکان جبران افت فروش از محل سایر اقلام را ندارند؛ اما چالش‌های فروش آن‌ها در ادبیات ایران به‌طور اختصاصی بررسی نشده است. هدف این پژوهش، شناسایی و اولویت‌بندی چالش‌های فروش در شرکت‌های تک‌محصولی فعال در صنعت مواد غذایی ایران بود. پژوهش از نظر هدف کاربردی، از نظر ماهیت اکتشافی و از نظر رویکرد آمیخته است و به روش دلفی در سه دور اجرا شد و با روش AHP وزن‌دهی شد. پانل شامل هفت خبره بود که به روش نمونه‌گیری هدفمند قضاوتی انتخاب شدند. پاسخ‌های باز دور نخست با روش تحلیل مضمون کدگذاری شد و بیست‌ونه گویه در نُه مؤلفه، شامل پنج مؤلفه درون‌سازمانی و چهار مؤلفه برون‌سازمانی، به دست آمد. در دور دوم و سوم، اعضای پانل اهمیت گویه‌ها را بر طیفی پنج‌درجه‌ای امتیاز دادند و در دور سوم بازخورد گروهی ناشناس دریافت کردند. توافق اعضا با ضریب هماهنگی کندال و ثبات رتبه‌بندی میان دو دور پایانی با ضریب همبستگی رتبه‌ای اسپیرمن سنجیده شد. ضریب کندال از ۰٫۲۲۴ در دور دوم به ۰٫۷۵۶ در دور سوم رسید و همبستگی اسپیرمن در سطح گویه ۰٫۸۴۷ بود. در رتبه‌بندی نهایی، فشارهای اقتصاد کلان و کاهش قدرت خرید، تغییر ذائقه مصرف‌کننده و محدودیت بازار هدف، و شدت رقابت و فشار قیمتی بازار در سه رتبه نخست بودند و هر چهار مؤلفه برون‌سازمانی در پنج رتبه نخست جای داشتند؛ آسیب‌پذیری ساختاری ناشی از تمرکز محصولی رتبه چهارم را گرفت. نتیجه آنکه پانل تکانه‌های بیرونی را، که در بنگاه تک‌محصولی به دلیل نبود سازوکار جبران درونی شدیدتر است، فوری‌ترین چالش‌های فروش می‌داند.</w:t>
      </w:r>
    </w:p>
    <w:p>
      <w:pPr>
        <w:bidi/>
        <w:spacing w:after="80"/>
        <w:jc w:val="both"/>
      </w:pPr>
      <w:r>
        <w:rPr>
          <w:b/>
          <w:bCs/>
          <w:rtl/>
        </w:rPr>
        <w:t xml:space="preserve">کلیدواژه‌ها: </w:t>
      </w:r>
      <w:r>
        <w:rPr>
          <w:rtl/>
        </w:rPr>
        <w:t xml:space="preserve">تک‌محصولی، فروش</w:t>
      </w:r>
    </w:p>
    <w:p>
      <w:pPr>
        <w:pStyle w:val="FrontTitle"/>
        <w:pageBreakBefore/>
        <w:bidi/>
        <w:spacing w:after="240"/>
      </w:pPr>
      <w:r>
        <w:rPr>
          <w:rtl/>
        </w:rPr>
        <w:t xml:space="preserve">فهرست مطالب</w:t>
      </w:r>
    </w:p>
    <w:p>
      <w:pPr>
        <w:pStyle w:val="TOC1"/>
        <w:bidi/>
      </w:pPr>
      <w:r>
        <w:fldChar w:fldCharType="begin"/>
      </w:r>
      <w:r>
        <w:instrText xml:space="preserve"> TOC \o "1-3" \h \z \u </w:instrText>
      </w:r>
      <w:r>
        <w:fldChar w:fldCharType="separate"/>
      </w:r>
      <w:hyperlink w:anchor="_Toc200000001" w:history="1">
        <w:r>
          <w:rPr>
            <w:noProof/>
            <w:rtl/>
          </w:rPr>
          <w:t xml:space="preserve">فصل اول: کلیات پژوهش</w:t>
        </w:r>
        <w:r>
          <w:rPr>
            <w:noProof/>
            <w:rtl/>
          </w:rPr>
          <w:tab/>
        </w:r>
        <w:r>
          <w:rPr>
            <w:noProof/>
            <w:rtl/>
          </w:rPr>
          <w:fldChar w:fldCharType="begin"/>
        </w:r>
        <w:r>
          <w:rPr>
            <w:noProof/>
            <w:rtl/>
          </w:rPr>
          <w:instrText xml:space="preserve"> PAGEREF _Toc200000001 \h </w:instrText>
        </w:r>
        <w:r>
          <w:rPr>
            <w:noProof/>
            <w:rtl/>
          </w:rPr>
          <w:fldChar w:fldCharType="separate"/>
        </w:r>
        <w:r>
          <w:rPr>
            <w:noProof/>
            <w:rtl/>
          </w:rPr>
          <w:t xml:space="preserve">۱۲</w:t>
        </w:r>
        <w:r>
          <w:rPr>
            <w:noProof/>
            <w:rtl/>
          </w:rPr>
          <w:fldChar w:fldCharType="end"/>
        </w:r>
      </w:hyperlink>
    </w:p>
    <w:p>
      <w:pPr>
        <w:pStyle w:val="TOC2"/>
        <w:bidi/>
      </w:pPr>
      <w:hyperlink w:anchor="_Toc200000002" w:history="1">
        <w:r>
          <w:rPr>
            <w:noProof/>
            <w:rtl/>
          </w:rPr>
          <w:t xml:space="preserve">۱ـ۱ مقدمه</w:t>
        </w:r>
        <w:r>
          <w:rPr>
            <w:noProof/>
            <w:rtl/>
          </w:rPr>
          <w:tab/>
        </w:r>
        <w:r>
          <w:rPr>
            <w:noProof/>
            <w:rtl/>
          </w:rPr>
          <w:fldChar w:fldCharType="begin"/>
        </w:r>
        <w:r>
          <w:rPr>
            <w:noProof/>
            <w:rtl/>
          </w:rPr>
          <w:instrText xml:space="preserve"> PAGEREF _Toc200000002 \h </w:instrText>
        </w:r>
        <w:r>
          <w:rPr>
            <w:noProof/>
            <w:rtl/>
          </w:rPr>
          <w:fldChar w:fldCharType="separate"/>
        </w:r>
        <w:r>
          <w:rPr>
            <w:noProof/>
            <w:rtl/>
          </w:rPr>
          <w:t xml:space="preserve">۱۳</w:t>
        </w:r>
        <w:r>
          <w:rPr>
            <w:noProof/>
            <w:rtl/>
          </w:rPr>
          <w:fldChar w:fldCharType="end"/>
        </w:r>
      </w:hyperlink>
    </w:p>
    <w:p>
      <w:pPr>
        <w:pStyle w:val="TOC2"/>
        <w:bidi/>
      </w:pPr>
      <w:hyperlink w:anchor="_Toc200000003" w:history="1">
        <w:r>
          <w:rPr>
            <w:noProof/>
            <w:rtl/>
          </w:rPr>
          <w:t xml:space="preserve">۱ـ۲ بیان مسئله</w:t>
        </w:r>
        <w:r>
          <w:rPr>
            <w:noProof/>
            <w:rtl/>
          </w:rPr>
          <w:tab/>
        </w:r>
        <w:r>
          <w:rPr>
            <w:noProof/>
            <w:rtl/>
          </w:rPr>
          <w:fldChar w:fldCharType="begin"/>
        </w:r>
        <w:r>
          <w:rPr>
            <w:noProof/>
            <w:rtl/>
          </w:rPr>
          <w:instrText xml:space="preserve"> PAGEREF _Toc200000003 \h </w:instrText>
        </w:r>
        <w:r>
          <w:rPr>
            <w:noProof/>
            <w:rtl/>
          </w:rPr>
          <w:fldChar w:fldCharType="separate"/>
        </w:r>
        <w:r>
          <w:rPr>
            <w:noProof/>
            <w:rtl/>
          </w:rPr>
          <w:t xml:space="preserve">۱۳</w:t>
        </w:r>
        <w:r>
          <w:rPr>
            <w:noProof/>
            <w:rtl/>
          </w:rPr>
          <w:fldChar w:fldCharType="end"/>
        </w:r>
      </w:hyperlink>
    </w:p>
    <w:p>
      <w:pPr>
        <w:pStyle w:val="TOC2"/>
        <w:bidi/>
      </w:pPr>
      <w:hyperlink w:anchor="_Toc200000004" w:history="1">
        <w:r>
          <w:rPr>
            <w:noProof/>
            <w:rtl/>
          </w:rPr>
          <w:t xml:space="preserve">۱ـ۳ اهمیت و ضرورت</w:t>
        </w:r>
        <w:r>
          <w:rPr>
            <w:noProof/>
            <w:rtl/>
          </w:rPr>
          <w:tab/>
        </w:r>
        <w:r>
          <w:rPr>
            <w:noProof/>
            <w:rtl/>
          </w:rPr>
          <w:fldChar w:fldCharType="begin"/>
        </w:r>
        <w:r>
          <w:rPr>
            <w:noProof/>
            <w:rtl/>
          </w:rPr>
          <w:instrText xml:space="preserve"> PAGEREF _Toc200000004 \h </w:instrText>
        </w:r>
        <w:r>
          <w:rPr>
            <w:noProof/>
            <w:rtl/>
          </w:rPr>
          <w:fldChar w:fldCharType="separate"/>
        </w:r>
        <w:r>
          <w:rPr>
            <w:noProof/>
            <w:rtl/>
          </w:rPr>
          <w:t xml:space="preserve">۱۵</w:t>
        </w:r>
        <w:r>
          <w:rPr>
            <w:noProof/>
            <w:rtl/>
          </w:rPr>
          <w:fldChar w:fldCharType="end"/>
        </w:r>
      </w:hyperlink>
    </w:p>
    <w:p>
      <w:pPr>
        <w:pStyle w:val="TOC2"/>
        <w:bidi/>
      </w:pPr>
      <w:hyperlink w:anchor="_Toc200000005" w:history="1">
        <w:r>
          <w:rPr>
            <w:noProof/>
            <w:rtl/>
          </w:rPr>
          <w:t xml:space="preserve">۱ـ۴ اهداف تحقیق</w:t>
        </w:r>
        <w:r>
          <w:rPr>
            <w:noProof/>
            <w:rtl/>
          </w:rPr>
          <w:tab/>
        </w:r>
        <w:r>
          <w:rPr>
            <w:noProof/>
            <w:rtl/>
          </w:rPr>
          <w:fldChar w:fldCharType="begin"/>
        </w:r>
        <w:r>
          <w:rPr>
            <w:noProof/>
            <w:rtl/>
          </w:rPr>
          <w:instrText xml:space="preserve"> PAGEREF _Toc200000005 \h </w:instrText>
        </w:r>
        <w:r>
          <w:rPr>
            <w:noProof/>
            <w:rtl/>
          </w:rPr>
          <w:fldChar w:fldCharType="separate"/>
        </w:r>
        <w:r>
          <w:rPr>
            <w:noProof/>
            <w:rtl/>
          </w:rPr>
          <w:t xml:space="preserve">۱۶</w:t>
        </w:r>
        <w:r>
          <w:rPr>
            <w:noProof/>
            <w:rtl/>
          </w:rPr>
          <w:fldChar w:fldCharType="end"/>
        </w:r>
      </w:hyperlink>
    </w:p>
    <w:p>
      <w:pPr>
        <w:pStyle w:val="TOC2"/>
        <w:bidi/>
      </w:pPr>
      <w:hyperlink w:anchor="_Toc200000006" w:history="1">
        <w:r>
          <w:rPr>
            <w:noProof/>
            <w:rtl/>
          </w:rPr>
          <w:t xml:space="preserve">۱ـ۵ پرسش‌های تحقیق</w:t>
        </w:r>
        <w:r>
          <w:rPr>
            <w:noProof/>
            <w:rtl/>
          </w:rPr>
          <w:tab/>
        </w:r>
        <w:r>
          <w:rPr>
            <w:noProof/>
            <w:rtl/>
          </w:rPr>
          <w:fldChar w:fldCharType="begin"/>
        </w:r>
        <w:r>
          <w:rPr>
            <w:noProof/>
            <w:rtl/>
          </w:rPr>
          <w:instrText xml:space="preserve"> PAGEREF _Toc200000006 \h </w:instrText>
        </w:r>
        <w:r>
          <w:rPr>
            <w:noProof/>
            <w:rtl/>
          </w:rPr>
          <w:fldChar w:fldCharType="separate"/>
        </w:r>
        <w:r>
          <w:rPr>
            <w:noProof/>
            <w:rtl/>
          </w:rPr>
          <w:t xml:space="preserve">۱۶</w:t>
        </w:r>
        <w:r>
          <w:rPr>
            <w:noProof/>
            <w:rtl/>
          </w:rPr>
          <w:fldChar w:fldCharType="end"/>
        </w:r>
      </w:hyperlink>
    </w:p>
    <w:p>
      <w:pPr>
        <w:pStyle w:val="TOC2"/>
        <w:bidi/>
      </w:pPr>
      <w:hyperlink w:anchor="_Toc200000007" w:history="1">
        <w:r>
          <w:rPr>
            <w:noProof/>
            <w:rtl/>
          </w:rPr>
          <w:t xml:space="preserve">۱ـ۶ قلمروهای تحقیق</w:t>
        </w:r>
        <w:r>
          <w:rPr>
            <w:noProof/>
            <w:rtl/>
          </w:rPr>
          <w:tab/>
        </w:r>
        <w:r>
          <w:rPr>
            <w:noProof/>
            <w:rtl/>
          </w:rPr>
          <w:fldChar w:fldCharType="begin"/>
        </w:r>
        <w:r>
          <w:rPr>
            <w:noProof/>
            <w:rtl/>
          </w:rPr>
          <w:instrText xml:space="preserve"> PAGEREF _Toc200000007 \h </w:instrText>
        </w:r>
        <w:r>
          <w:rPr>
            <w:noProof/>
            <w:rtl/>
          </w:rPr>
          <w:fldChar w:fldCharType="separate"/>
        </w:r>
        <w:r>
          <w:rPr>
            <w:noProof/>
            <w:rtl/>
          </w:rPr>
          <w:t xml:space="preserve">۱۷</w:t>
        </w:r>
        <w:r>
          <w:rPr>
            <w:noProof/>
            <w:rtl/>
          </w:rPr>
          <w:fldChar w:fldCharType="end"/>
        </w:r>
      </w:hyperlink>
    </w:p>
    <w:p>
      <w:pPr>
        <w:pStyle w:val="TOC3"/>
        <w:bidi/>
      </w:pPr>
      <w:hyperlink w:anchor="_Toc200000008" w:history="1">
        <w:r>
          <w:rPr>
            <w:noProof/>
            <w:rtl/>
          </w:rPr>
          <w:t xml:space="preserve">۱ـ۶ـ۱ قلمرو موضوعی</w:t>
        </w:r>
        <w:r>
          <w:rPr>
            <w:noProof/>
            <w:rtl/>
          </w:rPr>
          <w:tab/>
        </w:r>
        <w:r>
          <w:rPr>
            <w:noProof/>
            <w:rtl/>
          </w:rPr>
          <w:fldChar w:fldCharType="begin"/>
        </w:r>
        <w:r>
          <w:rPr>
            <w:noProof/>
            <w:rtl/>
          </w:rPr>
          <w:instrText xml:space="preserve"> PAGEREF _Toc200000008 \h </w:instrText>
        </w:r>
        <w:r>
          <w:rPr>
            <w:noProof/>
            <w:rtl/>
          </w:rPr>
          <w:fldChar w:fldCharType="separate"/>
        </w:r>
        <w:r>
          <w:rPr>
            <w:noProof/>
            <w:rtl/>
          </w:rPr>
          <w:t xml:space="preserve">۱۷</w:t>
        </w:r>
        <w:r>
          <w:rPr>
            <w:noProof/>
            <w:rtl/>
          </w:rPr>
          <w:fldChar w:fldCharType="end"/>
        </w:r>
      </w:hyperlink>
    </w:p>
    <w:p>
      <w:pPr>
        <w:pStyle w:val="TOC3"/>
        <w:bidi/>
      </w:pPr>
      <w:hyperlink w:anchor="_Toc200000009" w:history="1">
        <w:r>
          <w:rPr>
            <w:noProof/>
            <w:rtl/>
          </w:rPr>
          <w:t xml:space="preserve">۱ـ۶ـ۲ قلمرو مکانی</w:t>
        </w:r>
        <w:r>
          <w:rPr>
            <w:noProof/>
            <w:rtl/>
          </w:rPr>
          <w:tab/>
        </w:r>
        <w:r>
          <w:rPr>
            <w:noProof/>
            <w:rtl/>
          </w:rPr>
          <w:fldChar w:fldCharType="begin"/>
        </w:r>
        <w:r>
          <w:rPr>
            <w:noProof/>
            <w:rtl/>
          </w:rPr>
          <w:instrText xml:space="preserve"> PAGEREF _Toc200000009 \h </w:instrText>
        </w:r>
        <w:r>
          <w:rPr>
            <w:noProof/>
            <w:rtl/>
          </w:rPr>
          <w:fldChar w:fldCharType="separate"/>
        </w:r>
        <w:r>
          <w:rPr>
            <w:noProof/>
            <w:rtl/>
          </w:rPr>
          <w:t xml:space="preserve">۱۷</w:t>
        </w:r>
        <w:r>
          <w:rPr>
            <w:noProof/>
            <w:rtl/>
          </w:rPr>
          <w:fldChar w:fldCharType="end"/>
        </w:r>
      </w:hyperlink>
    </w:p>
    <w:p>
      <w:pPr>
        <w:pStyle w:val="TOC3"/>
        <w:bidi/>
      </w:pPr>
      <w:hyperlink w:anchor="_Toc200000010" w:history="1">
        <w:r>
          <w:rPr>
            <w:noProof/>
            <w:rtl/>
          </w:rPr>
          <w:t xml:space="preserve">۱ـ۶ـ۳ قلمرو زمانی</w:t>
        </w:r>
        <w:r>
          <w:rPr>
            <w:noProof/>
            <w:rtl/>
          </w:rPr>
          <w:tab/>
        </w:r>
        <w:r>
          <w:rPr>
            <w:noProof/>
            <w:rtl/>
          </w:rPr>
          <w:fldChar w:fldCharType="begin"/>
        </w:r>
        <w:r>
          <w:rPr>
            <w:noProof/>
            <w:rtl/>
          </w:rPr>
          <w:instrText xml:space="preserve"> PAGEREF _Toc200000010 \h </w:instrText>
        </w:r>
        <w:r>
          <w:rPr>
            <w:noProof/>
            <w:rtl/>
          </w:rPr>
          <w:fldChar w:fldCharType="separate"/>
        </w:r>
        <w:r>
          <w:rPr>
            <w:noProof/>
            <w:rtl/>
          </w:rPr>
          <w:t xml:space="preserve">۱۷</w:t>
        </w:r>
        <w:r>
          <w:rPr>
            <w:noProof/>
            <w:rtl/>
          </w:rPr>
          <w:fldChar w:fldCharType="end"/>
        </w:r>
      </w:hyperlink>
    </w:p>
    <w:p>
      <w:pPr>
        <w:pStyle w:val="TOC2"/>
        <w:bidi/>
      </w:pPr>
      <w:hyperlink w:anchor="_Toc200000011" w:history="1">
        <w:r>
          <w:rPr>
            <w:noProof/>
            <w:rtl/>
          </w:rPr>
          <w:t xml:space="preserve">۱ـ۷ تعاریف مفهومی و عملیاتی</w:t>
        </w:r>
        <w:r>
          <w:rPr>
            <w:noProof/>
            <w:rtl/>
          </w:rPr>
          <w:tab/>
        </w:r>
        <w:r>
          <w:rPr>
            <w:noProof/>
            <w:rtl/>
          </w:rPr>
          <w:fldChar w:fldCharType="begin"/>
        </w:r>
        <w:r>
          <w:rPr>
            <w:noProof/>
            <w:rtl/>
          </w:rPr>
          <w:instrText xml:space="preserve"> PAGEREF _Toc200000011 \h </w:instrText>
        </w:r>
        <w:r>
          <w:rPr>
            <w:noProof/>
            <w:rtl/>
          </w:rPr>
          <w:fldChar w:fldCharType="separate"/>
        </w:r>
        <w:r>
          <w:rPr>
            <w:noProof/>
            <w:rtl/>
          </w:rPr>
          <w:t xml:space="preserve">۱۷</w:t>
        </w:r>
        <w:r>
          <w:rPr>
            <w:noProof/>
            <w:rtl/>
          </w:rPr>
          <w:fldChar w:fldCharType="end"/>
        </w:r>
      </w:hyperlink>
    </w:p>
    <w:p>
      <w:pPr>
        <w:pStyle w:val="TOC3"/>
        <w:bidi/>
      </w:pPr>
      <w:hyperlink w:anchor="_Toc200000012" w:history="1">
        <w:r>
          <w:rPr>
            <w:noProof/>
            <w:rtl/>
          </w:rPr>
          <w:t xml:space="preserve">۱ـ۷ـ۱ فروش</w:t>
        </w:r>
        <w:r>
          <w:rPr>
            <w:noProof/>
            <w:rtl/>
          </w:rPr>
          <w:tab/>
        </w:r>
        <w:r>
          <w:rPr>
            <w:noProof/>
            <w:rtl/>
          </w:rPr>
          <w:fldChar w:fldCharType="begin"/>
        </w:r>
        <w:r>
          <w:rPr>
            <w:noProof/>
            <w:rtl/>
          </w:rPr>
          <w:instrText xml:space="preserve"> PAGEREF _Toc200000012 \h </w:instrText>
        </w:r>
        <w:r>
          <w:rPr>
            <w:noProof/>
            <w:rtl/>
          </w:rPr>
          <w:fldChar w:fldCharType="separate"/>
        </w:r>
        <w:r>
          <w:rPr>
            <w:noProof/>
            <w:rtl/>
          </w:rPr>
          <w:t xml:space="preserve">۱۷</w:t>
        </w:r>
        <w:r>
          <w:rPr>
            <w:noProof/>
            <w:rtl/>
          </w:rPr>
          <w:fldChar w:fldCharType="end"/>
        </w:r>
      </w:hyperlink>
    </w:p>
    <w:p>
      <w:pPr>
        <w:pStyle w:val="TOC3"/>
        <w:bidi/>
      </w:pPr>
      <w:hyperlink w:anchor="_Toc200000013" w:history="1">
        <w:r>
          <w:rPr>
            <w:noProof/>
            <w:rtl/>
          </w:rPr>
          <w:t xml:space="preserve">۱ـ۷ـ۲ شرکت تک‌محصولی</w:t>
        </w:r>
        <w:r>
          <w:rPr>
            <w:noProof/>
            <w:rtl/>
          </w:rPr>
          <w:tab/>
        </w:r>
        <w:r>
          <w:rPr>
            <w:noProof/>
            <w:rtl/>
          </w:rPr>
          <w:fldChar w:fldCharType="begin"/>
        </w:r>
        <w:r>
          <w:rPr>
            <w:noProof/>
            <w:rtl/>
          </w:rPr>
          <w:instrText xml:space="preserve"> PAGEREF _Toc200000013 \h </w:instrText>
        </w:r>
        <w:r>
          <w:rPr>
            <w:noProof/>
            <w:rtl/>
          </w:rPr>
          <w:fldChar w:fldCharType="separate"/>
        </w:r>
        <w:r>
          <w:rPr>
            <w:noProof/>
            <w:rtl/>
          </w:rPr>
          <w:t xml:space="preserve">۱۷</w:t>
        </w:r>
        <w:r>
          <w:rPr>
            <w:noProof/>
            <w:rtl/>
          </w:rPr>
          <w:fldChar w:fldCharType="end"/>
        </w:r>
      </w:hyperlink>
    </w:p>
    <w:p>
      <w:pPr>
        <w:pStyle w:val="TOC1"/>
        <w:bidi/>
      </w:pPr>
      <w:hyperlink w:anchor="_Toc200000014" w:history="1">
        <w:r>
          <w:rPr>
            <w:noProof/>
            <w:rtl/>
          </w:rPr>
          <w:t xml:space="preserve">فصل دوم: مبانی نظری و پیشینه پژوهش</w:t>
        </w:r>
        <w:r>
          <w:rPr>
            <w:noProof/>
            <w:rtl/>
          </w:rPr>
          <w:tab/>
        </w:r>
        <w:r>
          <w:rPr>
            <w:noProof/>
            <w:rtl/>
          </w:rPr>
          <w:fldChar w:fldCharType="begin"/>
        </w:r>
        <w:r>
          <w:rPr>
            <w:noProof/>
            <w:rtl/>
          </w:rPr>
          <w:instrText xml:space="preserve"> PAGEREF _Toc200000014 \h </w:instrText>
        </w:r>
        <w:r>
          <w:rPr>
            <w:noProof/>
            <w:rtl/>
          </w:rPr>
          <w:fldChar w:fldCharType="separate"/>
        </w:r>
        <w:r>
          <w:rPr>
            <w:noProof/>
            <w:rtl/>
          </w:rPr>
          <w:t xml:space="preserve">۱۸</w:t>
        </w:r>
        <w:r>
          <w:rPr>
            <w:noProof/>
            <w:rtl/>
          </w:rPr>
          <w:fldChar w:fldCharType="end"/>
        </w:r>
      </w:hyperlink>
    </w:p>
    <w:p>
      <w:pPr>
        <w:pStyle w:val="TOC2"/>
        <w:bidi/>
      </w:pPr>
      <w:hyperlink w:anchor="_Toc200000015" w:history="1">
        <w:r>
          <w:rPr>
            <w:noProof/>
            <w:rtl/>
          </w:rPr>
          <w:t xml:space="preserve">۲ـ۱ مقدمه</w:t>
        </w:r>
        <w:r>
          <w:rPr>
            <w:noProof/>
            <w:rtl/>
          </w:rPr>
          <w:tab/>
        </w:r>
        <w:r>
          <w:rPr>
            <w:noProof/>
            <w:rtl/>
          </w:rPr>
          <w:fldChar w:fldCharType="begin"/>
        </w:r>
        <w:r>
          <w:rPr>
            <w:noProof/>
            <w:rtl/>
          </w:rPr>
          <w:instrText xml:space="preserve"> PAGEREF _Toc200000015 \h </w:instrText>
        </w:r>
        <w:r>
          <w:rPr>
            <w:noProof/>
            <w:rtl/>
          </w:rPr>
          <w:fldChar w:fldCharType="separate"/>
        </w:r>
        <w:r>
          <w:rPr>
            <w:noProof/>
            <w:rtl/>
          </w:rPr>
          <w:t xml:space="preserve">۱۹</w:t>
        </w:r>
        <w:r>
          <w:rPr>
            <w:noProof/>
            <w:rtl/>
          </w:rPr>
          <w:fldChar w:fldCharType="end"/>
        </w:r>
      </w:hyperlink>
    </w:p>
    <w:p>
      <w:pPr>
        <w:pStyle w:val="TOC2"/>
        <w:bidi/>
      </w:pPr>
      <w:hyperlink w:anchor="_Toc200000016" w:history="1">
        <w:r>
          <w:rPr>
            <w:noProof/>
            <w:rtl/>
          </w:rPr>
          <w:t xml:space="preserve">۲ـ۲ مبانی نظری</w:t>
        </w:r>
        <w:r>
          <w:rPr>
            <w:noProof/>
            <w:rtl/>
          </w:rPr>
          <w:tab/>
        </w:r>
        <w:r>
          <w:rPr>
            <w:noProof/>
            <w:rtl/>
          </w:rPr>
          <w:fldChar w:fldCharType="begin"/>
        </w:r>
        <w:r>
          <w:rPr>
            <w:noProof/>
            <w:rtl/>
          </w:rPr>
          <w:instrText xml:space="preserve"> PAGEREF _Toc200000016 \h </w:instrText>
        </w:r>
        <w:r>
          <w:rPr>
            <w:noProof/>
            <w:rtl/>
          </w:rPr>
          <w:fldChar w:fldCharType="separate"/>
        </w:r>
        <w:r>
          <w:rPr>
            <w:noProof/>
            <w:rtl/>
          </w:rPr>
          <w:t xml:space="preserve">۱۹</w:t>
        </w:r>
        <w:r>
          <w:rPr>
            <w:noProof/>
            <w:rtl/>
          </w:rPr>
          <w:fldChar w:fldCharType="end"/>
        </w:r>
      </w:hyperlink>
    </w:p>
    <w:p>
      <w:pPr>
        <w:pStyle w:val="TOC3"/>
        <w:bidi/>
      </w:pPr>
      <w:hyperlink w:anchor="_Toc200000017" w:history="1">
        <w:r>
          <w:rPr>
            <w:noProof/>
            <w:rtl/>
          </w:rPr>
          <w:t xml:space="preserve">۲ـ۲ـ۱ مفهوم فروش</w:t>
        </w:r>
        <w:r>
          <w:rPr>
            <w:noProof/>
            <w:rtl/>
          </w:rPr>
          <w:tab/>
        </w:r>
        <w:r>
          <w:rPr>
            <w:noProof/>
            <w:rtl/>
          </w:rPr>
          <w:fldChar w:fldCharType="begin"/>
        </w:r>
        <w:r>
          <w:rPr>
            <w:noProof/>
            <w:rtl/>
          </w:rPr>
          <w:instrText xml:space="preserve"> PAGEREF _Toc200000017 \h </w:instrText>
        </w:r>
        <w:r>
          <w:rPr>
            <w:noProof/>
            <w:rtl/>
          </w:rPr>
          <w:fldChar w:fldCharType="separate"/>
        </w:r>
        <w:r>
          <w:rPr>
            <w:noProof/>
            <w:rtl/>
          </w:rPr>
          <w:t xml:space="preserve">۱۹</w:t>
        </w:r>
        <w:r>
          <w:rPr>
            <w:noProof/>
            <w:rtl/>
          </w:rPr>
          <w:fldChar w:fldCharType="end"/>
        </w:r>
      </w:hyperlink>
    </w:p>
    <w:p>
      <w:pPr>
        <w:pStyle w:val="TOC3"/>
        <w:bidi/>
      </w:pPr>
      <w:hyperlink w:anchor="_Toc200000018" w:history="1">
        <w:r>
          <w:rPr>
            <w:noProof/>
            <w:rtl/>
          </w:rPr>
          <w:t xml:space="preserve">۲ـ۲ـ۲ رویکردها و نظریه‌های مرتبط با عملکرد و اثربخشی فروش</w:t>
        </w:r>
        <w:r>
          <w:rPr>
            <w:noProof/>
            <w:rtl/>
          </w:rPr>
          <w:tab/>
        </w:r>
        <w:r>
          <w:rPr>
            <w:noProof/>
            <w:rtl/>
          </w:rPr>
          <w:fldChar w:fldCharType="begin"/>
        </w:r>
        <w:r>
          <w:rPr>
            <w:noProof/>
            <w:rtl/>
          </w:rPr>
          <w:instrText xml:space="preserve"> PAGEREF _Toc200000018 \h </w:instrText>
        </w:r>
        <w:r>
          <w:rPr>
            <w:noProof/>
            <w:rtl/>
          </w:rPr>
          <w:fldChar w:fldCharType="separate"/>
        </w:r>
        <w:r>
          <w:rPr>
            <w:noProof/>
            <w:rtl/>
          </w:rPr>
          <w:t xml:space="preserve">۲۱</w:t>
        </w:r>
        <w:r>
          <w:rPr>
            <w:noProof/>
            <w:rtl/>
          </w:rPr>
          <w:fldChar w:fldCharType="end"/>
        </w:r>
      </w:hyperlink>
    </w:p>
    <w:p>
      <w:pPr>
        <w:pStyle w:val="TOC3"/>
        <w:bidi/>
      </w:pPr>
      <w:hyperlink w:anchor="_Toc200000019" w:history="1">
        <w:r>
          <w:rPr>
            <w:noProof/>
            <w:rtl/>
          </w:rPr>
          <w:t xml:space="preserve">۲ـ۲ـ۳ مفهوم و ماهیت چالش‌های فروش در بنگاه‌های اقتصادی</w:t>
        </w:r>
        <w:r>
          <w:rPr>
            <w:noProof/>
            <w:rtl/>
          </w:rPr>
          <w:tab/>
        </w:r>
        <w:r>
          <w:rPr>
            <w:noProof/>
            <w:rtl/>
          </w:rPr>
          <w:fldChar w:fldCharType="begin"/>
        </w:r>
        <w:r>
          <w:rPr>
            <w:noProof/>
            <w:rtl/>
          </w:rPr>
          <w:instrText xml:space="preserve"> PAGEREF _Toc200000019 \h </w:instrText>
        </w:r>
        <w:r>
          <w:rPr>
            <w:noProof/>
            <w:rtl/>
          </w:rPr>
          <w:fldChar w:fldCharType="separate"/>
        </w:r>
        <w:r>
          <w:rPr>
            <w:noProof/>
            <w:rtl/>
          </w:rPr>
          <w:t xml:space="preserve">۲۳</w:t>
        </w:r>
        <w:r>
          <w:rPr>
            <w:noProof/>
            <w:rtl/>
          </w:rPr>
          <w:fldChar w:fldCharType="end"/>
        </w:r>
      </w:hyperlink>
    </w:p>
    <w:p>
      <w:pPr>
        <w:pStyle w:val="TOC3"/>
        <w:bidi/>
      </w:pPr>
      <w:hyperlink w:anchor="_Toc200000020" w:history="1">
        <w:r>
          <w:rPr>
            <w:noProof/>
            <w:rtl/>
          </w:rPr>
          <w:t xml:space="preserve">۲ـ۲ـ۴ شرکت‌های تک‌محصولی و جایگاه آن‌ها در ادبیات مدیریت استراتژیک</w:t>
        </w:r>
        <w:r>
          <w:rPr>
            <w:noProof/>
            <w:rtl/>
          </w:rPr>
          <w:tab/>
        </w:r>
        <w:r>
          <w:rPr>
            <w:noProof/>
            <w:rtl/>
          </w:rPr>
          <w:fldChar w:fldCharType="begin"/>
        </w:r>
        <w:r>
          <w:rPr>
            <w:noProof/>
            <w:rtl/>
          </w:rPr>
          <w:instrText xml:space="preserve"> PAGEREF _Toc200000020 \h </w:instrText>
        </w:r>
        <w:r>
          <w:rPr>
            <w:noProof/>
            <w:rtl/>
          </w:rPr>
          <w:fldChar w:fldCharType="separate"/>
        </w:r>
        <w:r>
          <w:rPr>
            <w:noProof/>
            <w:rtl/>
          </w:rPr>
          <w:t xml:space="preserve">۳۱</w:t>
        </w:r>
        <w:r>
          <w:rPr>
            <w:noProof/>
            <w:rtl/>
          </w:rPr>
          <w:fldChar w:fldCharType="end"/>
        </w:r>
      </w:hyperlink>
    </w:p>
    <w:p>
      <w:pPr>
        <w:pStyle w:val="TOC3"/>
        <w:bidi/>
      </w:pPr>
      <w:hyperlink w:anchor="_Toc200000021" w:history="1">
        <w:r>
          <w:rPr>
            <w:noProof/>
            <w:rtl/>
          </w:rPr>
          <w:t xml:space="preserve">۲ـ۲ـ۵ ویژگی‌های صنعت مواد غذایی و عوامل خاص اثرگذار بر فروش</w:t>
        </w:r>
        <w:r>
          <w:rPr>
            <w:noProof/>
            <w:rtl/>
          </w:rPr>
          <w:tab/>
        </w:r>
        <w:r>
          <w:rPr>
            <w:noProof/>
            <w:rtl/>
          </w:rPr>
          <w:fldChar w:fldCharType="begin"/>
        </w:r>
        <w:r>
          <w:rPr>
            <w:noProof/>
            <w:rtl/>
          </w:rPr>
          <w:instrText xml:space="preserve"> PAGEREF _Toc200000021 \h </w:instrText>
        </w:r>
        <w:r>
          <w:rPr>
            <w:noProof/>
            <w:rtl/>
          </w:rPr>
          <w:fldChar w:fldCharType="separate"/>
        </w:r>
        <w:r>
          <w:rPr>
            <w:noProof/>
            <w:rtl/>
          </w:rPr>
          <w:t xml:space="preserve">۳۷</w:t>
        </w:r>
        <w:r>
          <w:rPr>
            <w:noProof/>
            <w:rtl/>
          </w:rPr>
          <w:fldChar w:fldCharType="end"/>
        </w:r>
      </w:hyperlink>
    </w:p>
    <w:p>
      <w:pPr>
        <w:pStyle w:val="TOC3"/>
        <w:bidi/>
      </w:pPr>
      <w:hyperlink w:anchor="_Toc200000022" w:history="1">
        <w:r>
          <w:rPr>
            <w:noProof/>
            <w:rtl/>
          </w:rPr>
          <w:t xml:space="preserve">۲ـ۲ـ۶ جمع‌بندی چارچوب نظری و ارتباط مفاهیم اصلی پژوهش</w:t>
        </w:r>
        <w:r>
          <w:rPr>
            <w:noProof/>
            <w:rtl/>
          </w:rPr>
          <w:tab/>
        </w:r>
        <w:r>
          <w:rPr>
            <w:noProof/>
            <w:rtl/>
          </w:rPr>
          <w:fldChar w:fldCharType="begin"/>
        </w:r>
        <w:r>
          <w:rPr>
            <w:noProof/>
            <w:rtl/>
          </w:rPr>
          <w:instrText xml:space="preserve"> PAGEREF _Toc200000022 \h </w:instrText>
        </w:r>
        <w:r>
          <w:rPr>
            <w:noProof/>
            <w:rtl/>
          </w:rPr>
          <w:fldChar w:fldCharType="separate"/>
        </w:r>
        <w:r>
          <w:rPr>
            <w:noProof/>
            <w:rtl/>
          </w:rPr>
          <w:t xml:space="preserve">۴۰</w:t>
        </w:r>
        <w:r>
          <w:rPr>
            <w:noProof/>
            <w:rtl/>
          </w:rPr>
          <w:fldChar w:fldCharType="end"/>
        </w:r>
      </w:hyperlink>
    </w:p>
    <w:p>
      <w:pPr>
        <w:pStyle w:val="TOC2"/>
        <w:bidi/>
      </w:pPr>
      <w:hyperlink w:anchor="_Toc200000023" w:history="1">
        <w:r>
          <w:rPr>
            <w:noProof/>
            <w:rtl/>
          </w:rPr>
          <w:t xml:space="preserve">۲ـ۳ مرور پیشینه‌های پژوهش</w:t>
        </w:r>
        <w:r>
          <w:rPr>
            <w:noProof/>
            <w:rtl/>
          </w:rPr>
          <w:tab/>
        </w:r>
        <w:r>
          <w:rPr>
            <w:noProof/>
            <w:rtl/>
          </w:rPr>
          <w:fldChar w:fldCharType="begin"/>
        </w:r>
        <w:r>
          <w:rPr>
            <w:noProof/>
            <w:rtl/>
          </w:rPr>
          <w:instrText xml:space="preserve"> PAGEREF _Toc200000023 \h </w:instrText>
        </w:r>
        <w:r>
          <w:rPr>
            <w:noProof/>
            <w:rtl/>
          </w:rPr>
          <w:fldChar w:fldCharType="separate"/>
        </w:r>
        <w:r>
          <w:rPr>
            <w:noProof/>
            <w:rtl/>
          </w:rPr>
          <w:t xml:space="preserve">۴۱</w:t>
        </w:r>
        <w:r>
          <w:rPr>
            <w:noProof/>
            <w:rtl/>
          </w:rPr>
          <w:fldChar w:fldCharType="end"/>
        </w:r>
      </w:hyperlink>
    </w:p>
    <w:p>
      <w:pPr>
        <w:pStyle w:val="TOC3"/>
        <w:bidi/>
      </w:pPr>
      <w:hyperlink w:anchor="_Toc200000024" w:history="1">
        <w:r>
          <w:rPr>
            <w:noProof/>
            <w:rtl/>
          </w:rPr>
          <w:t xml:space="preserve">۲ـ۳ـ۱ پیشینه‌های داخل کشور</w:t>
        </w:r>
        <w:r>
          <w:rPr>
            <w:noProof/>
            <w:rtl/>
          </w:rPr>
          <w:tab/>
        </w:r>
        <w:r>
          <w:rPr>
            <w:noProof/>
            <w:rtl/>
          </w:rPr>
          <w:fldChar w:fldCharType="begin"/>
        </w:r>
        <w:r>
          <w:rPr>
            <w:noProof/>
            <w:rtl/>
          </w:rPr>
          <w:instrText xml:space="preserve"> PAGEREF _Toc200000024 \h </w:instrText>
        </w:r>
        <w:r>
          <w:rPr>
            <w:noProof/>
            <w:rtl/>
          </w:rPr>
          <w:fldChar w:fldCharType="separate"/>
        </w:r>
        <w:r>
          <w:rPr>
            <w:noProof/>
            <w:rtl/>
          </w:rPr>
          <w:t xml:space="preserve">۴۱</w:t>
        </w:r>
        <w:r>
          <w:rPr>
            <w:noProof/>
            <w:rtl/>
          </w:rPr>
          <w:fldChar w:fldCharType="end"/>
        </w:r>
      </w:hyperlink>
    </w:p>
    <w:p>
      <w:pPr>
        <w:pStyle w:val="TOC3"/>
        <w:bidi/>
      </w:pPr>
      <w:hyperlink w:anchor="_Toc200000025" w:history="1">
        <w:r>
          <w:rPr>
            <w:noProof/>
            <w:rtl/>
          </w:rPr>
          <w:t xml:space="preserve">۲ـ۳ـ۲ پیشینه‌های خارج از کشور</w:t>
        </w:r>
        <w:r>
          <w:rPr>
            <w:noProof/>
            <w:rtl/>
          </w:rPr>
          <w:tab/>
        </w:r>
        <w:r>
          <w:rPr>
            <w:noProof/>
            <w:rtl/>
          </w:rPr>
          <w:fldChar w:fldCharType="begin"/>
        </w:r>
        <w:r>
          <w:rPr>
            <w:noProof/>
            <w:rtl/>
          </w:rPr>
          <w:instrText xml:space="preserve"> PAGEREF _Toc200000025 \h </w:instrText>
        </w:r>
        <w:r>
          <w:rPr>
            <w:noProof/>
            <w:rtl/>
          </w:rPr>
          <w:fldChar w:fldCharType="separate"/>
        </w:r>
        <w:r>
          <w:rPr>
            <w:noProof/>
            <w:rtl/>
          </w:rPr>
          <w:t xml:space="preserve">۴۴</w:t>
        </w:r>
        <w:r>
          <w:rPr>
            <w:noProof/>
            <w:rtl/>
          </w:rPr>
          <w:fldChar w:fldCharType="end"/>
        </w:r>
      </w:hyperlink>
    </w:p>
    <w:p>
      <w:pPr>
        <w:pStyle w:val="TOC2"/>
        <w:bidi/>
      </w:pPr>
      <w:hyperlink w:anchor="_Toc200000026" w:history="1">
        <w:r>
          <w:rPr>
            <w:noProof/>
            <w:rtl/>
          </w:rPr>
          <w:t xml:space="preserve">۲ـ۴ جمع‌بندی و ارائه مدل مفهومی (موارد برگرفته از ادبیات نظری)</w:t>
        </w:r>
        <w:r>
          <w:rPr>
            <w:noProof/>
            <w:rtl/>
          </w:rPr>
          <w:tab/>
        </w:r>
        <w:r>
          <w:rPr>
            <w:noProof/>
            <w:rtl/>
          </w:rPr>
          <w:fldChar w:fldCharType="begin"/>
        </w:r>
        <w:r>
          <w:rPr>
            <w:noProof/>
            <w:rtl/>
          </w:rPr>
          <w:instrText xml:space="preserve"> PAGEREF _Toc200000026 \h </w:instrText>
        </w:r>
        <w:r>
          <w:rPr>
            <w:noProof/>
            <w:rtl/>
          </w:rPr>
          <w:fldChar w:fldCharType="separate"/>
        </w:r>
        <w:r>
          <w:rPr>
            <w:noProof/>
            <w:rtl/>
          </w:rPr>
          <w:t xml:space="preserve">۴۸</w:t>
        </w:r>
        <w:r>
          <w:rPr>
            <w:noProof/>
            <w:rtl/>
          </w:rPr>
          <w:fldChar w:fldCharType="end"/>
        </w:r>
      </w:hyperlink>
    </w:p>
    <w:p>
      <w:pPr>
        <w:pStyle w:val="TOC3"/>
        <w:bidi/>
      </w:pPr>
      <w:hyperlink w:anchor="_Toc200000027" w:history="1">
        <w:r>
          <w:rPr>
            <w:noProof/>
            <w:rtl/>
          </w:rPr>
          <w:t xml:space="preserve">۲ـ۴ـ۱ چالش‌های فروش برگرفته از ادبیات نظری</w:t>
        </w:r>
        <w:r>
          <w:rPr>
            <w:noProof/>
            <w:rtl/>
          </w:rPr>
          <w:tab/>
        </w:r>
        <w:r>
          <w:rPr>
            <w:noProof/>
            <w:rtl/>
          </w:rPr>
          <w:fldChar w:fldCharType="begin"/>
        </w:r>
        <w:r>
          <w:rPr>
            <w:noProof/>
            <w:rtl/>
          </w:rPr>
          <w:instrText xml:space="preserve"> PAGEREF _Toc200000027 \h </w:instrText>
        </w:r>
        <w:r>
          <w:rPr>
            <w:noProof/>
            <w:rtl/>
          </w:rPr>
          <w:fldChar w:fldCharType="separate"/>
        </w:r>
        <w:r>
          <w:rPr>
            <w:noProof/>
            <w:rtl/>
          </w:rPr>
          <w:t xml:space="preserve">۴۹</w:t>
        </w:r>
        <w:r>
          <w:rPr>
            <w:noProof/>
            <w:rtl/>
          </w:rPr>
          <w:fldChar w:fldCharType="end"/>
        </w:r>
      </w:hyperlink>
    </w:p>
    <w:p>
      <w:pPr>
        <w:pStyle w:val="TOC1"/>
        <w:bidi/>
      </w:pPr>
      <w:hyperlink w:anchor="_Toc200000029" w:history="1">
        <w:r>
          <w:rPr>
            <w:noProof/>
            <w:rtl/>
          </w:rPr>
          <w:t xml:space="preserve">فصل سوم: روش‌شناسی پژوهش</w:t>
        </w:r>
        <w:r>
          <w:rPr>
            <w:noProof/>
            <w:rtl/>
          </w:rPr>
          <w:tab/>
        </w:r>
        <w:r>
          <w:rPr>
            <w:noProof/>
            <w:rtl/>
          </w:rPr>
          <w:fldChar w:fldCharType="begin"/>
        </w:r>
        <w:r>
          <w:rPr>
            <w:noProof/>
            <w:rtl/>
          </w:rPr>
          <w:instrText xml:space="preserve"> PAGEREF _Toc200000029 \h </w:instrText>
        </w:r>
        <w:r>
          <w:rPr>
            <w:noProof/>
            <w:rtl/>
          </w:rPr>
          <w:fldChar w:fldCharType="separate"/>
        </w:r>
        <w:r>
          <w:rPr>
            <w:noProof/>
            <w:rtl/>
          </w:rPr>
          <w:t xml:space="preserve">۵۲</w:t>
        </w:r>
        <w:r>
          <w:rPr>
            <w:noProof/>
            <w:rtl/>
          </w:rPr>
          <w:fldChar w:fldCharType="end"/>
        </w:r>
      </w:hyperlink>
    </w:p>
    <w:p>
      <w:pPr>
        <w:pStyle w:val="TOC2"/>
        <w:bidi/>
      </w:pPr>
      <w:hyperlink w:anchor="_Toc200000030" w:history="1">
        <w:r>
          <w:rPr>
            <w:noProof/>
            <w:rtl/>
          </w:rPr>
          <w:t xml:space="preserve">۳ـ۱ مقدمه</w:t>
        </w:r>
        <w:r>
          <w:rPr>
            <w:noProof/>
            <w:rtl/>
          </w:rPr>
          <w:tab/>
        </w:r>
        <w:r>
          <w:rPr>
            <w:noProof/>
            <w:rtl/>
          </w:rPr>
          <w:fldChar w:fldCharType="begin"/>
        </w:r>
        <w:r>
          <w:rPr>
            <w:noProof/>
            <w:rtl/>
          </w:rPr>
          <w:instrText xml:space="preserve"> PAGEREF _Toc200000030 \h </w:instrText>
        </w:r>
        <w:r>
          <w:rPr>
            <w:noProof/>
            <w:rtl/>
          </w:rPr>
          <w:fldChar w:fldCharType="separate"/>
        </w:r>
        <w:r>
          <w:rPr>
            <w:noProof/>
            <w:rtl/>
          </w:rPr>
          <w:t xml:space="preserve">۵۳</w:t>
        </w:r>
        <w:r>
          <w:rPr>
            <w:noProof/>
            <w:rtl/>
          </w:rPr>
          <w:fldChar w:fldCharType="end"/>
        </w:r>
      </w:hyperlink>
    </w:p>
    <w:p>
      <w:pPr>
        <w:pStyle w:val="TOC2"/>
        <w:bidi/>
      </w:pPr>
      <w:hyperlink w:anchor="_Toc200000031" w:history="1">
        <w:r>
          <w:rPr>
            <w:noProof/>
            <w:rtl/>
          </w:rPr>
          <w:t xml:space="preserve">۳ـ۲ روش تحقیق</w:t>
        </w:r>
        <w:r>
          <w:rPr>
            <w:noProof/>
            <w:rtl/>
          </w:rPr>
          <w:tab/>
        </w:r>
        <w:r>
          <w:rPr>
            <w:noProof/>
            <w:rtl/>
          </w:rPr>
          <w:fldChar w:fldCharType="begin"/>
        </w:r>
        <w:r>
          <w:rPr>
            <w:noProof/>
            <w:rtl/>
          </w:rPr>
          <w:instrText xml:space="preserve"> PAGEREF _Toc200000031 \h </w:instrText>
        </w:r>
        <w:r>
          <w:rPr>
            <w:noProof/>
            <w:rtl/>
          </w:rPr>
          <w:fldChar w:fldCharType="separate"/>
        </w:r>
        <w:r>
          <w:rPr>
            <w:noProof/>
            <w:rtl/>
          </w:rPr>
          <w:t xml:space="preserve">۵۳</w:t>
        </w:r>
        <w:r>
          <w:rPr>
            <w:noProof/>
            <w:rtl/>
          </w:rPr>
          <w:fldChar w:fldCharType="end"/>
        </w:r>
      </w:hyperlink>
    </w:p>
    <w:p>
      <w:pPr>
        <w:pStyle w:val="TOC2"/>
        <w:bidi/>
      </w:pPr>
      <w:hyperlink w:anchor="_Toc200000032" w:history="1">
        <w:r>
          <w:rPr>
            <w:noProof/>
            <w:rtl/>
          </w:rPr>
          <w:t xml:space="preserve">۳ـ۳ جامعه پژوهش</w:t>
        </w:r>
        <w:r>
          <w:rPr>
            <w:noProof/>
            <w:rtl/>
          </w:rPr>
          <w:tab/>
        </w:r>
        <w:r>
          <w:rPr>
            <w:noProof/>
            <w:rtl/>
          </w:rPr>
          <w:fldChar w:fldCharType="begin"/>
        </w:r>
        <w:r>
          <w:rPr>
            <w:noProof/>
            <w:rtl/>
          </w:rPr>
          <w:instrText xml:space="preserve"> PAGEREF _Toc200000032 \h </w:instrText>
        </w:r>
        <w:r>
          <w:rPr>
            <w:noProof/>
            <w:rtl/>
          </w:rPr>
          <w:fldChar w:fldCharType="separate"/>
        </w:r>
        <w:r>
          <w:rPr>
            <w:noProof/>
            <w:rtl/>
          </w:rPr>
          <w:t xml:space="preserve">۵۴</w:t>
        </w:r>
        <w:r>
          <w:rPr>
            <w:noProof/>
            <w:rtl/>
          </w:rPr>
          <w:fldChar w:fldCharType="end"/>
        </w:r>
      </w:hyperlink>
    </w:p>
    <w:p>
      <w:pPr>
        <w:pStyle w:val="TOC2"/>
        <w:bidi/>
      </w:pPr>
      <w:hyperlink w:anchor="_Toc200000033" w:history="1">
        <w:r>
          <w:rPr>
            <w:noProof/>
            <w:rtl/>
          </w:rPr>
          <w:t xml:space="preserve">۳ـ۴ روش نمونه‌گیری و تعیین حجم نمونه</w:t>
        </w:r>
        <w:r>
          <w:rPr>
            <w:noProof/>
            <w:rtl/>
          </w:rPr>
          <w:tab/>
        </w:r>
        <w:r>
          <w:rPr>
            <w:noProof/>
            <w:rtl/>
          </w:rPr>
          <w:fldChar w:fldCharType="begin"/>
        </w:r>
        <w:r>
          <w:rPr>
            <w:noProof/>
            <w:rtl/>
          </w:rPr>
          <w:instrText xml:space="preserve"> PAGEREF _Toc200000033 \h </w:instrText>
        </w:r>
        <w:r>
          <w:rPr>
            <w:noProof/>
            <w:rtl/>
          </w:rPr>
          <w:fldChar w:fldCharType="separate"/>
        </w:r>
        <w:r>
          <w:rPr>
            <w:noProof/>
            <w:rtl/>
          </w:rPr>
          <w:t xml:space="preserve">۵۴</w:t>
        </w:r>
        <w:r>
          <w:rPr>
            <w:noProof/>
            <w:rtl/>
          </w:rPr>
          <w:fldChar w:fldCharType="end"/>
        </w:r>
      </w:hyperlink>
    </w:p>
    <w:p>
      <w:pPr>
        <w:pStyle w:val="TOC3"/>
        <w:bidi/>
      </w:pPr>
      <w:hyperlink w:anchor="_Toc200000034" w:history="1">
        <w:r>
          <w:rPr>
            <w:noProof/>
            <w:rtl/>
          </w:rPr>
          <w:t xml:space="preserve">۳ـ۴ـ۱ راهبرد نمونه‌گیری</w:t>
        </w:r>
        <w:r>
          <w:rPr>
            <w:noProof/>
            <w:rtl/>
          </w:rPr>
          <w:tab/>
        </w:r>
        <w:r>
          <w:rPr>
            <w:noProof/>
            <w:rtl/>
          </w:rPr>
          <w:fldChar w:fldCharType="begin"/>
        </w:r>
        <w:r>
          <w:rPr>
            <w:noProof/>
            <w:rtl/>
          </w:rPr>
          <w:instrText xml:space="preserve"> PAGEREF _Toc200000034 \h </w:instrText>
        </w:r>
        <w:r>
          <w:rPr>
            <w:noProof/>
            <w:rtl/>
          </w:rPr>
          <w:fldChar w:fldCharType="separate"/>
        </w:r>
        <w:r>
          <w:rPr>
            <w:noProof/>
            <w:rtl/>
          </w:rPr>
          <w:t xml:space="preserve">۵۴</w:t>
        </w:r>
        <w:r>
          <w:rPr>
            <w:noProof/>
            <w:rtl/>
          </w:rPr>
          <w:fldChar w:fldCharType="end"/>
        </w:r>
      </w:hyperlink>
    </w:p>
    <w:p>
      <w:pPr>
        <w:pStyle w:val="TOC3"/>
        <w:bidi/>
      </w:pPr>
      <w:hyperlink w:anchor="_Toc200000035" w:history="1">
        <w:r>
          <w:rPr>
            <w:noProof/>
            <w:rtl/>
          </w:rPr>
          <w:t xml:space="preserve">۳ـ۴ـ۲ اندازه پانل دلفی</w:t>
        </w:r>
        <w:r>
          <w:rPr>
            <w:noProof/>
            <w:rtl/>
          </w:rPr>
          <w:tab/>
        </w:r>
        <w:r>
          <w:rPr>
            <w:noProof/>
            <w:rtl/>
          </w:rPr>
          <w:fldChar w:fldCharType="begin"/>
        </w:r>
        <w:r>
          <w:rPr>
            <w:noProof/>
            <w:rtl/>
          </w:rPr>
          <w:instrText xml:space="preserve"> PAGEREF _Toc200000035 \h </w:instrText>
        </w:r>
        <w:r>
          <w:rPr>
            <w:noProof/>
            <w:rtl/>
          </w:rPr>
          <w:fldChar w:fldCharType="separate"/>
        </w:r>
        <w:r>
          <w:rPr>
            <w:noProof/>
            <w:rtl/>
          </w:rPr>
          <w:t xml:space="preserve">۵۴</w:t>
        </w:r>
        <w:r>
          <w:rPr>
            <w:noProof/>
            <w:rtl/>
          </w:rPr>
          <w:fldChar w:fldCharType="end"/>
        </w:r>
      </w:hyperlink>
    </w:p>
    <w:p>
      <w:pPr>
        <w:pStyle w:val="TOC2"/>
        <w:bidi/>
      </w:pPr>
      <w:hyperlink w:anchor="_Toc200000036" w:history="1">
        <w:r>
          <w:rPr>
            <w:noProof/>
            <w:rtl/>
          </w:rPr>
          <w:t xml:space="preserve">۳ـ۵ روش گردآوری داده‌ها</w:t>
        </w:r>
        <w:r>
          <w:rPr>
            <w:noProof/>
            <w:rtl/>
          </w:rPr>
          <w:tab/>
        </w:r>
        <w:r>
          <w:rPr>
            <w:noProof/>
            <w:rtl/>
          </w:rPr>
          <w:fldChar w:fldCharType="begin"/>
        </w:r>
        <w:r>
          <w:rPr>
            <w:noProof/>
            <w:rtl/>
          </w:rPr>
          <w:instrText xml:space="preserve"> PAGEREF _Toc200000036 \h </w:instrText>
        </w:r>
        <w:r>
          <w:rPr>
            <w:noProof/>
            <w:rtl/>
          </w:rPr>
          <w:fldChar w:fldCharType="separate"/>
        </w:r>
        <w:r>
          <w:rPr>
            <w:noProof/>
            <w:rtl/>
          </w:rPr>
          <w:t xml:space="preserve">۵۴</w:t>
        </w:r>
        <w:r>
          <w:rPr>
            <w:noProof/>
            <w:rtl/>
          </w:rPr>
          <w:fldChar w:fldCharType="end"/>
        </w:r>
      </w:hyperlink>
    </w:p>
    <w:p>
      <w:pPr>
        <w:pStyle w:val="TOC2"/>
        <w:bidi/>
      </w:pPr>
      <w:hyperlink w:anchor="_Toc200000037" w:history="1">
        <w:r>
          <w:rPr>
            <w:noProof/>
            <w:rtl/>
          </w:rPr>
          <w:t xml:space="preserve">۳ـ۶ ابزار گردآوری داده‌ها</w:t>
        </w:r>
        <w:r>
          <w:rPr>
            <w:noProof/>
            <w:rtl/>
          </w:rPr>
          <w:tab/>
        </w:r>
        <w:r>
          <w:rPr>
            <w:noProof/>
            <w:rtl/>
          </w:rPr>
          <w:fldChar w:fldCharType="begin"/>
        </w:r>
        <w:r>
          <w:rPr>
            <w:noProof/>
            <w:rtl/>
          </w:rPr>
          <w:instrText xml:space="preserve"> PAGEREF _Toc200000037 \h </w:instrText>
        </w:r>
        <w:r>
          <w:rPr>
            <w:noProof/>
            <w:rtl/>
          </w:rPr>
          <w:fldChar w:fldCharType="separate"/>
        </w:r>
        <w:r>
          <w:rPr>
            <w:noProof/>
            <w:rtl/>
          </w:rPr>
          <w:t xml:space="preserve">۵۵</w:t>
        </w:r>
        <w:r>
          <w:rPr>
            <w:noProof/>
            <w:rtl/>
          </w:rPr>
          <w:fldChar w:fldCharType="end"/>
        </w:r>
      </w:hyperlink>
    </w:p>
    <w:p>
      <w:pPr>
        <w:pStyle w:val="TOC2"/>
        <w:bidi/>
      </w:pPr>
      <w:hyperlink w:anchor="_Toc200000038" w:history="1">
        <w:r>
          <w:rPr>
            <w:noProof/>
            <w:rtl/>
          </w:rPr>
          <w:t xml:space="preserve">۳ـ۷ روش تجزیه و تحلیل داده‌ها</w:t>
        </w:r>
        <w:r>
          <w:rPr>
            <w:noProof/>
            <w:rtl/>
          </w:rPr>
          <w:tab/>
        </w:r>
        <w:r>
          <w:rPr>
            <w:noProof/>
            <w:rtl/>
          </w:rPr>
          <w:fldChar w:fldCharType="begin"/>
        </w:r>
        <w:r>
          <w:rPr>
            <w:noProof/>
            <w:rtl/>
          </w:rPr>
          <w:instrText xml:space="preserve"> PAGEREF _Toc200000038 \h </w:instrText>
        </w:r>
        <w:r>
          <w:rPr>
            <w:noProof/>
            <w:rtl/>
          </w:rPr>
          <w:fldChar w:fldCharType="separate"/>
        </w:r>
        <w:r>
          <w:rPr>
            <w:noProof/>
            <w:rtl/>
          </w:rPr>
          <w:t xml:space="preserve">۵۶</w:t>
        </w:r>
        <w:r>
          <w:rPr>
            <w:noProof/>
            <w:rtl/>
          </w:rPr>
          <w:fldChar w:fldCharType="end"/>
        </w:r>
      </w:hyperlink>
    </w:p>
    <w:p>
      <w:pPr>
        <w:pStyle w:val="TOC3"/>
        <w:bidi/>
      </w:pPr>
      <w:hyperlink w:anchor="_Toc200000039" w:history="1">
        <w:r>
          <w:rPr>
            <w:noProof/>
            <w:rtl/>
          </w:rPr>
          <w:t xml:space="preserve">۳ـ۷ـ۱ گام نخست: تحلیل مضمون</w:t>
        </w:r>
        <w:r>
          <w:rPr>
            <w:noProof/>
            <w:rtl/>
          </w:rPr>
          <w:tab/>
        </w:r>
        <w:r>
          <w:rPr>
            <w:noProof/>
            <w:rtl/>
          </w:rPr>
          <w:fldChar w:fldCharType="begin"/>
        </w:r>
        <w:r>
          <w:rPr>
            <w:noProof/>
            <w:rtl/>
          </w:rPr>
          <w:instrText xml:space="preserve"> PAGEREF _Toc200000039 \h </w:instrText>
        </w:r>
        <w:r>
          <w:rPr>
            <w:noProof/>
            <w:rtl/>
          </w:rPr>
          <w:fldChar w:fldCharType="separate"/>
        </w:r>
        <w:r>
          <w:rPr>
            <w:noProof/>
            <w:rtl/>
          </w:rPr>
          <w:t xml:space="preserve">۵۶</w:t>
        </w:r>
        <w:r>
          <w:rPr>
            <w:noProof/>
            <w:rtl/>
          </w:rPr>
          <w:fldChar w:fldCharType="end"/>
        </w:r>
      </w:hyperlink>
    </w:p>
    <w:p>
      <w:pPr>
        <w:pStyle w:val="TOC3"/>
        <w:bidi/>
      </w:pPr>
      <w:hyperlink w:anchor="_Toc200000040" w:history="1">
        <w:r>
          <w:rPr>
            <w:noProof/>
            <w:rtl/>
          </w:rPr>
          <w:t xml:space="preserve">۳ـ۷ـ۲ گام دوم: رتبه‌بندی و رسیدن به اجماع در دورهای دلفی</w:t>
        </w:r>
        <w:r>
          <w:rPr>
            <w:noProof/>
            <w:rtl/>
          </w:rPr>
          <w:tab/>
        </w:r>
        <w:r>
          <w:rPr>
            <w:noProof/>
            <w:rtl/>
          </w:rPr>
          <w:fldChar w:fldCharType="begin"/>
        </w:r>
        <w:r>
          <w:rPr>
            <w:noProof/>
            <w:rtl/>
          </w:rPr>
          <w:instrText xml:space="preserve"> PAGEREF _Toc200000040 \h </w:instrText>
        </w:r>
        <w:r>
          <w:rPr>
            <w:noProof/>
            <w:rtl/>
          </w:rPr>
          <w:fldChar w:fldCharType="separate"/>
        </w:r>
        <w:r>
          <w:rPr>
            <w:noProof/>
            <w:rtl/>
          </w:rPr>
          <w:t xml:space="preserve">۵۷</w:t>
        </w:r>
        <w:r>
          <w:rPr>
            <w:noProof/>
            <w:rtl/>
          </w:rPr>
          <w:fldChar w:fldCharType="end"/>
        </w:r>
      </w:hyperlink>
    </w:p>
    <w:p>
      <w:pPr>
        <w:pStyle w:val="TOC3"/>
        <w:bidi/>
      </w:pPr>
      <w:hyperlink w:anchor="_Toc200000041" w:history="1">
        <w:r>
          <w:rPr>
            <w:noProof/>
            <w:rtl/>
          </w:rPr>
          <w:t xml:space="preserve">۳ـ۷ـ۳ رتبه‌بندی و وزن‌دهی به روش AHP</w:t>
        </w:r>
        <w:r>
          <w:rPr>
            <w:noProof/>
            <w:rtl/>
          </w:rPr>
          <w:tab/>
        </w:r>
        <w:r>
          <w:rPr>
            <w:noProof/>
            <w:rtl/>
          </w:rPr>
          <w:fldChar w:fldCharType="begin"/>
        </w:r>
        <w:r>
          <w:rPr>
            <w:noProof/>
            <w:rtl/>
          </w:rPr>
          <w:instrText xml:space="preserve"> PAGEREF _Toc200000041 \h </w:instrText>
        </w:r>
        <w:r>
          <w:rPr>
            <w:noProof/>
            <w:rtl/>
          </w:rPr>
          <w:fldChar w:fldCharType="separate"/>
        </w:r>
        <w:r>
          <w:rPr>
            <w:noProof/>
            <w:rtl/>
          </w:rPr>
          <w:t xml:space="preserve">۵۸</w:t>
        </w:r>
        <w:r>
          <w:rPr>
            <w:noProof/>
            <w:rtl/>
          </w:rPr>
          <w:fldChar w:fldCharType="end"/>
        </w:r>
      </w:hyperlink>
    </w:p>
    <w:p>
      <w:pPr>
        <w:pStyle w:val="TOC3"/>
        <w:bidi/>
      </w:pPr>
      <w:hyperlink w:anchor="_Toc200000042" w:history="1">
        <w:r>
          <w:rPr>
            <w:noProof/>
            <w:rtl/>
          </w:rPr>
          <w:t xml:space="preserve">۳ـ۷ـ۴ چرایی انتخاب روش دلفی در میان رویکردهای رقیب</w:t>
        </w:r>
        <w:r>
          <w:rPr>
            <w:noProof/>
            <w:rtl/>
          </w:rPr>
          <w:tab/>
        </w:r>
        <w:r>
          <w:rPr>
            <w:noProof/>
            <w:rtl/>
          </w:rPr>
          <w:fldChar w:fldCharType="begin"/>
        </w:r>
        <w:r>
          <w:rPr>
            <w:noProof/>
            <w:rtl/>
          </w:rPr>
          <w:instrText xml:space="preserve"> PAGEREF _Toc200000042 \h </w:instrText>
        </w:r>
        <w:r>
          <w:rPr>
            <w:noProof/>
            <w:rtl/>
          </w:rPr>
          <w:fldChar w:fldCharType="separate"/>
        </w:r>
        <w:r>
          <w:rPr>
            <w:noProof/>
            <w:rtl/>
          </w:rPr>
          <w:t xml:space="preserve">۵۸</w:t>
        </w:r>
        <w:r>
          <w:rPr>
            <w:noProof/>
            <w:rtl/>
          </w:rPr>
          <w:fldChar w:fldCharType="end"/>
        </w:r>
      </w:hyperlink>
    </w:p>
    <w:p>
      <w:pPr>
        <w:pStyle w:val="TOC2"/>
        <w:bidi/>
      </w:pPr>
      <w:hyperlink w:anchor="_Toc200000043" w:history="1">
        <w:r>
          <w:rPr>
            <w:noProof/>
            <w:rtl/>
          </w:rPr>
          <w:t xml:space="preserve">۳ـ۸ ملاحظات اخلاقی پژوهش</w:t>
        </w:r>
        <w:r>
          <w:rPr>
            <w:noProof/>
            <w:rtl/>
          </w:rPr>
          <w:tab/>
        </w:r>
        <w:r>
          <w:rPr>
            <w:noProof/>
            <w:rtl/>
          </w:rPr>
          <w:fldChar w:fldCharType="begin"/>
        </w:r>
        <w:r>
          <w:rPr>
            <w:noProof/>
            <w:rtl/>
          </w:rPr>
          <w:instrText xml:space="preserve"> PAGEREF _Toc200000043 \h </w:instrText>
        </w:r>
        <w:r>
          <w:rPr>
            <w:noProof/>
            <w:rtl/>
          </w:rPr>
          <w:fldChar w:fldCharType="separate"/>
        </w:r>
        <w:r>
          <w:rPr>
            <w:noProof/>
            <w:rtl/>
          </w:rPr>
          <w:t xml:space="preserve">۵۹</w:t>
        </w:r>
        <w:r>
          <w:rPr>
            <w:noProof/>
            <w:rtl/>
          </w:rPr>
          <w:fldChar w:fldCharType="end"/>
        </w:r>
      </w:hyperlink>
    </w:p>
    <w:p>
      <w:pPr>
        <w:pStyle w:val="TOC1"/>
        <w:bidi/>
      </w:pPr>
      <w:hyperlink w:anchor="_Toc200000044" w:history="1">
        <w:r>
          <w:rPr>
            <w:noProof/>
            <w:rtl/>
          </w:rPr>
          <w:t xml:space="preserve">فصل چهارم: تجزیه و تحلیل داده‌ها</w:t>
        </w:r>
        <w:r>
          <w:rPr>
            <w:noProof/>
            <w:rtl/>
          </w:rPr>
          <w:tab/>
        </w:r>
        <w:r>
          <w:rPr>
            <w:noProof/>
            <w:rtl/>
          </w:rPr>
          <w:fldChar w:fldCharType="begin"/>
        </w:r>
        <w:r>
          <w:rPr>
            <w:noProof/>
            <w:rtl/>
          </w:rPr>
          <w:instrText xml:space="preserve"> PAGEREF _Toc200000044 \h </w:instrText>
        </w:r>
        <w:r>
          <w:rPr>
            <w:noProof/>
            <w:rtl/>
          </w:rPr>
          <w:fldChar w:fldCharType="separate"/>
        </w:r>
        <w:r>
          <w:rPr>
            <w:noProof/>
            <w:rtl/>
          </w:rPr>
          <w:t xml:space="preserve">۶۰</w:t>
        </w:r>
        <w:r>
          <w:rPr>
            <w:noProof/>
            <w:rtl/>
          </w:rPr>
          <w:fldChar w:fldCharType="end"/>
        </w:r>
      </w:hyperlink>
    </w:p>
    <w:p>
      <w:pPr>
        <w:pStyle w:val="TOC2"/>
        <w:bidi/>
      </w:pPr>
      <w:hyperlink w:anchor="_Toc200000045" w:history="1">
        <w:r>
          <w:rPr>
            <w:noProof/>
            <w:rtl/>
          </w:rPr>
          <w:t xml:space="preserve">۴ـ۱ مقدمه</w:t>
        </w:r>
        <w:r>
          <w:rPr>
            <w:noProof/>
            <w:rtl/>
          </w:rPr>
          <w:tab/>
        </w:r>
        <w:r>
          <w:rPr>
            <w:noProof/>
            <w:rtl/>
          </w:rPr>
          <w:fldChar w:fldCharType="begin"/>
        </w:r>
        <w:r>
          <w:rPr>
            <w:noProof/>
            <w:rtl/>
          </w:rPr>
          <w:instrText xml:space="preserve"> PAGEREF _Toc200000045 \h </w:instrText>
        </w:r>
        <w:r>
          <w:rPr>
            <w:noProof/>
            <w:rtl/>
          </w:rPr>
          <w:fldChar w:fldCharType="separate"/>
        </w:r>
        <w:r>
          <w:rPr>
            <w:noProof/>
            <w:rtl/>
          </w:rPr>
          <w:t xml:space="preserve">۶۱</w:t>
        </w:r>
        <w:r>
          <w:rPr>
            <w:noProof/>
            <w:rtl/>
          </w:rPr>
          <w:fldChar w:fldCharType="end"/>
        </w:r>
      </w:hyperlink>
    </w:p>
    <w:p>
      <w:pPr>
        <w:pStyle w:val="TOC2"/>
        <w:bidi/>
      </w:pPr>
      <w:hyperlink w:anchor="_Toc200000046" w:history="1">
        <w:r>
          <w:rPr>
            <w:noProof/>
            <w:rtl/>
          </w:rPr>
          <w:t xml:space="preserve">۴ـ۲ ترکیب پانل خبرگان</w:t>
        </w:r>
        <w:r>
          <w:rPr>
            <w:noProof/>
            <w:rtl/>
          </w:rPr>
          <w:tab/>
        </w:r>
        <w:r>
          <w:rPr>
            <w:noProof/>
            <w:rtl/>
          </w:rPr>
          <w:fldChar w:fldCharType="begin"/>
        </w:r>
        <w:r>
          <w:rPr>
            <w:noProof/>
            <w:rtl/>
          </w:rPr>
          <w:instrText xml:space="preserve"> PAGEREF _Toc200000046 \h </w:instrText>
        </w:r>
        <w:r>
          <w:rPr>
            <w:noProof/>
            <w:rtl/>
          </w:rPr>
          <w:fldChar w:fldCharType="separate"/>
        </w:r>
        <w:r>
          <w:rPr>
            <w:noProof/>
            <w:rtl/>
          </w:rPr>
          <w:t xml:space="preserve">۶۱</w:t>
        </w:r>
        <w:r>
          <w:rPr>
            <w:noProof/>
            <w:rtl/>
          </w:rPr>
          <w:fldChar w:fldCharType="end"/>
        </w:r>
      </w:hyperlink>
    </w:p>
    <w:p>
      <w:pPr>
        <w:pStyle w:val="TOC3"/>
        <w:bidi/>
      </w:pPr>
      <w:hyperlink w:anchor="_Toc200000048" w:history="1">
        <w:r>
          <w:rPr>
            <w:noProof/>
            <w:rtl/>
          </w:rPr>
          <w:t xml:space="preserve">۴ـ۲ـ۱ توزیع فراوانی متغیرهای جمعیت‌شناختی پانل</w:t>
        </w:r>
        <w:r>
          <w:rPr>
            <w:noProof/>
            <w:rtl/>
          </w:rPr>
          <w:tab/>
        </w:r>
        <w:r>
          <w:rPr>
            <w:noProof/>
            <w:rtl/>
          </w:rPr>
          <w:fldChar w:fldCharType="begin"/>
        </w:r>
        <w:r>
          <w:rPr>
            <w:noProof/>
            <w:rtl/>
          </w:rPr>
          <w:instrText xml:space="preserve"> PAGEREF _Toc200000048 \h </w:instrText>
        </w:r>
        <w:r>
          <w:rPr>
            <w:noProof/>
            <w:rtl/>
          </w:rPr>
          <w:fldChar w:fldCharType="separate"/>
        </w:r>
        <w:r>
          <w:rPr>
            <w:noProof/>
            <w:rtl/>
          </w:rPr>
          <w:t xml:space="preserve">۶۱</w:t>
        </w:r>
        <w:r>
          <w:rPr>
            <w:noProof/>
            <w:rtl/>
          </w:rPr>
          <w:fldChar w:fldCharType="end"/>
        </w:r>
      </w:hyperlink>
    </w:p>
    <w:p>
      <w:pPr>
        <w:pStyle w:val="TOC2"/>
        <w:bidi/>
      </w:pPr>
      <w:hyperlink w:anchor="_Toc200000057" w:history="1">
        <w:r>
          <w:rPr>
            <w:noProof/>
            <w:rtl/>
          </w:rPr>
          <w:t xml:space="preserve">۴ـ۳ دور نخست دلفی: شناسایی گویه‌ها و مؤلفه‌ها</w:t>
        </w:r>
        <w:r>
          <w:rPr>
            <w:noProof/>
            <w:rtl/>
          </w:rPr>
          <w:tab/>
        </w:r>
        <w:r>
          <w:rPr>
            <w:noProof/>
            <w:rtl/>
          </w:rPr>
          <w:fldChar w:fldCharType="begin"/>
        </w:r>
        <w:r>
          <w:rPr>
            <w:noProof/>
            <w:rtl/>
          </w:rPr>
          <w:instrText xml:space="preserve"> PAGEREF _Toc200000057 \h </w:instrText>
        </w:r>
        <w:r>
          <w:rPr>
            <w:noProof/>
            <w:rtl/>
          </w:rPr>
          <w:fldChar w:fldCharType="separate"/>
        </w:r>
        <w:r>
          <w:rPr>
            <w:noProof/>
            <w:rtl/>
          </w:rPr>
          <w:t xml:space="preserve">۶۵</w:t>
        </w:r>
        <w:r>
          <w:rPr>
            <w:noProof/>
            <w:rtl/>
          </w:rPr>
          <w:fldChar w:fldCharType="end"/>
        </w:r>
      </w:hyperlink>
    </w:p>
    <w:p>
      <w:pPr>
        <w:pStyle w:val="TOC2"/>
        <w:bidi/>
      </w:pPr>
      <w:hyperlink w:anchor="_Toc200000060" w:history="1">
        <w:r>
          <w:rPr>
            <w:noProof/>
            <w:rtl/>
          </w:rPr>
          <w:t xml:space="preserve">۴ـ۴ دور دوم دلفی: امتیازدهی و سنجش نخستین توافق</w:t>
        </w:r>
        <w:r>
          <w:rPr>
            <w:noProof/>
            <w:rtl/>
          </w:rPr>
          <w:tab/>
        </w:r>
        <w:r>
          <w:rPr>
            <w:noProof/>
            <w:rtl/>
          </w:rPr>
          <w:fldChar w:fldCharType="begin"/>
        </w:r>
        <w:r>
          <w:rPr>
            <w:noProof/>
            <w:rtl/>
          </w:rPr>
          <w:instrText xml:space="preserve"> PAGEREF _Toc200000060 \h </w:instrText>
        </w:r>
        <w:r>
          <w:rPr>
            <w:noProof/>
            <w:rtl/>
          </w:rPr>
          <w:fldChar w:fldCharType="separate"/>
        </w:r>
        <w:r>
          <w:rPr>
            <w:noProof/>
            <w:rtl/>
          </w:rPr>
          <w:t xml:space="preserve">۶۸</w:t>
        </w:r>
        <w:r>
          <w:rPr>
            <w:noProof/>
            <w:rtl/>
          </w:rPr>
          <w:fldChar w:fldCharType="end"/>
        </w:r>
      </w:hyperlink>
    </w:p>
    <w:p>
      <w:pPr>
        <w:pStyle w:val="TOC2"/>
        <w:bidi/>
      </w:pPr>
      <w:hyperlink w:anchor="_Toc200000062" w:history="1">
        <w:r>
          <w:rPr>
            <w:noProof/>
            <w:rtl/>
          </w:rPr>
          <w:t xml:space="preserve">۴ـ۵ دور سوم دلفی: بازخورد گروهی و همگرایی پاسخ‌ها</w:t>
        </w:r>
        <w:r>
          <w:rPr>
            <w:noProof/>
            <w:rtl/>
          </w:rPr>
          <w:tab/>
        </w:r>
        <w:r>
          <w:rPr>
            <w:noProof/>
            <w:rtl/>
          </w:rPr>
          <w:fldChar w:fldCharType="begin"/>
        </w:r>
        <w:r>
          <w:rPr>
            <w:noProof/>
            <w:rtl/>
          </w:rPr>
          <w:instrText xml:space="preserve"> PAGEREF _Toc200000062 \h </w:instrText>
        </w:r>
        <w:r>
          <w:rPr>
            <w:noProof/>
            <w:rtl/>
          </w:rPr>
          <w:fldChar w:fldCharType="separate"/>
        </w:r>
        <w:r>
          <w:rPr>
            <w:noProof/>
            <w:rtl/>
          </w:rPr>
          <w:t xml:space="preserve">۷۰</w:t>
        </w:r>
        <w:r>
          <w:rPr>
            <w:noProof/>
            <w:rtl/>
          </w:rPr>
          <w:fldChar w:fldCharType="end"/>
        </w:r>
      </w:hyperlink>
    </w:p>
    <w:p>
      <w:pPr>
        <w:pStyle w:val="TOC3"/>
        <w:bidi/>
      </w:pPr>
      <w:hyperlink w:anchor="_Toc200000064" w:history="1">
        <w:r>
          <w:rPr>
            <w:noProof/>
            <w:rtl/>
          </w:rPr>
          <w:t xml:space="preserve">۴ـ۵ـ۱ توافق اعضا: ضریب هماهنگی کندال</w:t>
        </w:r>
        <w:r>
          <w:rPr>
            <w:noProof/>
            <w:rtl/>
          </w:rPr>
          <w:tab/>
        </w:r>
        <w:r>
          <w:rPr>
            <w:noProof/>
            <w:rtl/>
          </w:rPr>
          <w:fldChar w:fldCharType="begin"/>
        </w:r>
        <w:r>
          <w:rPr>
            <w:noProof/>
            <w:rtl/>
          </w:rPr>
          <w:instrText xml:space="preserve"> PAGEREF _Toc200000064 \h </w:instrText>
        </w:r>
        <w:r>
          <w:rPr>
            <w:noProof/>
            <w:rtl/>
          </w:rPr>
          <w:fldChar w:fldCharType="separate"/>
        </w:r>
        <w:r>
          <w:rPr>
            <w:noProof/>
            <w:rtl/>
          </w:rPr>
          <w:t xml:space="preserve">۷۳</w:t>
        </w:r>
        <w:r>
          <w:rPr>
            <w:noProof/>
            <w:rtl/>
          </w:rPr>
          <w:fldChar w:fldCharType="end"/>
        </w:r>
      </w:hyperlink>
    </w:p>
    <w:p>
      <w:pPr>
        <w:pStyle w:val="TOC3"/>
        <w:bidi/>
      </w:pPr>
      <w:hyperlink w:anchor="_Toc200000066" w:history="1">
        <w:r>
          <w:rPr>
            <w:noProof/>
            <w:rtl/>
          </w:rPr>
          <w:t xml:space="preserve">۴ـ۵ـ۲ ثبات رتبه‌بندی: ضریب همبستگی اسپیرمن</w:t>
        </w:r>
        <w:r>
          <w:rPr>
            <w:noProof/>
            <w:rtl/>
          </w:rPr>
          <w:tab/>
        </w:r>
        <w:r>
          <w:rPr>
            <w:noProof/>
            <w:rtl/>
          </w:rPr>
          <w:fldChar w:fldCharType="begin"/>
        </w:r>
        <w:r>
          <w:rPr>
            <w:noProof/>
            <w:rtl/>
          </w:rPr>
          <w:instrText xml:space="preserve"> PAGEREF _Toc200000066 \h </w:instrText>
        </w:r>
        <w:r>
          <w:rPr>
            <w:noProof/>
            <w:rtl/>
          </w:rPr>
          <w:fldChar w:fldCharType="separate"/>
        </w:r>
        <w:r>
          <w:rPr>
            <w:noProof/>
            <w:rtl/>
          </w:rPr>
          <w:t xml:space="preserve">۷۴</w:t>
        </w:r>
        <w:r>
          <w:rPr>
            <w:noProof/>
            <w:rtl/>
          </w:rPr>
          <w:fldChar w:fldCharType="end"/>
        </w:r>
      </w:hyperlink>
    </w:p>
    <w:p>
      <w:pPr>
        <w:pStyle w:val="TOC2"/>
        <w:bidi/>
      </w:pPr>
      <w:hyperlink w:anchor="_Toc200000068" w:history="1">
        <w:r>
          <w:rPr>
            <w:noProof/>
            <w:rtl/>
          </w:rPr>
          <w:t xml:space="preserve">۴ـ۶ پاسخ به پرسش‌های پژوهش و رتبه‌بندی نهایی</w:t>
        </w:r>
        <w:r>
          <w:rPr>
            <w:noProof/>
            <w:rtl/>
          </w:rPr>
          <w:tab/>
        </w:r>
        <w:r>
          <w:rPr>
            <w:noProof/>
            <w:rtl/>
          </w:rPr>
          <w:fldChar w:fldCharType="begin"/>
        </w:r>
        <w:r>
          <w:rPr>
            <w:noProof/>
            <w:rtl/>
          </w:rPr>
          <w:instrText xml:space="preserve"> PAGEREF _Toc200000068 \h </w:instrText>
        </w:r>
        <w:r>
          <w:rPr>
            <w:noProof/>
            <w:rtl/>
          </w:rPr>
          <w:fldChar w:fldCharType="separate"/>
        </w:r>
        <w:r>
          <w:rPr>
            <w:noProof/>
            <w:rtl/>
          </w:rPr>
          <w:t xml:space="preserve">۷۴</w:t>
        </w:r>
        <w:r>
          <w:rPr>
            <w:noProof/>
            <w:rtl/>
          </w:rPr>
          <w:fldChar w:fldCharType="end"/>
        </w:r>
      </w:hyperlink>
    </w:p>
    <w:p>
      <w:pPr>
        <w:pStyle w:val="TOC3"/>
        <w:bidi/>
      </w:pPr>
      <w:hyperlink w:anchor="_Toc200000072" w:history="1">
        <w:r>
          <w:rPr>
            <w:noProof/>
            <w:rtl/>
          </w:rPr>
          <w:t xml:space="preserve">۴ـ۶ـ۱ وزن‌دهی و رتبه‌بندی به روش AHP</w:t>
        </w:r>
        <w:r>
          <w:rPr>
            <w:noProof/>
            <w:rtl/>
          </w:rPr>
          <w:tab/>
        </w:r>
        <w:r>
          <w:rPr>
            <w:noProof/>
            <w:rtl/>
          </w:rPr>
          <w:fldChar w:fldCharType="begin"/>
        </w:r>
        <w:r>
          <w:rPr>
            <w:noProof/>
            <w:rtl/>
          </w:rPr>
          <w:instrText xml:space="preserve"> PAGEREF _Toc200000072 \h </w:instrText>
        </w:r>
        <w:r>
          <w:rPr>
            <w:noProof/>
            <w:rtl/>
          </w:rPr>
          <w:fldChar w:fldCharType="separate"/>
        </w:r>
        <w:r>
          <w:rPr>
            <w:noProof/>
            <w:rtl/>
          </w:rPr>
          <w:t xml:space="preserve">۷۹</w:t>
        </w:r>
        <w:r>
          <w:rPr>
            <w:noProof/>
            <w:rtl/>
          </w:rPr>
          <w:fldChar w:fldCharType="end"/>
        </w:r>
      </w:hyperlink>
    </w:p>
    <w:p>
      <w:pPr>
        <w:pStyle w:val="TOC2"/>
        <w:bidi/>
      </w:pPr>
      <w:hyperlink w:anchor="_Toc200000075" w:history="1">
        <w:r>
          <w:rPr>
            <w:noProof/>
            <w:rtl/>
          </w:rPr>
          <w:t xml:space="preserve">۴ـ۷ جمع‌بندی فصل</w:t>
        </w:r>
        <w:r>
          <w:rPr>
            <w:noProof/>
            <w:rtl/>
          </w:rPr>
          <w:tab/>
        </w:r>
        <w:r>
          <w:rPr>
            <w:noProof/>
            <w:rtl/>
          </w:rPr>
          <w:fldChar w:fldCharType="begin"/>
        </w:r>
        <w:r>
          <w:rPr>
            <w:noProof/>
            <w:rtl/>
          </w:rPr>
          <w:instrText xml:space="preserve"> PAGEREF _Toc200000075 \h </w:instrText>
        </w:r>
        <w:r>
          <w:rPr>
            <w:noProof/>
            <w:rtl/>
          </w:rPr>
          <w:fldChar w:fldCharType="separate"/>
        </w:r>
        <w:r>
          <w:rPr>
            <w:noProof/>
            <w:rtl/>
          </w:rPr>
          <w:t xml:space="preserve">۸۱</w:t>
        </w:r>
        <w:r>
          <w:rPr>
            <w:noProof/>
            <w:rtl/>
          </w:rPr>
          <w:fldChar w:fldCharType="end"/>
        </w:r>
      </w:hyperlink>
    </w:p>
    <w:p>
      <w:pPr>
        <w:pStyle w:val="TOC1"/>
        <w:bidi/>
      </w:pPr>
      <w:hyperlink w:anchor="_Toc200000076" w:history="1">
        <w:r>
          <w:rPr>
            <w:noProof/>
            <w:rtl/>
          </w:rPr>
          <w:t xml:space="preserve">فصل پنجم: بحث و نتیجه‌گیری</w:t>
        </w:r>
        <w:r>
          <w:rPr>
            <w:noProof/>
            <w:rtl/>
          </w:rPr>
          <w:tab/>
        </w:r>
        <w:r>
          <w:rPr>
            <w:noProof/>
            <w:rtl/>
          </w:rPr>
          <w:fldChar w:fldCharType="begin"/>
        </w:r>
        <w:r>
          <w:rPr>
            <w:noProof/>
            <w:rtl/>
          </w:rPr>
          <w:instrText xml:space="preserve"> PAGEREF _Toc200000076 \h </w:instrText>
        </w:r>
        <w:r>
          <w:rPr>
            <w:noProof/>
            <w:rtl/>
          </w:rPr>
          <w:fldChar w:fldCharType="separate"/>
        </w:r>
        <w:r>
          <w:rPr>
            <w:noProof/>
            <w:rtl/>
          </w:rPr>
          <w:t xml:space="preserve">۸۳</w:t>
        </w:r>
        <w:r>
          <w:rPr>
            <w:noProof/>
            <w:rtl/>
          </w:rPr>
          <w:fldChar w:fldCharType="end"/>
        </w:r>
      </w:hyperlink>
    </w:p>
    <w:p>
      <w:pPr>
        <w:pStyle w:val="TOC2"/>
        <w:bidi/>
      </w:pPr>
      <w:hyperlink w:anchor="_Toc200000077" w:history="1">
        <w:r>
          <w:rPr>
            <w:noProof/>
            <w:rtl/>
          </w:rPr>
          <w:t xml:space="preserve">۵ـ۱ مقدمه</w:t>
        </w:r>
        <w:r>
          <w:rPr>
            <w:noProof/>
            <w:rtl/>
          </w:rPr>
          <w:tab/>
        </w:r>
        <w:r>
          <w:rPr>
            <w:noProof/>
            <w:rtl/>
          </w:rPr>
          <w:fldChar w:fldCharType="begin"/>
        </w:r>
        <w:r>
          <w:rPr>
            <w:noProof/>
            <w:rtl/>
          </w:rPr>
          <w:instrText xml:space="preserve"> PAGEREF _Toc200000077 \h </w:instrText>
        </w:r>
        <w:r>
          <w:rPr>
            <w:noProof/>
            <w:rtl/>
          </w:rPr>
          <w:fldChar w:fldCharType="separate"/>
        </w:r>
        <w:r>
          <w:rPr>
            <w:noProof/>
            <w:rtl/>
          </w:rPr>
          <w:t xml:space="preserve">۸۴</w:t>
        </w:r>
        <w:r>
          <w:rPr>
            <w:noProof/>
            <w:rtl/>
          </w:rPr>
          <w:fldChar w:fldCharType="end"/>
        </w:r>
      </w:hyperlink>
    </w:p>
    <w:p>
      <w:pPr>
        <w:pStyle w:val="TOC2"/>
        <w:bidi/>
      </w:pPr>
      <w:hyperlink w:anchor="_Toc200000078" w:history="1">
        <w:r>
          <w:rPr>
            <w:noProof/>
            <w:rtl/>
          </w:rPr>
          <w:t xml:space="preserve">۵ـ۲ مروری بر خلاصه تحقیق</w:t>
        </w:r>
        <w:r>
          <w:rPr>
            <w:noProof/>
            <w:rtl/>
          </w:rPr>
          <w:tab/>
        </w:r>
        <w:r>
          <w:rPr>
            <w:noProof/>
            <w:rtl/>
          </w:rPr>
          <w:fldChar w:fldCharType="begin"/>
        </w:r>
        <w:r>
          <w:rPr>
            <w:noProof/>
            <w:rtl/>
          </w:rPr>
          <w:instrText xml:space="preserve"> PAGEREF _Toc200000078 \h </w:instrText>
        </w:r>
        <w:r>
          <w:rPr>
            <w:noProof/>
            <w:rtl/>
          </w:rPr>
          <w:fldChar w:fldCharType="separate"/>
        </w:r>
        <w:r>
          <w:rPr>
            <w:noProof/>
            <w:rtl/>
          </w:rPr>
          <w:t xml:space="preserve">۸۴</w:t>
        </w:r>
        <w:r>
          <w:rPr>
            <w:noProof/>
            <w:rtl/>
          </w:rPr>
          <w:fldChar w:fldCharType="end"/>
        </w:r>
      </w:hyperlink>
    </w:p>
    <w:p>
      <w:pPr>
        <w:pStyle w:val="TOC2"/>
        <w:bidi/>
      </w:pPr>
      <w:hyperlink w:anchor="_Toc200000079" w:history="1">
        <w:r>
          <w:rPr>
            <w:noProof/>
            <w:rtl/>
          </w:rPr>
          <w:t xml:space="preserve">۵ـ۳ بحث و نتیجه‌گیری</w:t>
        </w:r>
        <w:r>
          <w:rPr>
            <w:noProof/>
            <w:rtl/>
          </w:rPr>
          <w:tab/>
        </w:r>
        <w:r>
          <w:rPr>
            <w:noProof/>
            <w:rtl/>
          </w:rPr>
          <w:fldChar w:fldCharType="begin"/>
        </w:r>
        <w:r>
          <w:rPr>
            <w:noProof/>
            <w:rtl/>
          </w:rPr>
          <w:instrText xml:space="preserve"> PAGEREF _Toc200000079 \h </w:instrText>
        </w:r>
        <w:r>
          <w:rPr>
            <w:noProof/>
            <w:rtl/>
          </w:rPr>
          <w:fldChar w:fldCharType="separate"/>
        </w:r>
        <w:r>
          <w:rPr>
            <w:noProof/>
            <w:rtl/>
          </w:rPr>
          <w:t xml:space="preserve">۸۵</w:t>
        </w:r>
        <w:r>
          <w:rPr>
            <w:noProof/>
            <w:rtl/>
          </w:rPr>
          <w:fldChar w:fldCharType="end"/>
        </w:r>
      </w:hyperlink>
    </w:p>
    <w:p>
      <w:pPr>
        <w:pStyle w:val="TOC3"/>
        <w:bidi/>
      </w:pPr>
      <w:hyperlink w:anchor="_Toc200000080" w:history="1">
        <w:r>
          <w:rPr>
            <w:noProof/>
            <w:rtl/>
          </w:rPr>
          <w:t xml:space="preserve">۵ـ۳ـ۱ بحث و نتیجه‌گیری درباره پرسش اول پژوهش</w:t>
        </w:r>
        <w:r>
          <w:rPr>
            <w:noProof/>
            <w:rtl/>
          </w:rPr>
          <w:tab/>
        </w:r>
        <w:r>
          <w:rPr>
            <w:noProof/>
            <w:rtl/>
          </w:rPr>
          <w:fldChar w:fldCharType="begin"/>
        </w:r>
        <w:r>
          <w:rPr>
            <w:noProof/>
            <w:rtl/>
          </w:rPr>
          <w:instrText xml:space="preserve"> PAGEREF _Toc200000080 \h </w:instrText>
        </w:r>
        <w:r>
          <w:rPr>
            <w:noProof/>
            <w:rtl/>
          </w:rPr>
          <w:fldChar w:fldCharType="separate"/>
        </w:r>
        <w:r>
          <w:rPr>
            <w:noProof/>
            <w:rtl/>
          </w:rPr>
          <w:t xml:space="preserve">۸۵</w:t>
        </w:r>
        <w:r>
          <w:rPr>
            <w:noProof/>
            <w:rtl/>
          </w:rPr>
          <w:fldChar w:fldCharType="end"/>
        </w:r>
      </w:hyperlink>
    </w:p>
    <w:p>
      <w:pPr>
        <w:pStyle w:val="TOC3"/>
        <w:bidi/>
      </w:pPr>
      <w:hyperlink w:anchor="_Toc200000082" w:history="1">
        <w:r>
          <w:rPr>
            <w:noProof/>
            <w:rtl/>
          </w:rPr>
          <w:t xml:space="preserve">۵ـ۳ـ۲ بحث و نتیجه‌گیری درباره پرسش دوم پژوهش</w:t>
        </w:r>
        <w:r>
          <w:rPr>
            <w:noProof/>
            <w:rtl/>
          </w:rPr>
          <w:tab/>
        </w:r>
        <w:r>
          <w:rPr>
            <w:noProof/>
            <w:rtl/>
          </w:rPr>
          <w:fldChar w:fldCharType="begin"/>
        </w:r>
        <w:r>
          <w:rPr>
            <w:noProof/>
            <w:rtl/>
          </w:rPr>
          <w:instrText xml:space="preserve"> PAGEREF _Toc200000082 \h </w:instrText>
        </w:r>
        <w:r>
          <w:rPr>
            <w:noProof/>
            <w:rtl/>
          </w:rPr>
          <w:fldChar w:fldCharType="separate"/>
        </w:r>
        <w:r>
          <w:rPr>
            <w:noProof/>
            <w:rtl/>
          </w:rPr>
          <w:t xml:space="preserve">۹۰</w:t>
        </w:r>
        <w:r>
          <w:rPr>
            <w:noProof/>
            <w:rtl/>
          </w:rPr>
          <w:fldChar w:fldCharType="end"/>
        </w:r>
      </w:hyperlink>
    </w:p>
    <w:p>
      <w:pPr>
        <w:pStyle w:val="TOC2"/>
        <w:bidi/>
      </w:pPr>
      <w:hyperlink w:anchor="_Toc200000083" w:history="1">
        <w:r>
          <w:rPr>
            <w:noProof/>
            <w:rtl/>
          </w:rPr>
          <w:t xml:space="preserve">۵ـ۴ پیشنهادات تحقیق</w:t>
        </w:r>
        <w:r>
          <w:rPr>
            <w:noProof/>
            <w:rtl/>
          </w:rPr>
          <w:tab/>
        </w:r>
        <w:r>
          <w:rPr>
            <w:noProof/>
            <w:rtl/>
          </w:rPr>
          <w:fldChar w:fldCharType="begin"/>
        </w:r>
        <w:r>
          <w:rPr>
            <w:noProof/>
            <w:rtl/>
          </w:rPr>
          <w:instrText xml:space="preserve"> PAGEREF _Toc200000083 \h </w:instrText>
        </w:r>
        <w:r>
          <w:rPr>
            <w:noProof/>
            <w:rtl/>
          </w:rPr>
          <w:fldChar w:fldCharType="separate"/>
        </w:r>
        <w:r>
          <w:rPr>
            <w:noProof/>
            <w:rtl/>
          </w:rPr>
          <w:t xml:space="preserve">۹۳</w:t>
        </w:r>
        <w:r>
          <w:rPr>
            <w:noProof/>
            <w:rtl/>
          </w:rPr>
          <w:fldChar w:fldCharType="end"/>
        </w:r>
      </w:hyperlink>
    </w:p>
    <w:p>
      <w:pPr>
        <w:pStyle w:val="TOC2"/>
        <w:bidi/>
      </w:pPr>
      <w:hyperlink w:anchor="_Toc200000084" w:history="1">
        <w:r>
          <w:rPr>
            <w:noProof/>
            <w:rtl/>
          </w:rPr>
          <w:t xml:space="preserve">۵ـ۵ محدودیت‌های پژوهش</w:t>
        </w:r>
        <w:r>
          <w:rPr>
            <w:noProof/>
            <w:rtl/>
          </w:rPr>
          <w:tab/>
        </w:r>
        <w:r>
          <w:rPr>
            <w:noProof/>
            <w:rtl/>
          </w:rPr>
          <w:fldChar w:fldCharType="begin"/>
        </w:r>
        <w:r>
          <w:rPr>
            <w:noProof/>
            <w:rtl/>
          </w:rPr>
          <w:instrText xml:space="preserve"> PAGEREF _Toc200000084 \h </w:instrText>
        </w:r>
        <w:r>
          <w:rPr>
            <w:noProof/>
            <w:rtl/>
          </w:rPr>
          <w:fldChar w:fldCharType="separate"/>
        </w:r>
        <w:r>
          <w:rPr>
            <w:noProof/>
            <w:rtl/>
          </w:rPr>
          <w:t xml:space="preserve">۹۵</w:t>
        </w:r>
        <w:r>
          <w:rPr>
            <w:noProof/>
            <w:rtl/>
          </w:rPr>
          <w:fldChar w:fldCharType="end"/>
        </w:r>
      </w:hyperlink>
    </w:p>
    <w:p>
      <w:pPr>
        <w:pStyle w:val="TOC2"/>
        <w:bidi/>
      </w:pPr>
      <w:hyperlink w:anchor="_Toc200000085" w:history="1">
        <w:r>
          <w:rPr>
            <w:noProof/>
            <w:rtl/>
          </w:rPr>
          <w:t xml:space="preserve">۵ـ۶ پیشنهادهایی برای پژوهش‌های آتی</w:t>
        </w:r>
        <w:r>
          <w:rPr>
            <w:noProof/>
            <w:rtl/>
          </w:rPr>
          <w:tab/>
        </w:r>
        <w:r>
          <w:rPr>
            <w:noProof/>
            <w:rtl/>
          </w:rPr>
          <w:fldChar w:fldCharType="begin"/>
        </w:r>
        <w:r>
          <w:rPr>
            <w:noProof/>
            <w:rtl/>
          </w:rPr>
          <w:instrText xml:space="preserve"> PAGEREF _Toc200000085 \h </w:instrText>
        </w:r>
        <w:r>
          <w:rPr>
            <w:noProof/>
            <w:rtl/>
          </w:rPr>
          <w:fldChar w:fldCharType="separate"/>
        </w:r>
        <w:r>
          <w:rPr>
            <w:noProof/>
            <w:rtl/>
          </w:rPr>
          <w:t xml:space="preserve">۹۵</w:t>
        </w:r>
        <w:r>
          <w:rPr>
            <w:noProof/>
            <w:rtl/>
          </w:rPr>
          <w:fldChar w:fldCharType="end"/>
        </w:r>
      </w:hyperlink>
    </w:p>
    <w:p>
      <w:pPr>
        <w:pStyle w:val="TOC1"/>
        <w:bidi/>
      </w:pPr>
      <w:hyperlink w:anchor="_Toc200000086" w:history="1">
        <w:r>
          <w:rPr>
            <w:noProof/>
            <w:rtl/>
          </w:rPr>
          <w:t xml:space="preserve">منابع</w:t>
        </w:r>
        <w:r>
          <w:rPr>
            <w:noProof/>
            <w:rtl/>
          </w:rPr>
          <w:tab/>
        </w:r>
        <w:r>
          <w:rPr>
            <w:noProof/>
            <w:rtl/>
          </w:rPr>
          <w:fldChar w:fldCharType="begin"/>
        </w:r>
        <w:r>
          <w:rPr>
            <w:noProof/>
            <w:rtl/>
          </w:rPr>
          <w:instrText xml:space="preserve"> PAGEREF _Toc200000086 \h </w:instrText>
        </w:r>
        <w:r>
          <w:rPr>
            <w:noProof/>
            <w:rtl/>
          </w:rPr>
          <w:fldChar w:fldCharType="separate"/>
        </w:r>
        <w:r>
          <w:rPr>
            <w:noProof/>
            <w:rtl/>
          </w:rPr>
          <w:t xml:space="preserve">۹۷</w:t>
        </w:r>
        <w:r>
          <w:rPr>
            <w:noProof/>
            <w:rtl/>
          </w:rPr>
          <w:fldChar w:fldCharType="end"/>
        </w:r>
      </w:hyperlink>
    </w:p>
    <w:p>
      <w:pPr>
        <w:pStyle w:val="TOC2"/>
        <w:bidi/>
      </w:pPr>
      <w:hyperlink w:anchor="_Toc200000087" w:history="1">
        <w:r>
          <w:rPr>
            <w:noProof/>
            <w:rtl/>
          </w:rPr>
          <w:t xml:space="preserve">منابع داخلی</w:t>
        </w:r>
        <w:r>
          <w:rPr>
            <w:noProof/>
            <w:rtl/>
          </w:rPr>
          <w:tab/>
        </w:r>
        <w:r>
          <w:rPr>
            <w:noProof/>
            <w:rtl/>
          </w:rPr>
          <w:fldChar w:fldCharType="begin"/>
        </w:r>
        <w:r>
          <w:rPr>
            <w:noProof/>
            <w:rtl/>
          </w:rPr>
          <w:instrText xml:space="preserve"> PAGEREF _Toc200000087 \h </w:instrText>
        </w:r>
        <w:r>
          <w:rPr>
            <w:noProof/>
            <w:rtl/>
          </w:rPr>
          <w:fldChar w:fldCharType="separate"/>
        </w:r>
        <w:r>
          <w:rPr>
            <w:noProof/>
            <w:rtl/>
          </w:rPr>
          <w:t xml:space="preserve">۹۸</w:t>
        </w:r>
        <w:r>
          <w:rPr>
            <w:noProof/>
            <w:rtl/>
          </w:rPr>
          <w:fldChar w:fldCharType="end"/>
        </w:r>
      </w:hyperlink>
    </w:p>
    <w:p>
      <w:pPr>
        <w:pStyle w:val="TOC2"/>
        <w:bidi/>
      </w:pPr>
      <w:hyperlink w:anchor="_Toc200000088" w:history="1">
        <w:r>
          <w:rPr>
            <w:noProof/>
            <w:rtl/>
          </w:rPr>
          <w:t xml:space="preserve">منابع خارجی</w:t>
        </w:r>
        <w:r>
          <w:rPr>
            <w:noProof/>
            <w:rtl/>
          </w:rPr>
          <w:tab/>
        </w:r>
        <w:r>
          <w:rPr>
            <w:noProof/>
            <w:rtl/>
          </w:rPr>
          <w:fldChar w:fldCharType="begin"/>
        </w:r>
        <w:r>
          <w:rPr>
            <w:noProof/>
            <w:rtl/>
          </w:rPr>
          <w:instrText xml:space="preserve"> PAGEREF _Toc200000088 \h </w:instrText>
        </w:r>
        <w:r>
          <w:rPr>
            <w:noProof/>
            <w:rtl/>
          </w:rPr>
          <w:fldChar w:fldCharType="separate"/>
        </w:r>
        <w:r>
          <w:rPr>
            <w:noProof/>
            <w:rtl/>
          </w:rPr>
          <w:t xml:space="preserve">۹۹</w:t>
        </w:r>
        <w:r>
          <w:rPr>
            <w:noProof/>
            <w:rtl/>
          </w:rPr>
          <w:fldChar w:fldCharType="end"/>
        </w:r>
      </w:hyperlink>
    </w:p>
    <w:p>
      <w:pPr>
        <w:pStyle w:val="TOC1"/>
        <w:bidi/>
      </w:pPr>
      <w:hyperlink w:anchor="_Toc200000089" w:history="1">
        <w:r>
          <w:rPr>
            <w:noProof/>
            <w:rtl/>
          </w:rPr>
          <w:t xml:space="preserve">پیوست‌ها</w:t>
        </w:r>
        <w:r>
          <w:rPr>
            <w:noProof/>
            <w:rtl/>
          </w:rPr>
          <w:tab/>
        </w:r>
        <w:r>
          <w:rPr>
            <w:noProof/>
            <w:rtl/>
          </w:rPr>
          <w:fldChar w:fldCharType="begin"/>
        </w:r>
        <w:r>
          <w:rPr>
            <w:noProof/>
            <w:rtl/>
          </w:rPr>
          <w:instrText xml:space="preserve"> PAGEREF _Toc200000089 \h </w:instrText>
        </w:r>
        <w:r>
          <w:rPr>
            <w:noProof/>
            <w:rtl/>
          </w:rPr>
          <w:fldChar w:fldCharType="separate"/>
        </w:r>
        <w:r>
          <w:rPr>
            <w:noProof/>
            <w:rtl/>
          </w:rPr>
          <w:t xml:space="preserve">۱۰۲</w:t>
        </w:r>
        <w:r>
          <w:rPr>
            <w:noProof/>
            <w:rtl/>
          </w:rPr>
          <w:fldChar w:fldCharType="end"/>
        </w:r>
      </w:hyperlink>
    </w:p>
    <w:p>
      <w:pPr>
        <w:pStyle w:val="TOC2"/>
        <w:bidi/>
      </w:pPr>
      <w:hyperlink w:anchor="_Toc200000090" w:history="1">
        <w:r>
          <w:rPr>
            <w:noProof/>
            <w:rtl/>
          </w:rPr>
          <w:t xml:space="preserve">پیوست الف: فرم خام مصاحبه دور نخست دلفی</w:t>
        </w:r>
        <w:r>
          <w:rPr>
            <w:noProof/>
            <w:rtl/>
          </w:rPr>
          <w:tab/>
        </w:r>
        <w:r>
          <w:rPr>
            <w:noProof/>
            <w:rtl/>
          </w:rPr>
          <w:fldChar w:fldCharType="begin"/>
        </w:r>
        <w:r>
          <w:rPr>
            <w:noProof/>
            <w:rtl/>
          </w:rPr>
          <w:instrText xml:space="preserve"> PAGEREF _Toc200000090 \h </w:instrText>
        </w:r>
        <w:r>
          <w:rPr>
            <w:noProof/>
            <w:rtl/>
          </w:rPr>
          <w:fldChar w:fldCharType="separate"/>
        </w:r>
        <w:r>
          <w:rPr>
            <w:noProof/>
            <w:rtl/>
          </w:rPr>
          <w:t xml:space="preserve">۱۰۳</w:t>
        </w:r>
        <w:r>
          <w:rPr>
            <w:noProof/>
            <w:rtl/>
          </w:rPr>
          <w:fldChar w:fldCharType="end"/>
        </w:r>
      </w:hyperlink>
    </w:p>
    <w:p>
      <w:pPr>
        <w:pStyle w:val="TOC2"/>
        <w:bidi/>
      </w:pPr>
      <w:hyperlink w:anchor="_Toc200000091" w:history="1">
        <w:r>
          <w:rPr>
            <w:noProof/>
            <w:rtl/>
          </w:rPr>
          <w:t xml:space="preserve">پیوست ب: فرم خام پرسشنامه دور دوم دلفی (رتبه‌بندی گویه‌ها)</w:t>
        </w:r>
        <w:r>
          <w:rPr>
            <w:noProof/>
            <w:rtl/>
          </w:rPr>
          <w:tab/>
        </w:r>
        <w:r>
          <w:rPr>
            <w:noProof/>
            <w:rtl/>
          </w:rPr>
          <w:fldChar w:fldCharType="begin"/>
        </w:r>
        <w:r>
          <w:rPr>
            <w:noProof/>
            <w:rtl/>
          </w:rPr>
          <w:instrText xml:space="preserve"> PAGEREF _Toc200000091 \h </w:instrText>
        </w:r>
        <w:r>
          <w:rPr>
            <w:noProof/>
            <w:rtl/>
          </w:rPr>
          <w:fldChar w:fldCharType="separate"/>
        </w:r>
        <w:r>
          <w:rPr>
            <w:noProof/>
            <w:rtl/>
          </w:rPr>
          <w:t xml:space="preserve">۱۰۶</w:t>
        </w:r>
        <w:r>
          <w:rPr>
            <w:noProof/>
            <w:rtl/>
          </w:rPr>
          <w:fldChar w:fldCharType="end"/>
        </w:r>
      </w:hyperlink>
    </w:p>
    <w:p>
      <w:pPr>
        <w:pStyle w:val="TOC2"/>
        <w:bidi/>
      </w:pPr>
      <w:hyperlink w:anchor="_Toc200000092" w:history="1">
        <w:r>
          <w:rPr>
            <w:noProof/>
            <w:rtl/>
          </w:rPr>
          <w:t xml:space="preserve">پیوست پ: فرم خام پرسشنامه دور سوم دلفی (بازنگری رتبه‌بندی با بازخورد گروهی)</w:t>
        </w:r>
        <w:r>
          <w:rPr>
            <w:noProof/>
            <w:rtl/>
          </w:rPr>
          <w:tab/>
        </w:r>
        <w:r>
          <w:rPr>
            <w:noProof/>
            <w:rtl/>
          </w:rPr>
          <w:fldChar w:fldCharType="begin"/>
        </w:r>
        <w:r>
          <w:rPr>
            <w:noProof/>
            <w:rtl/>
          </w:rPr>
          <w:instrText xml:space="preserve"> PAGEREF _Toc200000092 \h </w:instrText>
        </w:r>
        <w:r>
          <w:rPr>
            <w:noProof/>
            <w:rtl/>
          </w:rPr>
          <w:fldChar w:fldCharType="separate"/>
        </w:r>
        <w:r>
          <w:rPr>
            <w:noProof/>
            <w:rtl/>
          </w:rPr>
          <w:t xml:space="preserve">۱۰۹</w:t>
        </w:r>
        <w:r>
          <w:rPr>
            <w:noProof/>
            <w:rtl/>
          </w:rPr>
          <w:fldChar w:fldCharType="end"/>
        </w:r>
      </w:hyperlink>
      <w:r>
        <w:fldChar w:fldCharType="end"/>
      </w:r>
    </w:p>
    <w:p>
      <w:pPr>
        <w:pStyle w:val="FrontTitle"/>
        <w:pageBreakBefore/>
        <w:bidi/>
        <w:spacing w:after="240"/>
      </w:pPr>
      <w:r>
        <w:rPr>
          <w:rtl/>
        </w:rPr>
        <w:t xml:space="preserve">فهرست جدول‌ها</w:t>
      </w:r>
    </w:p>
    <w:p>
      <w:pPr>
        <w:pStyle w:val="TOC4"/>
        <w:bidi/>
      </w:pPr>
      <w:r>
        <w:fldChar w:fldCharType="begin"/>
      </w:r>
      <w:r>
        <w:instrText xml:space="preserve"> TOC \h \z \f T </w:instrText>
      </w:r>
      <w:r>
        <w:fldChar w:fldCharType="separate"/>
      </w:r>
      <w:hyperlink w:anchor="_Toc200000028" w:history="1">
        <w:r>
          <w:rPr>
            <w:noProof/>
            <w:rtl/>
          </w:rPr>
          <w:t xml:space="preserve">جدول ۲-۱ چالش‌های فروش برگرفته از ادبیات نظری</w:t>
        </w:r>
        <w:r>
          <w:rPr>
            <w:noProof/>
            <w:rtl/>
          </w:rPr>
          <w:tab/>
        </w:r>
        <w:r>
          <w:rPr>
            <w:noProof/>
            <w:rtl/>
          </w:rPr>
          <w:fldChar w:fldCharType="begin"/>
        </w:r>
        <w:r>
          <w:rPr>
            <w:noProof/>
            <w:rtl/>
          </w:rPr>
          <w:instrText xml:space="preserve"> PAGEREF _Toc200000028 \h </w:instrText>
        </w:r>
        <w:r>
          <w:rPr>
            <w:noProof/>
            <w:rtl/>
          </w:rPr>
          <w:fldChar w:fldCharType="separate"/>
        </w:r>
        <w:r>
          <w:rPr>
            <w:noProof/>
            <w:rtl/>
          </w:rPr>
          <w:t xml:space="preserve">۴۹</w:t>
        </w:r>
        <w:r>
          <w:rPr>
            <w:noProof/>
            <w:rtl/>
          </w:rPr>
          <w:fldChar w:fldCharType="end"/>
        </w:r>
      </w:hyperlink>
    </w:p>
    <w:p>
      <w:pPr>
        <w:pStyle w:val="TOC4"/>
        <w:bidi/>
      </w:pPr>
      <w:hyperlink w:anchor="_Toc200000047" w:history="1">
        <w:r>
          <w:rPr>
            <w:noProof/>
            <w:rtl/>
          </w:rPr>
          <w:t xml:space="preserve">جدول ۴-۱ ترکیب نمونه پژوهش</w:t>
        </w:r>
        <w:r>
          <w:rPr>
            <w:noProof/>
            <w:rtl/>
          </w:rPr>
          <w:tab/>
        </w:r>
        <w:r>
          <w:rPr>
            <w:noProof/>
            <w:rtl/>
          </w:rPr>
          <w:fldChar w:fldCharType="begin"/>
        </w:r>
        <w:r>
          <w:rPr>
            <w:noProof/>
            <w:rtl/>
          </w:rPr>
          <w:instrText xml:space="preserve"> PAGEREF _Toc200000047 \h </w:instrText>
        </w:r>
        <w:r>
          <w:rPr>
            <w:noProof/>
            <w:rtl/>
          </w:rPr>
          <w:fldChar w:fldCharType="separate"/>
        </w:r>
        <w:r>
          <w:rPr>
            <w:noProof/>
            <w:rtl/>
          </w:rPr>
          <w:t xml:space="preserve">۶۱</w:t>
        </w:r>
        <w:r>
          <w:rPr>
            <w:noProof/>
            <w:rtl/>
          </w:rPr>
          <w:fldChar w:fldCharType="end"/>
        </w:r>
      </w:hyperlink>
    </w:p>
    <w:p>
      <w:pPr>
        <w:pStyle w:val="TOC4"/>
        <w:bidi/>
      </w:pPr>
      <w:hyperlink w:anchor="_Toc200000049" w:history="1">
        <w:r>
          <w:rPr>
            <w:noProof/>
            <w:rtl/>
          </w:rPr>
          <w:t xml:space="preserve">جدول ۴-۲ توزیع جایگاه شغلی اعضای پانل خبرگان</w:t>
        </w:r>
        <w:r>
          <w:rPr>
            <w:noProof/>
            <w:rtl/>
          </w:rPr>
          <w:tab/>
        </w:r>
        <w:r>
          <w:rPr>
            <w:noProof/>
            <w:rtl/>
          </w:rPr>
          <w:fldChar w:fldCharType="begin"/>
        </w:r>
        <w:r>
          <w:rPr>
            <w:noProof/>
            <w:rtl/>
          </w:rPr>
          <w:instrText xml:space="preserve"> PAGEREF _Toc200000049 \h </w:instrText>
        </w:r>
        <w:r>
          <w:rPr>
            <w:noProof/>
            <w:rtl/>
          </w:rPr>
          <w:fldChar w:fldCharType="separate"/>
        </w:r>
        <w:r>
          <w:rPr>
            <w:noProof/>
            <w:rtl/>
          </w:rPr>
          <w:t xml:space="preserve">۶۲</w:t>
        </w:r>
        <w:r>
          <w:rPr>
            <w:noProof/>
            <w:rtl/>
          </w:rPr>
          <w:fldChar w:fldCharType="end"/>
        </w:r>
      </w:hyperlink>
    </w:p>
    <w:p>
      <w:pPr>
        <w:pStyle w:val="TOC4"/>
        <w:bidi/>
      </w:pPr>
      <w:hyperlink w:anchor="_Toc200000051" w:history="1">
        <w:r>
          <w:rPr>
            <w:noProof/>
            <w:rtl/>
          </w:rPr>
          <w:t xml:space="preserve">جدول ۴-۳ توزیع سطح تحصیلات اعضای پانل خبرگان</w:t>
        </w:r>
        <w:r>
          <w:rPr>
            <w:noProof/>
            <w:rtl/>
          </w:rPr>
          <w:tab/>
        </w:r>
        <w:r>
          <w:rPr>
            <w:noProof/>
            <w:rtl/>
          </w:rPr>
          <w:fldChar w:fldCharType="begin"/>
        </w:r>
        <w:r>
          <w:rPr>
            <w:noProof/>
            <w:rtl/>
          </w:rPr>
          <w:instrText xml:space="preserve"> PAGEREF _Toc200000051 \h </w:instrText>
        </w:r>
        <w:r>
          <w:rPr>
            <w:noProof/>
            <w:rtl/>
          </w:rPr>
          <w:fldChar w:fldCharType="separate"/>
        </w:r>
        <w:r>
          <w:rPr>
            <w:noProof/>
            <w:rtl/>
          </w:rPr>
          <w:t xml:space="preserve">۶۲</w:t>
        </w:r>
        <w:r>
          <w:rPr>
            <w:noProof/>
            <w:rtl/>
          </w:rPr>
          <w:fldChar w:fldCharType="end"/>
        </w:r>
      </w:hyperlink>
    </w:p>
    <w:p>
      <w:pPr>
        <w:pStyle w:val="TOC4"/>
        <w:bidi/>
      </w:pPr>
      <w:hyperlink w:anchor="_Toc200000053" w:history="1">
        <w:r>
          <w:rPr>
            <w:noProof/>
            <w:rtl/>
          </w:rPr>
          <w:t xml:space="preserve">جدول ۴-۴ توزیع سابقه فعالیت اعضای پانل خبرگان</w:t>
        </w:r>
        <w:r>
          <w:rPr>
            <w:noProof/>
            <w:rtl/>
          </w:rPr>
          <w:tab/>
        </w:r>
        <w:r>
          <w:rPr>
            <w:noProof/>
            <w:rtl/>
          </w:rPr>
          <w:fldChar w:fldCharType="begin"/>
        </w:r>
        <w:r>
          <w:rPr>
            <w:noProof/>
            <w:rtl/>
          </w:rPr>
          <w:instrText xml:space="preserve"> PAGEREF _Toc200000053 \h </w:instrText>
        </w:r>
        <w:r>
          <w:rPr>
            <w:noProof/>
            <w:rtl/>
          </w:rPr>
          <w:fldChar w:fldCharType="separate"/>
        </w:r>
        <w:r>
          <w:rPr>
            <w:noProof/>
            <w:rtl/>
          </w:rPr>
          <w:t xml:space="preserve">۶۳</w:t>
        </w:r>
        <w:r>
          <w:rPr>
            <w:noProof/>
            <w:rtl/>
          </w:rPr>
          <w:fldChar w:fldCharType="end"/>
        </w:r>
      </w:hyperlink>
    </w:p>
    <w:p>
      <w:pPr>
        <w:pStyle w:val="TOC4"/>
        <w:bidi/>
      </w:pPr>
      <w:hyperlink w:anchor="_Toc200000055" w:history="1">
        <w:r>
          <w:rPr>
            <w:noProof/>
            <w:rtl/>
          </w:rPr>
          <w:t xml:space="preserve">جدول ۴-۵ توزیع نوع محصول شرکت محل فعالیت اعضای پانل</w:t>
        </w:r>
        <w:r>
          <w:rPr>
            <w:noProof/>
            <w:rtl/>
          </w:rPr>
          <w:tab/>
        </w:r>
        <w:r>
          <w:rPr>
            <w:noProof/>
            <w:rtl/>
          </w:rPr>
          <w:fldChar w:fldCharType="begin"/>
        </w:r>
        <w:r>
          <w:rPr>
            <w:noProof/>
            <w:rtl/>
          </w:rPr>
          <w:instrText xml:space="preserve"> PAGEREF _Toc200000055 \h </w:instrText>
        </w:r>
        <w:r>
          <w:rPr>
            <w:noProof/>
            <w:rtl/>
          </w:rPr>
          <w:fldChar w:fldCharType="separate"/>
        </w:r>
        <w:r>
          <w:rPr>
            <w:noProof/>
            <w:rtl/>
          </w:rPr>
          <w:t xml:space="preserve">۶۴</w:t>
        </w:r>
        <w:r>
          <w:rPr>
            <w:noProof/>
            <w:rtl/>
          </w:rPr>
          <w:fldChar w:fldCharType="end"/>
        </w:r>
      </w:hyperlink>
    </w:p>
    <w:p>
      <w:pPr>
        <w:pStyle w:val="TOC4"/>
        <w:bidi/>
      </w:pPr>
      <w:hyperlink w:anchor="_Toc200000058" w:history="1">
        <w:r>
          <w:rPr>
            <w:noProof/>
            <w:rtl/>
          </w:rPr>
          <w:t xml:space="preserve">جدول ۴-۶ گویه‌های استخراج‌شده از دور نخست به تفکیک مؤلفه و اعضای اشاره‌کننده</w:t>
        </w:r>
        <w:r>
          <w:rPr>
            <w:noProof/>
            <w:rtl/>
          </w:rPr>
          <w:tab/>
        </w:r>
        <w:r>
          <w:rPr>
            <w:noProof/>
            <w:rtl/>
          </w:rPr>
          <w:fldChar w:fldCharType="begin"/>
        </w:r>
        <w:r>
          <w:rPr>
            <w:noProof/>
            <w:rtl/>
          </w:rPr>
          <w:instrText xml:space="preserve"> PAGEREF _Toc200000058 \h </w:instrText>
        </w:r>
        <w:r>
          <w:rPr>
            <w:noProof/>
            <w:rtl/>
          </w:rPr>
          <w:fldChar w:fldCharType="separate"/>
        </w:r>
        <w:r>
          <w:rPr>
            <w:noProof/>
            <w:rtl/>
          </w:rPr>
          <w:t xml:space="preserve">۶۶</w:t>
        </w:r>
        <w:r>
          <w:rPr>
            <w:noProof/>
            <w:rtl/>
          </w:rPr>
          <w:fldChar w:fldCharType="end"/>
        </w:r>
      </w:hyperlink>
    </w:p>
    <w:p>
      <w:pPr>
        <w:pStyle w:val="TOC4"/>
        <w:bidi/>
      </w:pPr>
      <w:hyperlink w:anchor="_Toc200000059" w:history="1">
        <w:r>
          <w:rPr>
            <w:noProof/>
            <w:rtl/>
          </w:rPr>
          <w:t xml:space="preserve">جدول ۴-۷ شمار گویه‌ها و گستره اشاره اعضا به هر مؤلفه</w:t>
        </w:r>
        <w:r>
          <w:rPr>
            <w:noProof/>
            <w:rtl/>
          </w:rPr>
          <w:tab/>
        </w:r>
        <w:r>
          <w:rPr>
            <w:noProof/>
            <w:rtl/>
          </w:rPr>
          <w:fldChar w:fldCharType="begin"/>
        </w:r>
        <w:r>
          <w:rPr>
            <w:noProof/>
            <w:rtl/>
          </w:rPr>
          <w:instrText xml:space="preserve"> PAGEREF _Toc200000059 \h </w:instrText>
        </w:r>
        <w:r>
          <w:rPr>
            <w:noProof/>
            <w:rtl/>
          </w:rPr>
          <w:fldChar w:fldCharType="separate"/>
        </w:r>
        <w:r>
          <w:rPr>
            <w:noProof/>
            <w:rtl/>
          </w:rPr>
          <w:t xml:space="preserve">۶۷</w:t>
        </w:r>
        <w:r>
          <w:rPr>
            <w:noProof/>
            <w:rtl/>
          </w:rPr>
          <w:fldChar w:fldCharType="end"/>
        </w:r>
      </w:hyperlink>
    </w:p>
    <w:p>
      <w:pPr>
        <w:pStyle w:val="TOC4"/>
        <w:bidi/>
      </w:pPr>
      <w:hyperlink w:anchor="_Toc200000061" w:history="1">
        <w:r>
          <w:rPr>
            <w:noProof/>
            <w:rtl/>
          </w:rPr>
          <w:t xml:space="preserve">جدول ۴-۸ آمار توصیفی امتیاز اهمیت گویه‌ها در دور دوم</w:t>
        </w:r>
        <w:r>
          <w:rPr>
            <w:noProof/>
            <w:rtl/>
          </w:rPr>
          <w:tab/>
        </w:r>
        <w:r>
          <w:rPr>
            <w:noProof/>
            <w:rtl/>
          </w:rPr>
          <w:fldChar w:fldCharType="begin"/>
        </w:r>
        <w:r>
          <w:rPr>
            <w:noProof/>
            <w:rtl/>
          </w:rPr>
          <w:instrText xml:space="preserve"> PAGEREF _Toc200000061 \h </w:instrText>
        </w:r>
        <w:r>
          <w:rPr>
            <w:noProof/>
            <w:rtl/>
          </w:rPr>
          <w:fldChar w:fldCharType="separate"/>
        </w:r>
        <w:r>
          <w:rPr>
            <w:noProof/>
            <w:rtl/>
          </w:rPr>
          <w:t xml:space="preserve">۶۸</w:t>
        </w:r>
        <w:r>
          <w:rPr>
            <w:noProof/>
            <w:rtl/>
          </w:rPr>
          <w:fldChar w:fldCharType="end"/>
        </w:r>
      </w:hyperlink>
    </w:p>
    <w:p>
      <w:pPr>
        <w:pStyle w:val="TOC4"/>
        <w:bidi/>
      </w:pPr>
      <w:hyperlink w:anchor="_Toc200000063" w:history="1">
        <w:r>
          <w:rPr>
            <w:noProof/>
            <w:rtl/>
          </w:rPr>
          <w:t xml:space="preserve">جدول ۴-۹ آمار توصیفی امتیاز اهمیت گویه‌ها در دور سوم</w:t>
        </w:r>
        <w:r>
          <w:rPr>
            <w:noProof/>
            <w:rtl/>
          </w:rPr>
          <w:tab/>
        </w:r>
        <w:r>
          <w:rPr>
            <w:noProof/>
            <w:rtl/>
          </w:rPr>
          <w:fldChar w:fldCharType="begin"/>
        </w:r>
        <w:r>
          <w:rPr>
            <w:noProof/>
            <w:rtl/>
          </w:rPr>
          <w:instrText xml:space="preserve"> PAGEREF _Toc200000063 \h </w:instrText>
        </w:r>
        <w:r>
          <w:rPr>
            <w:noProof/>
            <w:rtl/>
          </w:rPr>
          <w:fldChar w:fldCharType="separate"/>
        </w:r>
        <w:r>
          <w:rPr>
            <w:noProof/>
            <w:rtl/>
          </w:rPr>
          <w:t xml:space="preserve">۷۱</w:t>
        </w:r>
        <w:r>
          <w:rPr>
            <w:noProof/>
            <w:rtl/>
          </w:rPr>
          <w:fldChar w:fldCharType="end"/>
        </w:r>
      </w:hyperlink>
    </w:p>
    <w:p>
      <w:pPr>
        <w:pStyle w:val="TOC4"/>
        <w:bidi/>
      </w:pPr>
      <w:hyperlink w:anchor="_Toc200000065" w:history="1">
        <w:r>
          <w:rPr>
            <w:noProof/>
            <w:rtl/>
          </w:rPr>
          <w:t xml:space="preserve">جدول ۴-۱۰ نتایج آزمون ضریب هماهنگی کندال (W) برای سنجش اجماع در دورهای دلفی</w:t>
        </w:r>
        <w:r>
          <w:rPr>
            <w:noProof/>
            <w:rtl/>
          </w:rPr>
          <w:tab/>
        </w:r>
        <w:r>
          <w:rPr>
            <w:noProof/>
            <w:rtl/>
          </w:rPr>
          <w:fldChar w:fldCharType="begin"/>
        </w:r>
        <w:r>
          <w:rPr>
            <w:noProof/>
            <w:rtl/>
          </w:rPr>
          <w:instrText xml:space="preserve"> PAGEREF _Toc200000065 \h </w:instrText>
        </w:r>
        <w:r>
          <w:rPr>
            <w:noProof/>
            <w:rtl/>
          </w:rPr>
          <w:fldChar w:fldCharType="separate"/>
        </w:r>
        <w:r>
          <w:rPr>
            <w:noProof/>
            <w:rtl/>
          </w:rPr>
          <w:t xml:space="preserve">۷۳</w:t>
        </w:r>
        <w:r>
          <w:rPr>
            <w:noProof/>
            <w:rtl/>
          </w:rPr>
          <w:fldChar w:fldCharType="end"/>
        </w:r>
      </w:hyperlink>
    </w:p>
    <w:p>
      <w:pPr>
        <w:pStyle w:val="TOC4"/>
        <w:bidi/>
      </w:pPr>
      <w:hyperlink w:anchor="_Toc200000067" w:history="1">
        <w:r>
          <w:rPr>
            <w:noProof/>
            <w:rtl/>
          </w:rPr>
          <w:t xml:space="preserve">جدول ۴-۱۱ ضریب همبستگی رتبه‌ای میان امتیازهای گویه‌ها و مؤلفه‌ها در دور دوم و دور سوم</w:t>
        </w:r>
        <w:r>
          <w:rPr>
            <w:noProof/>
            <w:rtl/>
          </w:rPr>
          <w:tab/>
        </w:r>
        <w:r>
          <w:rPr>
            <w:noProof/>
            <w:rtl/>
          </w:rPr>
          <w:fldChar w:fldCharType="begin"/>
        </w:r>
        <w:r>
          <w:rPr>
            <w:noProof/>
            <w:rtl/>
          </w:rPr>
          <w:instrText xml:space="preserve"> PAGEREF _Toc200000067 \h </w:instrText>
        </w:r>
        <w:r>
          <w:rPr>
            <w:noProof/>
            <w:rtl/>
          </w:rPr>
          <w:fldChar w:fldCharType="separate"/>
        </w:r>
        <w:r>
          <w:rPr>
            <w:noProof/>
            <w:rtl/>
          </w:rPr>
          <w:t xml:space="preserve">۷۴</w:t>
        </w:r>
        <w:r>
          <w:rPr>
            <w:noProof/>
            <w:rtl/>
          </w:rPr>
          <w:fldChar w:fldCharType="end"/>
        </w:r>
      </w:hyperlink>
    </w:p>
    <w:p>
      <w:pPr>
        <w:pStyle w:val="TOC4"/>
        <w:bidi/>
      </w:pPr>
      <w:hyperlink w:anchor="_Toc200000069" w:history="1">
        <w:r>
          <w:rPr>
            <w:noProof/>
            <w:rtl/>
          </w:rPr>
          <w:t xml:space="preserve">جدول ۴-۱۲ فهرست چالش‌های فروش شناسایی‌شده به تفکیک مؤلفه</w:t>
        </w:r>
        <w:r>
          <w:rPr>
            <w:noProof/>
            <w:rtl/>
          </w:rPr>
          <w:tab/>
        </w:r>
        <w:r>
          <w:rPr>
            <w:noProof/>
            <w:rtl/>
          </w:rPr>
          <w:fldChar w:fldCharType="begin"/>
        </w:r>
        <w:r>
          <w:rPr>
            <w:noProof/>
            <w:rtl/>
          </w:rPr>
          <w:instrText xml:space="preserve"> PAGEREF _Toc200000069 \h </w:instrText>
        </w:r>
        <w:r>
          <w:rPr>
            <w:noProof/>
            <w:rtl/>
          </w:rPr>
          <w:fldChar w:fldCharType="separate"/>
        </w:r>
        <w:r>
          <w:rPr>
            <w:noProof/>
            <w:rtl/>
          </w:rPr>
          <w:t xml:space="preserve">۷۴</w:t>
        </w:r>
        <w:r>
          <w:rPr>
            <w:noProof/>
            <w:rtl/>
          </w:rPr>
          <w:fldChar w:fldCharType="end"/>
        </w:r>
      </w:hyperlink>
    </w:p>
    <w:p>
      <w:pPr>
        <w:pStyle w:val="TOC4"/>
        <w:bidi/>
      </w:pPr>
      <w:hyperlink w:anchor="_Toc200000070" w:history="1">
        <w:r>
          <w:rPr>
            <w:noProof/>
            <w:rtl/>
          </w:rPr>
          <w:t xml:space="preserve">جدول ۴-۱۳ رتبه‌بندی نهایی مؤلفه‌های چالش فروش بر پایه اجماع پانل دلفی (دور سوم)</w:t>
        </w:r>
        <w:r>
          <w:rPr>
            <w:noProof/>
            <w:rtl/>
          </w:rPr>
          <w:tab/>
        </w:r>
        <w:r>
          <w:rPr>
            <w:noProof/>
            <w:rtl/>
          </w:rPr>
          <w:fldChar w:fldCharType="begin"/>
        </w:r>
        <w:r>
          <w:rPr>
            <w:noProof/>
            <w:rtl/>
          </w:rPr>
          <w:instrText xml:space="preserve"> PAGEREF _Toc200000070 \h </w:instrText>
        </w:r>
        <w:r>
          <w:rPr>
            <w:noProof/>
            <w:rtl/>
          </w:rPr>
          <w:fldChar w:fldCharType="separate"/>
        </w:r>
        <w:r>
          <w:rPr>
            <w:noProof/>
            <w:rtl/>
          </w:rPr>
          <w:t xml:space="preserve">۷۶</w:t>
        </w:r>
        <w:r>
          <w:rPr>
            <w:noProof/>
            <w:rtl/>
          </w:rPr>
          <w:fldChar w:fldCharType="end"/>
        </w:r>
      </w:hyperlink>
    </w:p>
    <w:p>
      <w:pPr>
        <w:pStyle w:val="TOC4"/>
        <w:bidi/>
      </w:pPr>
      <w:hyperlink w:anchor="_Toc200000071" w:history="1">
        <w:r>
          <w:rPr>
            <w:noProof/>
            <w:rtl/>
          </w:rPr>
          <w:t xml:space="preserve">جدول ۴-۱۴ رتبه‌بندی نهایی گویه‌های چالش فروش بر پایه اجماع پانل دلفی (دور سوم)</w:t>
        </w:r>
        <w:r>
          <w:rPr>
            <w:noProof/>
            <w:rtl/>
          </w:rPr>
          <w:tab/>
        </w:r>
        <w:r>
          <w:rPr>
            <w:noProof/>
            <w:rtl/>
          </w:rPr>
          <w:fldChar w:fldCharType="begin"/>
        </w:r>
        <w:r>
          <w:rPr>
            <w:noProof/>
            <w:rtl/>
          </w:rPr>
          <w:instrText xml:space="preserve"> PAGEREF _Toc200000071 \h </w:instrText>
        </w:r>
        <w:r>
          <w:rPr>
            <w:noProof/>
            <w:rtl/>
          </w:rPr>
          <w:fldChar w:fldCharType="separate"/>
        </w:r>
        <w:r>
          <w:rPr>
            <w:noProof/>
            <w:rtl/>
          </w:rPr>
          <w:t xml:space="preserve">۷۷</w:t>
        </w:r>
        <w:r>
          <w:rPr>
            <w:noProof/>
            <w:rtl/>
          </w:rPr>
          <w:fldChar w:fldCharType="end"/>
        </w:r>
      </w:hyperlink>
    </w:p>
    <w:p>
      <w:pPr>
        <w:pStyle w:val="TOC4"/>
        <w:bidi/>
      </w:pPr>
      <w:hyperlink w:anchor="_Toc200000073" w:history="1">
        <w:r>
          <w:rPr>
            <w:noProof/>
            <w:rtl/>
          </w:rPr>
          <w:t xml:space="preserve">جدول ۴-۱۵ وزن AHP و رتبه‌بندی مؤلفه‌های چالش فروش</w:t>
        </w:r>
        <w:r>
          <w:rPr>
            <w:noProof/>
            <w:rtl/>
          </w:rPr>
          <w:tab/>
        </w:r>
        <w:r>
          <w:rPr>
            <w:noProof/>
            <w:rtl/>
          </w:rPr>
          <w:fldChar w:fldCharType="begin"/>
        </w:r>
        <w:r>
          <w:rPr>
            <w:noProof/>
            <w:rtl/>
          </w:rPr>
          <w:instrText xml:space="preserve"> PAGEREF _Toc200000073 \h </w:instrText>
        </w:r>
        <w:r>
          <w:rPr>
            <w:noProof/>
            <w:rtl/>
          </w:rPr>
          <w:fldChar w:fldCharType="separate"/>
        </w:r>
        <w:r>
          <w:rPr>
            <w:noProof/>
            <w:rtl/>
          </w:rPr>
          <w:t xml:space="preserve">۷۹</w:t>
        </w:r>
        <w:r>
          <w:rPr>
            <w:noProof/>
            <w:rtl/>
          </w:rPr>
          <w:fldChar w:fldCharType="end"/>
        </w:r>
      </w:hyperlink>
    </w:p>
    <w:p>
      <w:pPr>
        <w:pStyle w:val="TOC4"/>
        <w:bidi/>
      </w:pPr>
      <w:hyperlink w:anchor="_Toc200000074" w:history="1">
        <w:r>
          <w:rPr>
            <w:noProof/>
            <w:rtl/>
          </w:rPr>
          <w:t xml:space="preserve">جدول ۴-۱۶ وزن AHP سراسری و رتبه‌بندی گویه‌های چالش فروش</w:t>
        </w:r>
        <w:r>
          <w:rPr>
            <w:noProof/>
            <w:rtl/>
          </w:rPr>
          <w:tab/>
        </w:r>
        <w:r>
          <w:rPr>
            <w:noProof/>
            <w:rtl/>
          </w:rPr>
          <w:fldChar w:fldCharType="begin"/>
        </w:r>
        <w:r>
          <w:rPr>
            <w:noProof/>
            <w:rtl/>
          </w:rPr>
          <w:instrText xml:space="preserve"> PAGEREF _Toc200000074 \h </w:instrText>
        </w:r>
        <w:r>
          <w:rPr>
            <w:noProof/>
            <w:rtl/>
          </w:rPr>
          <w:fldChar w:fldCharType="separate"/>
        </w:r>
        <w:r>
          <w:rPr>
            <w:noProof/>
            <w:rtl/>
          </w:rPr>
          <w:t xml:space="preserve">۸۰</w:t>
        </w:r>
        <w:r>
          <w:rPr>
            <w:noProof/>
            <w:rtl/>
          </w:rPr>
          <w:fldChar w:fldCharType="end"/>
        </w:r>
      </w:hyperlink>
    </w:p>
    <w:p>
      <w:pPr>
        <w:pStyle w:val="TOC4"/>
        <w:bidi/>
      </w:pPr>
      <w:hyperlink w:anchor="_Toc200000081" w:history="1">
        <w:r>
          <w:rPr>
            <w:noProof/>
            <w:rtl/>
          </w:rPr>
          <w:t xml:space="preserve">جدول ۵-۱ نسبت مؤلفه‌های شناسایی‌شده با یافته‌های پژوهش‌های پیشین</w:t>
        </w:r>
        <w:r>
          <w:rPr>
            <w:noProof/>
            <w:rtl/>
          </w:rPr>
          <w:tab/>
        </w:r>
        <w:r>
          <w:rPr>
            <w:noProof/>
            <w:rtl/>
          </w:rPr>
          <w:fldChar w:fldCharType="begin"/>
        </w:r>
        <w:r>
          <w:rPr>
            <w:noProof/>
            <w:rtl/>
          </w:rPr>
          <w:instrText xml:space="preserve"> PAGEREF _Toc200000081 \h </w:instrText>
        </w:r>
        <w:r>
          <w:rPr>
            <w:noProof/>
            <w:rtl/>
          </w:rPr>
          <w:fldChar w:fldCharType="separate"/>
        </w:r>
        <w:r>
          <w:rPr>
            <w:noProof/>
            <w:rtl/>
          </w:rPr>
          <w:t xml:space="preserve">۸۸</w:t>
        </w:r>
        <w:r>
          <w:rPr>
            <w:noProof/>
            <w:rtl/>
          </w:rPr>
          <w:fldChar w:fldCharType="end"/>
        </w:r>
      </w:hyperlink>
      <w:r>
        <w:fldChar w:fldCharType="end"/>
      </w:r>
    </w:p>
    <w:p>
      <w:pPr>
        <w:pStyle w:val="FrontTitle"/>
        <w:pageBreakBefore/>
        <w:bidi/>
        <w:spacing w:after="240"/>
      </w:pPr>
      <w:r>
        <w:rPr>
          <w:rtl/>
        </w:rPr>
        <w:t xml:space="preserve">فهرست شکل‌ها و نمودارها</w:t>
      </w:r>
    </w:p>
    <w:p>
      <w:pPr>
        <w:pStyle w:val="TOC4"/>
        <w:bidi/>
      </w:pPr>
      <w:r>
        <w:fldChar w:fldCharType="begin"/>
      </w:r>
      <w:r>
        <w:instrText xml:space="preserve"> TOC \h \z \f F </w:instrText>
      </w:r>
      <w:r>
        <w:fldChar w:fldCharType="separate"/>
      </w:r>
      <w:hyperlink w:anchor="_Toc200000050" w:history="1">
        <w:r>
          <w:rPr>
            <w:noProof/>
            <w:rtl/>
          </w:rPr>
          <w:t xml:space="preserve">نمودار ۴-۱ نمودار دایره‌ای توزیع جایگاه شغلی اعضای پانل خبرگان</w:t>
        </w:r>
        <w:r>
          <w:rPr>
            <w:noProof/>
            <w:rtl/>
          </w:rPr>
          <w:tab/>
        </w:r>
        <w:r>
          <w:rPr>
            <w:noProof/>
            <w:rtl/>
          </w:rPr>
          <w:fldChar w:fldCharType="begin"/>
        </w:r>
        <w:r>
          <w:rPr>
            <w:noProof/>
            <w:rtl/>
          </w:rPr>
          <w:instrText xml:space="preserve"> PAGEREF _Toc200000050 \h </w:instrText>
        </w:r>
        <w:r>
          <w:rPr>
            <w:noProof/>
            <w:rtl/>
          </w:rPr>
          <w:fldChar w:fldCharType="separate"/>
        </w:r>
        <w:r>
          <w:rPr>
            <w:noProof/>
            <w:rtl/>
          </w:rPr>
          <w:t xml:space="preserve">۶۲</w:t>
        </w:r>
        <w:r>
          <w:rPr>
            <w:noProof/>
            <w:rtl/>
          </w:rPr>
          <w:fldChar w:fldCharType="end"/>
        </w:r>
      </w:hyperlink>
    </w:p>
    <w:p>
      <w:pPr>
        <w:pStyle w:val="TOC4"/>
        <w:bidi/>
      </w:pPr>
      <w:hyperlink w:anchor="_Toc200000052" w:history="1">
        <w:r>
          <w:rPr>
            <w:noProof/>
            <w:rtl/>
          </w:rPr>
          <w:t xml:space="preserve">نمودار ۴-۲ نمودار دایره‌ای توزیع سطح تحصیلات اعضای پانل خبرگان</w:t>
        </w:r>
        <w:r>
          <w:rPr>
            <w:noProof/>
            <w:rtl/>
          </w:rPr>
          <w:tab/>
        </w:r>
        <w:r>
          <w:rPr>
            <w:noProof/>
            <w:rtl/>
          </w:rPr>
          <w:fldChar w:fldCharType="begin"/>
        </w:r>
        <w:r>
          <w:rPr>
            <w:noProof/>
            <w:rtl/>
          </w:rPr>
          <w:instrText xml:space="preserve"> PAGEREF _Toc200000052 \h </w:instrText>
        </w:r>
        <w:r>
          <w:rPr>
            <w:noProof/>
            <w:rtl/>
          </w:rPr>
          <w:fldChar w:fldCharType="separate"/>
        </w:r>
        <w:r>
          <w:rPr>
            <w:noProof/>
            <w:rtl/>
          </w:rPr>
          <w:t xml:space="preserve">۶۳</w:t>
        </w:r>
        <w:r>
          <w:rPr>
            <w:noProof/>
            <w:rtl/>
          </w:rPr>
          <w:fldChar w:fldCharType="end"/>
        </w:r>
      </w:hyperlink>
    </w:p>
    <w:p>
      <w:pPr>
        <w:pStyle w:val="TOC4"/>
        <w:bidi/>
      </w:pPr>
      <w:hyperlink w:anchor="_Toc200000054" w:history="1">
        <w:r>
          <w:rPr>
            <w:noProof/>
            <w:rtl/>
          </w:rPr>
          <w:t xml:space="preserve">نمودار ۴-۳ نمودار دایره‌ای توزیع سابقه فعالیت اعضای پانل خبرگان</w:t>
        </w:r>
        <w:r>
          <w:rPr>
            <w:noProof/>
            <w:rtl/>
          </w:rPr>
          <w:tab/>
        </w:r>
        <w:r>
          <w:rPr>
            <w:noProof/>
            <w:rtl/>
          </w:rPr>
          <w:fldChar w:fldCharType="begin"/>
        </w:r>
        <w:r>
          <w:rPr>
            <w:noProof/>
            <w:rtl/>
          </w:rPr>
          <w:instrText xml:space="preserve"> PAGEREF _Toc200000054 \h </w:instrText>
        </w:r>
        <w:r>
          <w:rPr>
            <w:noProof/>
            <w:rtl/>
          </w:rPr>
          <w:fldChar w:fldCharType="separate"/>
        </w:r>
        <w:r>
          <w:rPr>
            <w:noProof/>
            <w:rtl/>
          </w:rPr>
          <w:t xml:space="preserve">۶۴</w:t>
        </w:r>
        <w:r>
          <w:rPr>
            <w:noProof/>
            <w:rtl/>
          </w:rPr>
          <w:fldChar w:fldCharType="end"/>
        </w:r>
      </w:hyperlink>
    </w:p>
    <w:p>
      <w:pPr>
        <w:pStyle w:val="TOC4"/>
        <w:bidi/>
      </w:pPr>
      <w:hyperlink w:anchor="_Toc200000056" w:history="1">
        <w:r>
          <w:rPr>
            <w:noProof/>
            <w:rtl/>
          </w:rPr>
          <w:t xml:space="preserve">نمودار ۴-۴ نمودار دایره‌ای توزیع نوع محصول شرکت محل فعالیت اعضای پانل</w:t>
        </w:r>
        <w:r>
          <w:rPr>
            <w:noProof/>
            <w:rtl/>
          </w:rPr>
          <w:tab/>
        </w:r>
        <w:r>
          <w:rPr>
            <w:noProof/>
            <w:rtl/>
          </w:rPr>
          <w:fldChar w:fldCharType="begin"/>
        </w:r>
        <w:r>
          <w:rPr>
            <w:noProof/>
            <w:rtl/>
          </w:rPr>
          <w:instrText xml:space="preserve"> PAGEREF _Toc200000056 \h </w:instrText>
        </w:r>
        <w:r>
          <w:rPr>
            <w:noProof/>
            <w:rtl/>
          </w:rPr>
          <w:fldChar w:fldCharType="separate"/>
        </w:r>
        <w:r>
          <w:rPr>
            <w:noProof/>
            <w:rtl/>
          </w:rPr>
          <w:t xml:space="preserve">۶۵</w:t>
        </w:r>
        <w:r>
          <w:rPr>
            <w:noProof/>
            <w:rtl/>
          </w:rPr>
          <w:fldChar w:fldCharType="end"/>
        </w:r>
      </w:hyperlink>
      <w:r>
        <w:fldChar w:fldCharType="end"/>
      </w:r>
    </w:p>
    <w:p>
      <w:pPr>
        <w:pStyle w:val="FrontTitle"/>
        <w:pageBreakBefore/>
        <w:bidi/>
        <w:spacing w:after="240"/>
      </w:pPr>
      <w:r>
        <w:rPr>
          <w:rtl/>
        </w:rPr>
        <w:t xml:space="preserve">فهرست نشانه‌نامه‌ها و کوته‌نوشت‌نامه‌ها</w:t>
      </w:r>
    </w:p>
    <w:p>
      <w:pPr>
        <w:bidi/>
        <w:spacing w:after="160"/>
        <w:ind w:firstLine="720"/>
        <w:jc w:val="both"/>
      </w:pPr>
      <w:r>
        <w:rPr>
          <w:rtl/>
        </w:rPr>
        <w:t xml:space="preserve">در این پایان‌نامه برای جلوگیری از تکرار عبارت‌ها و طولانی‌شدن متن، از نشانه‌ها و کوته‌نوشت‌های زیر استفاده شده است.</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000"/>
        <w:gridCol w:w="6788"/>
      </w:tblGrid>
      <w:tr>
        <w:trPr>
          <w:cantSplit/>
          <w:tblHeader/>
        </w:trPr>
        <w:tc>
          <w:tcPr>
            <w:tcW w:w="2000" w:type="dxa"/>
            <w:tcBorders>
              <w:top w:val="single" w:sz="4" w:color="000000" w:space="0"/>
              <w:left w:val="single" w:sz="4" w:color="000000" w:space="0"/>
              <w:bottom w:val="single" w:sz="4" w:color="000000" w:space="0"/>
              <w:right w:val="single" w:sz="4" w:color="000000" w:space="0"/>
            </w:tcBorders>
            <w:tcMar>
              <w:top w:w="60" w:type="dxa"/>
              <w:left w:w="100" w:type="dxa"/>
              <w:bottom w:w="60" w:type="dxa"/>
              <w:right w:w="100" w:type="dxa"/>
            </w:tcMar>
            <w:vAlign w:val="center"/>
          </w:tcPr>
          <w:p>
            <w:pPr>
              <w:bidi/>
              <w:spacing w:after="0"/>
              <w:jc w:val="center"/>
            </w:pPr>
            <w:r>
              <w:rPr>
                <w:b/>
                <w:bCs/>
                <w:sz w:val="24"/>
                <w:szCs w:val="24"/>
                <w:rtl/>
              </w:rPr>
              <w:t xml:space="preserve">نشانه</w:t>
            </w:r>
          </w:p>
        </w:tc>
        <w:tc>
          <w:tcPr>
            <w:tcW w:w="6788" w:type="dxa"/>
            <w:tcBorders>
              <w:top w:val="single" w:sz="4" w:color="000000" w:space="0"/>
              <w:left w:val="single" w:sz="4" w:color="000000" w:space="0"/>
              <w:bottom w:val="single" w:sz="4" w:color="000000" w:space="0"/>
              <w:right w:val="single" w:sz="4" w:color="000000" w:space="0"/>
            </w:tcBorders>
            <w:tcMar>
              <w:top w:w="60" w:type="dxa"/>
              <w:left w:w="100" w:type="dxa"/>
              <w:bottom w:w="60" w:type="dxa"/>
              <w:right w:w="100" w:type="dxa"/>
            </w:tcMar>
            <w:vAlign w:val="center"/>
          </w:tcPr>
          <w:p>
            <w:pPr>
              <w:bidi/>
              <w:spacing w:after="0"/>
            </w:pPr>
            <w:r>
              <w:rPr>
                <w:b/>
                <w:bCs/>
                <w:sz w:val="24"/>
                <w:szCs w:val="24"/>
                <w:rtl/>
              </w:rPr>
              <w:t xml:space="preserve">شرح</w:t>
            </w:r>
          </w:p>
        </w:tc>
      </w:tr>
      <w:tr>
        <w:trPr>
          <w:cantSplit/>
        </w:trPr>
        <w:tc>
          <w:tcPr>
            <w:tcW w:w="2000" w:type="dxa"/>
            <w:tcBorders>
              <w:top w:val="single" w:sz="4" w:color="000000" w:space="0"/>
              <w:left w:val="single" w:sz="4" w:color="000000" w:space="0"/>
              <w:bottom w:val="single" w:sz="4" w:color="000000" w:space="0"/>
              <w:right w:val="single" w:sz="4" w:color="000000" w:space="0"/>
            </w:tcBorders>
            <w:tcMar>
              <w:top w:w="60" w:type="dxa"/>
              <w:left w:w="100" w:type="dxa"/>
              <w:bottom w:w="60" w:type="dxa"/>
              <w:right w:w="100" w:type="dxa"/>
            </w:tcMar>
            <w:vAlign w:val="center"/>
          </w:tcPr>
          <w:p>
            <w:pPr>
              <w:bidi/>
              <w:spacing w:after="0"/>
              <w:jc w:val="center"/>
            </w:pPr>
            <w:r>
              <w:rPr>
                <w:rFonts w:ascii="Times New Roman" w:hAnsi="Times New Roman" w:cs="Times New Roman" w:eastAsia="Times New Roman"/>
                <w:i/>
                <w:iCs/>
                <w:sz w:val="24"/>
                <w:szCs w:val="24"/>
              </w:rPr>
              <w:t xml:space="preserve">W</w:t>
            </w:r>
          </w:p>
        </w:tc>
        <w:tc>
          <w:tcPr>
            <w:tcW w:w="6788" w:type="dxa"/>
            <w:tcBorders>
              <w:top w:val="single" w:sz="4" w:color="000000" w:space="0"/>
              <w:left w:val="single" w:sz="4" w:color="000000" w:space="0"/>
              <w:bottom w:val="single" w:sz="4" w:color="000000" w:space="0"/>
              <w:right w:val="single" w:sz="4" w:color="000000" w:space="0"/>
            </w:tcBorders>
            <w:tcMar>
              <w:top w:w="60" w:type="dxa"/>
              <w:left w:w="100" w:type="dxa"/>
              <w:bottom w:w="60" w:type="dxa"/>
              <w:right w:w="100" w:type="dxa"/>
            </w:tcMar>
            <w:vAlign w:val="center"/>
          </w:tcPr>
          <w:p>
            <w:pPr>
              <w:bidi/>
              <w:spacing w:after="0"/>
            </w:pPr>
            <w:r>
              <w:rPr>
                <w:sz w:val="24"/>
                <w:szCs w:val="24"/>
                <w:rtl/>
              </w:rPr>
              <w:t xml:space="preserve">ضریب هماهنگی کندال (</w:t>
            </w:r>
            <w:r>
              <w:rPr>
                <w:rFonts w:ascii="Times New Roman" w:hAnsi="Times New Roman" w:cs="Times New Roman" w:eastAsia="Times New Roman"/>
                <w:sz w:val="22"/>
                <w:szCs w:val="22"/>
              </w:rPr>
              <w:t xml:space="preserve">Kendall's coefficient of concordance</w:t>
            </w:r>
            <w:r>
              <w:rPr>
                <w:sz w:val="24"/>
                <w:szCs w:val="24"/>
                <w:rtl/>
              </w:rPr>
              <w:t xml:space="preserve">)</w:t>
            </w:r>
          </w:p>
        </w:tc>
      </w:tr>
      <w:tr>
        <w:trPr>
          <w:cantSplit/>
        </w:trPr>
        <w:tc>
          <w:tcPr>
            <w:tcW w:w="2000" w:type="dxa"/>
            <w:tcBorders>
              <w:top w:val="single" w:sz="4" w:color="000000" w:space="0"/>
              <w:left w:val="single" w:sz="4" w:color="000000" w:space="0"/>
              <w:bottom w:val="single" w:sz="4" w:color="000000" w:space="0"/>
              <w:right w:val="single" w:sz="4" w:color="000000" w:space="0"/>
            </w:tcBorders>
            <w:tcMar>
              <w:top w:w="60" w:type="dxa"/>
              <w:left w:w="100" w:type="dxa"/>
              <w:bottom w:w="60" w:type="dxa"/>
              <w:right w:w="100" w:type="dxa"/>
            </w:tcMar>
            <w:vAlign w:val="center"/>
          </w:tcPr>
          <w:p>
            <w:pPr>
              <w:bidi/>
              <w:spacing w:after="0"/>
              <w:jc w:val="center"/>
            </w:pPr>
            <w:r>
              <w:rPr>
                <w:rFonts w:ascii="Times New Roman" w:hAnsi="Times New Roman" w:cs="Times New Roman" w:eastAsia="Times New Roman"/>
                <w:i/>
                <w:iCs/>
                <w:sz w:val="24"/>
                <w:szCs w:val="24"/>
              </w:rPr>
              <w:t xml:space="preserve">rho</w:t>
            </w:r>
          </w:p>
        </w:tc>
        <w:tc>
          <w:tcPr>
            <w:tcW w:w="6788" w:type="dxa"/>
            <w:tcBorders>
              <w:top w:val="single" w:sz="4" w:color="000000" w:space="0"/>
              <w:left w:val="single" w:sz="4" w:color="000000" w:space="0"/>
              <w:bottom w:val="single" w:sz="4" w:color="000000" w:space="0"/>
              <w:right w:val="single" w:sz="4" w:color="000000" w:space="0"/>
            </w:tcBorders>
            <w:tcMar>
              <w:top w:w="60" w:type="dxa"/>
              <w:left w:w="100" w:type="dxa"/>
              <w:bottom w:w="60" w:type="dxa"/>
              <w:right w:w="100" w:type="dxa"/>
            </w:tcMar>
            <w:vAlign w:val="center"/>
          </w:tcPr>
          <w:p>
            <w:pPr>
              <w:bidi/>
              <w:spacing w:after="0"/>
            </w:pPr>
            <w:r>
              <w:rPr>
                <w:sz w:val="24"/>
                <w:szCs w:val="24"/>
                <w:rtl/>
              </w:rPr>
              <w:t xml:space="preserve">ضریب همبستگی رتبه‌ای اسپیرمن (</w:t>
            </w:r>
            <w:r>
              <w:rPr>
                <w:rFonts w:ascii="Times New Roman" w:hAnsi="Times New Roman" w:cs="Times New Roman" w:eastAsia="Times New Roman"/>
                <w:sz w:val="22"/>
                <w:szCs w:val="22"/>
              </w:rPr>
              <w:t xml:space="preserve">Spearman's rank correlation coefficient</w:t>
            </w:r>
            <w:r>
              <w:rPr>
                <w:sz w:val="24"/>
                <w:szCs w:val="24"/>
                <w:rtl/>
              </w:rPr>
              <w:t xml:space="preserve">)</w:t>
            </w:r>
          </w:p>
        </w:tc>
      </w:tr>
      <w:tr>
        <w:trPr>
          <w:cantSplit/>
        </w:trPr>
        <w:tc>
          <w:tcPr>
            <w:tcW w:w="2000" w:type="dxa"/>
            <w:tcBorders>
              <w:top w:val="single" w:sz="4" w:color="000000" w:space="0"/>
              <w:left w:val="single" w:sz="4" w:color="000000" w:space="0"/>
              <w:bottom w:val="single" w:sz="4" w:color="000000" w:space="0"/>
              <w:right w:val="single" w:sz="4" w:color="000000" w:space="0"/>
            </w:tcBorders>
            <w:tcMar>
              <w:top w:w="60" w:type="dxa"/>
              <w:left w:w="100" w:type="dxa"/>
              <w:bottom w:w="60" w:type="dxa"/>
              <w:right w:w="100" w:type="dxa"/>
            </w:tcMar>
            <w:vAlign w:val="center"/>
          </w:tcPr>
          <w:p>
            <w:pPr>
              <w:bidi/>
              <w:spacing w:after="0"/>
              <w:jc w:val="center"/>
            </w:pPr>
            <w:r>
              <w:rPr>
                <w:rFonts w:ascii="Times New Roman" w:hAnsi="Times New Roman" w:cs="Times New Roman" w:eastAsia="Times New Roman"/>
                <w:i/>
                <w:iCs/>
                <w:sz w:val="24"/>
                <w:szCs w:val="24"/>
              </w:rPr>
              <w:t xml:space="preserve">df</w:t>
            </w:r>
          </w:p>
        </w:tc>
        <w:tc>
          <w:tcPr>
            <w:tcW w:w="6788" w:type="dxa"/>
            <w:tcBorders>
              <w:top w:val="single" w:sz="4" w:color="000000" w:space="0"/>
              <w:left w:val="single" w:sz="4" w:color="000000" w:space="0"/>
              <w:bottom w:val="single" w:sz="4" w:color="000000" w:space="0"/>
              <w:right w:val="single" w:sz="4" w:color="000000" w:space="0"/>
            </w:tcBorders>
            <w:tcMar>
              <w:top w:w="60" w:type="dxa"/>
              <w:left w:w="100" w:type="dxa"/>
              <w:bottom w:w="60" w:type="dxa"/>
              <w:right w:w="100" w:type="dxa"/>
            </w:tcMar>
            <w:vAlign w:val="center"/>
          </w:tcPr>
          <w:p>
            <w:pPr>
              <w:bidi/>
              <w:spacing w:after="0"/>
            </w:pPr>
            <w:r>
              <w:rPr>
                <w:sz w:val="24"/>
                <w:szCs w:val="24"/>
                <w:rtl/>
              </w:rPr>
              <w:t xml:space="preserve">درجه آزادی (</w:t>
            </w:r>
            <w:r>
              <w:rPr>
                <w:rFonts w:ascii="Times New Roman" w:hAnsi="Times New Roman" w:cs="Times New Roman" w:eastAsia="Times New Roman"/>
                <w:sz w:val="22"/>
                <w:szCs w:val="22"/>
              </w:rPr>
              <w:t xml:space="preserve">degrees of freedom</w:t>
            </w:r>
            <w:r>
              <w:rPr>
                <w:sz w:val="24"/>
                <w:szCs w:val="24"/>
                <w:rtl/>
              </w:rPr>
              <w:t xml:space="preserve">)</w:t>
            </w:r>
          </w:p>
        </w:tc>
      </w:tr>
      <w:tr>
        <w:trPr>
          <w:cantSplit/>
        </w:trPr>
        <w:tc>
          <w:tcPr>
            <w:tcW w:w="2000" w:type="dxa"/>
            <w:tcBorders>
              <w:top w:val="single" w:sz="4" w:color="000000" w:space="0"/>
              <w:left w:val="single" w:sz="4" w:color="000000" w:space="0"/>
              <w:bottom w:val="single" w:sz="4" w:color="000000" w:space="0"/>
              <w:right w:val="single" w:sz="4" w:color="000000" w:space="0"/>
            </w:tcBorders>
            <w:tcMar>
              <w:top w:w="60" w:type="dxa"/>
              <w:left w:w="100" w:type="dxa"/>
              <w:bottom w:w="60" w:type="dxa"/>
              <w:right w:w="100" w:type="dxa"/>
            </w:tcMar>
            <w:vAlign w:val="center"/>
          </w:tcPr>
          <w:p>
            <w:pPr>
              <w:bidi/>
              <w:spacing w:after="0"/>
              <w:jc w:val="center"/>
            </w:pPr>
            <w:r>
              <w:rPr>
                <w:rFonts w:ascii="Times New Roman" w:hAnsi="Times New Roman" w:cs="Times New Roman" w:eastAsia="Times New Roman"/>
                <w:i/>
                <w:iCs/>
                <w:sz w:val="24"/>
                <w:szCs w:val="24"/>
              </w:rPr>
              <w:t xml:space="preserve">p</w:t>
            </w:r>
          </w:p>
        </w:tc>
        <w:tc>
          <w:tcPr>
            <w:tcW w:w="6788" w:type="dxa"/>
            <w:tcBorders>
              <w:top w:val="single" w:sz="4" w:color="000000" w:space="0"/>
              <w:left w:val="single" w:sz="4" w:color="000000" w:space="0"/>
              <w:bottom w:val="single" w:sz="4" w:color="000000" w:space="0"/>
              <w:right w:val="single" w:sz="4" w:color="000000" w:space="0"/>
            </w:tcBorders>
            <w:tcMar>
              <w:top w:w="60" w:type="dxa"/>
              <w:left w:w="100" w:type="dxa"/>
              <w:bottom w:w="60" w:type="dxa"/>
              <w:right w:w="100" w:type="dxa"/>
            </w:tcMar>
            <w:vAlign w:val="center"/>
          </w:tcPr>
          <w:p>
            <w:pPr>
              <w:bidi/>
              <w:spacing w:after="0"/>
            </w:pPr>
            <w:r>
              <w:rPr>
                <w:sz w:val="24"/>
                <w:szCs w:val="24"/>
                <w:rtl/>
              </w:rPr>
              <w:t xml:space="preserve">سطح معناداری آماری (</w:t>
            </w:r>
            <w:r>
              <w:rPr>
                <w:rFonts w:ascii="Times New Roman" w:hAnsi="Times New Roman" w:cs="Times New Roman" w:eastAsia="Times New Roman"/>
                <w:sz w:val="22"/>
                <w:szCs w:val="22"/>
              </w:rPr>
              <w:t xml:space="preserve">significance level</w:t>
            </w:r>
            <w:r>
              <w:rPr>
                <w:sz w:val="24"/>
                <w:szCs w:val="24"/>
                <w:rtl/>
              </w:rPr>
              <w:t xml:space="preserve">)</w:t>
            </w:r>
          </w:p>
        </w:tc>
      </w:tr>
      <w:tr>
        <w:trPr>
          <w:cantSplit/>
        </w:trPr>
        <w:tc>
          <w:tcPr>
            <w:tcW w:w="2000" w:type="dxa"/>
            <w:tcBorders>
              <w:top w:val="single" w:sz="4" w:color="000000" w:space="0"/>
              <w:left w:val="single" w:sz="4" w:color="000000" w:space="0"/>
              <w:bottom w:val="single" w:sz="4" w:color="000000" w:space="0"/>
              <w:right w:val="single" w:sz="4" w:color="000000" w:space="0"/>
            </w:tcBorders>
            <w:tcMar>
              <w:top w:w="60" w:type="dxa"/>
              <w:left w:w="100" w:type="dxa"/>
              <w:bottom w:w="60" w:type="dxa"/>
              <w:right w:w="100" w:type="dxa"/>
            </w:tcMar>
            <w:vAlign w:val="center"/>
          </w:tcPr>
          <w:p>
            <w:pPr>
              <w:bidi/>
              <w:spacing w:after="0"/>
              <w:jc w:val="center"/>
            </w:pPr>
            <w:r>
              <w:rPr>
                <w:rFonts w:ascii="Times New Roman" w:hAnsi="Times New Roman" w:cs="Times New Roman" w:eastAsia="Times New Roman"/>
                <w:i/>
                <w:iCs/>
                <w:sz w:val="24"/>
                <w:szCs w:val="24"/>
              </w:rPr>
              <w:t xml:space="preserve">m</w:t>
            </w:r>
          </w:p>
        </w:tc>
        <w:tc>
          <w:tcPr>
            <w:tcW w:w="6788" w:type="dxa"/>
            <w:tcBorders>
              <w:top w:val="single" w:sz="4" w:color="000000" w:space="0"/>
              <w:left w:val="single" w:sz="4" w:color="000000" w:space="0"/>
              <w:bottom w:val="single" w:sz="4" w:color="000000" w:space="0"/>
              <w:right w:val="single" w:sz="4" w:color="000000" w:space="0"/>
            </w:tcBorders>
            <w:tcMar>
              <w:top w:w="60" w:type="dxa"/>
              <w:left w:w="100" w:type="dxa"/>
              <w:bottom w:w="60" w:type="dxa"/>
              <w:right w:w="100" w:type="dxa"/>
            </w:tcMar>
            <w:vAlign w:val="center"/>
          </w:tcPr>
          <w:p>
            <w:pPr>
              <w:bidi/>
              <w:spacing w:after="0"/>
            </w:pPr>
            <w:r>
              <w:rPr>
                <w:sz w:val="24"/>
                <w:szCs w:val="24"/>
                <w:rtl/>
              </w:rPr>
              <w:t xml:space="preserve">شمار اعضای پانل (در فرمول ضریب کندال)</w:t>
            </w:r>
          </w:p>
        </w:tc>
      </w:tr>
      <w:tr>
        <w:trPr>
          <w:cantSplit/>
        </w:trPr>
        <w:tc>
          <w:tcPr>
            <w:tcW w:w="2000" w:type="dxa"/>
            <w:tcBorders>
              <w:top w:val="single" w:sz="4" w:color="000000" w:space="0"/>
              <w:left w:val="single" w:sz="4" w:color="000000" w:space="0"/>
              <w:bottom w:val="single" w:sz="4" w:color="000000" w:space="0"/>
              <w:right w:val="single" w:sz="4" w:color="000000" w:space="0"/>
            </w:tcBorders>
            <w:tcMar>
              <w:top w:w="60" w:type="dxa"/>
              <w:left w:w="100" w:type="dxa"/>
              <w:bottom w:w="60" w:type="dxa"/>
              <w:right w:w="100" w:type="dxa"/>
            </w:tcMar>
            <w:vAlign w:val="center"/>
          </w:tcPr>
          <w:p>
            <w:pPr>
              <w:bidi/>
              <w:spacing w:after="0"/>
              <w:jc w:val="center"/>
            </w:pPr>
            <w:r>
              <w:rPr>
                <w:rFonts w:ascii="Times New Roman" w:hAnsi="Times New Roman" w:cs="Times New Roman" w:eastAsia="Times New Roman"/>
                <w:i/>
                <w:iCs/>
                <w:sz w:val="24"/>
                <w:szCs w:val="24"/>
              </w:rPr>
              <w:t xml:space="preserve">n</w:t>
            </w:r>
          </w:p>
        </w:tc>
        <w:tc>
          <w:tcPr>
            <w:tcW w:w="6788" w:type="dxa"/>
            <w:tcBorders>
              <w:top w:val="single" w:sz="4" w:color="000000" w:space="0"/>
              <w:left w:val="single" w:sz="4" w:color="000000" w:space="0"/>
              <w:bottom w:val="single" w:sz="4" w:color="000000" w:space="0"/>
              <w:right w:val="single" w:sz="4" w:color="000000" w:space="0"/>
            </w:tcBorders>
            <w:tcMar>
              <w:top w:w="60" w:type="dxa"/>
              <w:left w:w="100" w:type="dxa"/>
              <w:bottom w:w="60" w:type="dxa"/>
              <w:right w:w="100" w:type="dxa"/>
            </w:tcMar>
            <w:vAlign w:val="center"/>
          </w:tcPr>
          <w:p>
            <w:pPr>
              <w:bidi/>
              <w:spacing w:after="0"/>
            </w:pPr>
            <w:r>
              <w:rPr>
                <w:sz w:val="24"/>
                <w:szCs w:val="24"/>
                <w:rtl/>
              </w:rPr>
              <w:t xml:space="preserve">شمار گویه‌های رتبه‌بندی‌شده (در فرمول ضریب کندال)</w:t>
            </w:r>
          </w:p>
        </w:tc>
      </w:tr>
      <w:tr>
        <w:trPr>
          <w:cantSplit/>
        </w:trPr>
        <w:tc>
          <w:tcPr>
            <w:tcW w:w="2000" w:type="dxa"/>
            <w:tcBorders>
              <w:top w:val="single" w:sz="4" w:color="000000" w:space="0"/>
              <w:left w:val="single" w:sz="4" w:color="000000" w:space="0"/>
              <w:bottom w:val="single" w:sz="4" w:color="000000" w:space="0"/>
              <w:right w:val="single" w:sz="4" w:color="000000" w:space="0"/>
            </w:tcBorders>
            <w:tcMar>
              <w:top w:w="60" w:type="dxa"/>
              <w:left w:w="100" w:type="dxa"/>
              <w:bottom w:w="60" w:type="dxa"/>
              <w:right w:w="100" w:type="dxa"/>
            </w:tcMar>
            <w:vAlign w:val="center"/>
          </w:tcPr>
          <w:p>
            <w:pPr>
              <w:bidi/>
              <w:spacing w:after="0"/>
              <w:jc w:val="center"/>
            </w:pPr>
            <w:r>
              <w:rPr>
                <w:sz w:val="24"/>
                <w:szCs w:val="24"/>
                <w:rtl/>
              </w:rPr>
              <w:t xml:space="preserve">خ۱ تا خ۷</w:t>
            </w:r>
          </w:p>
        </w:tc>
        <w:tc>
          <w:tcPr>
            <w:tcW w:w="6788" w:type="dxa"/>
            <w:tcBorders>
              <w:top w:val="single" w:sz="4" w:color="000000" w:space="0"/>
              <w:left w:val="single" w:sz="4" w:color="000000" w:space="0"/>
              <w:bottom w:val="single" w:sz="4" w:color="000000" w:space="0"/>
              <w:right w:val="single" w:sz="4" w:color="000000" w:space="0"/>
            </w:tcBorders>
            <w:tcMar>
              <w:top w:w="60" w:type="dxa"/>
              <w:left w:w="100" w:type="dxa"/>
              <w:bottom w:w="60" w:type="dxa"/>
              <w:right w:w="100" w:type="dxa"/>
            </w:tcMar>
            <w:vAlign w:val="center"/>
          </w:tcPr>
          <w:p>
            <w:pPr>
              <w:bidi/>
              <w:spacing w:after="0"/>
            </w:pPr>
            <w:r>
              <w:rPr>
                <w:sz w:val="24"/>
                <w:szCs w:val="24"/>
                <w:rtl/>
              </w:rPr>
              <w:t xml:space="preserve">کد اعضای پانل خبرگان (خبره ۱ تا خبره ۷)</w:t>
            </w:r>
          </w:p>
        </w:tc>
      </w:tr>
    </w:tbl>
    <w:p>
      <w:pPr>
        <w:spacing w:after="0" w:line="240" w:lineRule="auto"/>
        <w:sectPr>
          <w:footerReference w:type="default" r:id="rId6"/>
          <w:pgSz w:w="11906" w:h="16838"/>
          <w:pgMar w:top="1701" w:right="1701" w:bottom="1417" w:left="1417" w:header="709" w:footer="709" w:gutter="0"/>
          <w:pgNumType w:fmt="arabicAlpha" w:start="1"/>
          <w:cols w:space="720"/>
          <w:docGrid w:linePitch="360"/>
        </w:sectPr>
      </w:pPr>
    </w:p>
    <w:tbl>
      <w:tblPr>
        <w:tblW w:w="8788" w:type="dxa"/>
        <w:tblLayout w:type="fixed"/>
        <w:tblLook w:val="0000"/>
      </w:tblPr>
      <w:tblGrid>
        <w:gridCol w:w="8788"/>
      </w:tblGrid>
      <w:tr>
        <w:trPr>
          <w:cantSplit/>
          <w:trHeight w:val="12000" w:hRule="exact"/>
        </w:trPr>
        <w:tc>
          <w:tcPr>
            <w:tcW w:w="8788" w:type="dxa"/>
            <w:vAlign w:val="center"/>
          </w:tcPr>
          <w:p>
            <w:pPr>
              <w:pStyle w:val="Heading1"/>
              <w:bidi/>
              <w:jc w:val="center"/>
            </w:pPr>
            <w:bookmarkStart w:id="1" w:name="_Toc200000001"/>
            <w:r>
              <w:rPr>
                <w:rtl/>
              </w:rPr>
              <w:t xml:space="preserve">فصل اول: کلیات پژوهش</w:t>
            </w:r>
            <w:bookmarkEnd w:id="1"/>
          </w:p>
        </w:tc>
      </w:tr>
    </w:tbl>
    <w:p>
      <w:pPr>
        <w:pStyle w:val="Heading2"/>
        <w:keepNext/>
        <w:pageBreakBefore/>
        <w:bidi/>
        <w:spacing w:before="240" w:after="80"/>
      </w:pPr>
      <w:bookmarkStart w:id="2" w:name="_Toc200000002"/>
      <w:r>
        <w:t xml:space="preserve">۱ـ۱ مقدمه</w:t>
      </w:r>
      <w:bookmarkEnd w:id="2"/>
    </w:p>
    <w:p>
      <w:pPr>
        <w:bidi/>
        <w:spacing w:after="80"/>
        <w:ind w:firstLine="720"/>
        <w:jc w:val="both"/>
      </w:pPr>
      <w:r>
        <w:rPr>
          <w:rtl/>
        </w:rPr>
        <w:t xml:space="preserve">صنعت مواد غذایی یکی از ستون‌های اقتصاد کشور و بخش مهمی از اشتغال صنعتی است و ساختار آن بر بنگاه‌های کوچک و متوسط استوار است. در این میان، شرکت‌های تک‌محصولی که درآمدشان به یک محصول وابسته است، در برابر تغییرات بازار آسیب‌پذیرترند و امکان جبران افت فروش از </w:t>
      </w:r>
      <w:r>
        <w:rPr>
          <w:rtl/>
        </w:rPr>
        <w:t>محل سایر اقلام را ندارند. ادبیات داخلی، موانع فروش را بیشتر در سطح زنجیره تأمین مواد غذایی بررسی کرده و به این گروه ساختاری کمتر پرداخته است. این پژوهش با رویکردی اکتشافی و آمیخته، و با استفاده از روش دلفی، از طریق پانل هفت نفره‌ای از خبرگان که به روش نمون</w:t>
      </w:r>
      <w:r>
        <w:rPr>
          <w:rtl/>
        </w:rPr>
        <w:t>ه‌گیری هدفمند قضاوتی انتخاب شدند، چالش‌های فروش این بنگاه‌ها را شناسایی و در دورهای متوالی رتبه‌بندی و به اجماع می‌رساند.</w:t>
      </w:r>
    </w:p>
    <w:p>
      <w:pPr>
        <w:bidi/>
        <w:spacing w:after="80"/>
        <w:ind w:firstLine="720"/>
        <w:jc w:val="both"/>
      </w:pPr>
      <w:r>
        <w:rPr>
          <w:rtl/>
        </w:rPr>
        <w:t xml:space="preserve">سرتیترهای این فصل به ترتیب عبارت‌اند از: بیان مسئله، اهمیت و ضرورت پژوهش، اهداف پژوهش، پرسش‌های پژوهش، قلمروهای پژوهش و تعاریف مفهومی و عملیاتی.</w:t>
      </w:r>
    </w:p>
    <w:p>
      <w:pPr>
        <w:pStyle w:val="Heading2"/>
        <w:keepNext/>
        <w:bidi/>
        <w:spacing w:before="240" w:after="80"/>
      </w:pPr>
      <w:bookmarkStart w:id="3" w:name="_Toc200000003"/>
      <w:r>
        <w:t xml:space="preserve">۱ـ۲ بیان مسئله</w:t>
      </w:r>
      <w:bookmarkEnd w:id="3"/>
    </w:p>
    <w:p>
      <w:pPr>
        <w:bidi/>
        <w:spacing w:after="80"/>
        <w:ind w:firstLine="720"/>
        <w:jc w:val="both"/>
      </w:pPr>
      <w:r>
        <w:rPr>
          <w:rtl/>
        </w:rPr>
        <w:t>در زیست‌بوم رقابتی امروزی، پایداری سازمان‌ها مستلزم مدیریت هم‌زمان عملکرد فروش و تنوع سبد محصولات است. با این حال، سازمان‌ها همواره با دو چالش بنیادین روبه‌رو هستند؛ نخست،</w:t>
      </w:r>
      <w:r>
        <w:rPr>
          <w:rtl/>
        </w:rPr>
        <w:t xml:space="preserve"> چالش‌های عملیاتی در حوزه فروش که ناشی از عدم تطابق محصول با نیازهای متغیر بازار و پیچیدگی‌های چرخه تصمیم‌گیری مشتری است </w:t>
      </w:r>
      <w:r>
        <w:rPr>
          <w:rtl/>
        </w:rPr>
        <w:t xml:space="preserve">(کاتلر و همکاران، ۲۰۲۲)</w:t>
      </w:r>
      <w:r>
        <w:rPr>
          <w:rStyle w:val="FootnoteReference"/>
        </w:rPr>
        <w:footnoteReference w:id="1"/>
      </w:r>
      <w:r>
        <w:rPr>
          <w:rtl/>
        </w:rPr>
        <w:t xml:space="preserve">. دوم، ریسک‌های استراتژیک ناشی از تمرکز بر مدل‌های تک‌محصولی </w:t>
      </w:r>
      <w:r>
        <w:rPr>
          <w:rtl/>
        </w:rPr>
        <w:t xml:space="preserve">که سازمان را در برابر نوسانات محیطی آسیب‌پذیر می‌سازد، زیرا تنوع محصولی ریسک بنگاه را کاهش می‌دهد (مامن و همکاران، ۲۰۲۱)</w:t>
      </w:r>
      <w:r>
        <w:rPr>
          <w:rStyle w:val="FootnoteReference"/>
        </w:rPr>
        <w:footnoteReference w:id="2"/>
      </w:r>
      <w:r>
        <w:rPr>
          <w:rtl/>
        </w:rPr>
        <w:t>.</w:t>
      </w:r>
    </w:p>
    <w:p>
      <w:pPr>
        <w:bidi/>
        <w:spacing w:after="80"/>
        <w:ind w:firstLine="720"/>
        <w:jc w:val="both"/>
      </w:pPr>
      <w:r>
        <w:rPr>
          <w:rtl/>
        </w:rPr>
        <w:t xml:space="preserve">این ریسک ریشه‌ای ساختاری دارد </w:t>
      </w:r>
      <w:r>
        <w:rPr>
          <w:rtl/>
        </w:rPr>
        <w:t xml:space="preserve">و در بنگاه‌های تک‌محصولی، که از اثر کاهنده تنوع محصولی بر ریسک بی‌بهره‌اند، نمود می‌یابد (مامن و همکاران، ۲۰۲۱)</w:t>
      </w:r>
      <w:r>
        <w:rPr>
          <w:rStyle w:val="FootnoteReference"/>
        </w:rPr>
        <w:footnoteReference w:id="3"/>
      </w:r>
      <w:r>
        <w:rPr>
          <w:rtl/>
        </w:rPr>
        <w:t>.</w:t>
      </w:r>
    </w:p>
    <w:p>
      <w:pPr>
        <w:bidi/>
        <w:spacing w:after="80"/>
        <w:ind w:firstLine="720"/>
        <w:jc w:val="both"/>
      </w:pPr>
      <w:r>
        <w:rPr>
          <w:rtl/>
        </w:rPr>
        <w:t>شرکت‌های تک‌محصولی، در هر صنعتی، وضعیتی خاص دارند. این بنگاه‌ها با تکیه بر یک محصول اصلی، تمام فعالیت‌های</w:t>
      </w:r>
      <w:r>
        <w:rPr>
          <w:rtl/>
        </w:rPr>
        <w:t xml:space="preserve"> تولیدی، مالی، بازاریابی و فروش خود را سامان داده‌اند. این تمرکز از یک سو مزایایی دارد؛ </w:t>
      </w:r>
      <w:r>
        <w:rPr>
          <w:rtl/>
        </w:rPr>
        <w:t>تخصص عمیق در تولید، شناخت دقیق بازار هدف و بهینه‌سازی فرایندها. اما از سوی دیگر، آسیب‌پذیری ساختاری به همراه می‌آورد که در بنگاه‌های چندمحصولی وجود ندارد.</w:t>
      </w:r>
    </w:p>
    <w:p>
      <w:pPr>
        <w:bidi/>
        <w:spacing w:after="80"/>
        <w:ind w:firstLine="720"/>
        <w:jc w:val="both"/>
      </w:pPr>
      <w:r>
        <w:rPr>
          <w:rtl/>
        </w:rPr>
        <w:t>برای فهم دقیق</w:t>
      </w:r>
      <w:r>
        <w:rPr>
          <w:rtl/>
        </w:rPr>
        <w:t xml:space="preserve"> مسئله، باید میان سه سطح تفکیک قائل شد. در سطح ساختار، آنچه بنگاه تک‌محصولی را آسیب‌پذیر می‌کند، نبود سازوکار جبران درونی است. در بنگاه چندمحصولی، افت فروش یک قلم می‌تواند با رشد قلم دیگر خنثی شود؛ چنین سازوکاری در بنگاه تک‌محصولی وجود ندارد و هر تکانه، بد</w:t>
      </w:r>
      <w:r>
        <w:rPr>
          <w:rtl/>
        </w:rPr>
        <w:t>ون واسطه به کل سازمان منتقل می‌شود. مامن و همکاران (۲۰۲۱) نشان داده‌اند که تنوع محصولی ریسک بنگاه را کاهش می‌دهد، در حالی که تنوع جغرافیایی آن را افزایش می‌دهد</w:t>
      </w:r>
      <w:r>
        <w:rPr>
          <w:rStyle w:val="FootnoteReference"/>
        </w:rPr>
        <w:footnoteReference w:id="4"/>
      </w:r>
      <w:r>
        <w:rPr>
          <w:rtl/>
        </w:rPr>
        <w:t>.</w:t>
      </w:r>
    </w:p>
    <w:p>
      <w:pPr>
        <w:bidi/>
        <w:spacing w:after="80"/>
        <w:ind w:firstLine="720"/>
        <w:jc w:val="both"/>
      </w:pPr>
      <w:r>
        <w:rPr>
          <w:rtl/>
        </w:rPr>
        <w:t>در صنعت مواد غذایی، این آسیب‌پذیری شدت بیشتری می‌یابد. وابستگی مستقیم به محصولات کشاورزی و حس</w:t>
      </w:r>
      <w:r>
        <w:rPr>
          <w:rtl/>
        </w:rPr>
        <w:t xml:space="preserve">اسیت به شرایط اقلیمی و فصلی، ماندگاری محدود بسیاری از محصولات، الزامات بهداشتی و نظارتی سخت‌گیرانه، و حساسیت بالای مصرف‌کننده نسبت به قیمت و کیفیت، ویژگی‌هایی هستند که این صنعت را از سایر صنایع متمایز می‌کنند </w:t>
      </w:r>
      <w:r>
        <w:rPr>
          <w:rtl/>
        </w:rPr>
        <w:t xml:space="preserve">(برای الزامات نظارتی و ایمنی نک: مانگلا و همکاران، ۲۰۲۱)</w:t>
      </w:r>
      <w:r>
        <w:rPr>
          <w:rStyle w:val="FootnoteReference"/>
        </w:rPr>
        <w:footnoteReference w:id="5"/>
      </w:r>
      <w:r>
        <w:rPr>
          <w:rtl/>
        </w:rPr>
        <w:t>. از این رو، آسیب‌پذی</w:t>
      </w:r>
      <w:r>
        <w:rPr>
          <w:rtl/>
        </w:rPr>
        <w:t>ری ساختاری تک‌محصولی در این صنعت با فشارهای محیطی و عملیاتی ترکیب می‌شود و چالش فروش را پیچیده‌تر می‌کند.</w:t>
      </w:r>
    </w:p>
    <w:p>
      <w:pPr>
        <w:bidi/>
        <w:spacing w:after="80"/>
        <w:ind w:firstLine="720"/>
        <w:jc w:val="both"/>
      </w:pPr>
      <w:r>
        <w:rPr>
          <w:rtl/>
        </w:rPr>
        <w:t>در سطح محیط، بازار مواد غذایی ایران در سال‌های اخیر با مجموعه‌ای از فشارهای همزمان روبه‌رو بوده است: نوسان نرخ ارز و اثر آن بر بهای مواد اولیه و بسته‌</w:t>
      </w:r>
      <w:r>
        <w:rPr>
          <w:rtl/>
        </w:rPr>
        <w:t xml:space="preserve">بندی، محدودیت‌های مقطعی در تأمین و واردات، فشار بر قیمت‌گذاری، و کاهش قدرت خرید مصرف‌کننده. کریمی و همکاران (۱۴۰۳) در الگوی تحلیل اختلالات زنجیره تأمین مواد غذایی، </w:t>
      </w:r>
      <w:r>
        <w:rPr>
          <w:rtl/>
        </w:rPr>
        <w:t xml:space="preserve">اختلال‌ها (از جمله اختلال طبیعی و اقتصادی) را به تاب‌آوری این زنجیره و در نهایت به اعتماد و موقعیت بازاری آن مرتبط دانستند</w:t>
      </w:r>
      <w:r>
        <w:rPr>
          <w:rtl/>
        </w:rPr>
        <w:t xml:space="preserve">.</w:t>
      </w:r>
    </w:p>
    <w:p>
      <w:pPr>
        <w:bidi/>
        <w:spacing w:after="80"/>
        <w:ind w:firstLine="720"/>
        <w:jc w:val="both"/>
      </w:pPr>
      <w:r>
        <w:rPr>
          <w:rtl/>
        </w:rPr>
        <w:t>در سطح عمل</w:t>
      </w:r>
      <w:r>
        <w:rPr>
          <w:rtl/>
        </w:rPr>
        <w:t xml:space="preserve">یات، مسئله به شکل دیگری بروز می‌کند. اسکندری و همکاران (۱۴۰۴) در بررسی موانع حوزه فروش در زنجیره تأمین مواد غذایی ایران دریافتند که پیش‌بینی نادرست تقاضا و نبود اعتبار مالی از مهم‌ترین تهدیدهای فروش در این صنعت به شمار می‌روند. </w:t>
      </w:r>
      <w:r>
        <w:rPr>
          <w:rtl/>
        </w:rPr>
        <w:t xml:space="preserve">صفری و اسماعیل‌نژاد (۱۴۰۳) با روش بهترین-بدترین و تودیم فازی، موانع فروش محصولات سبز را، که با شکاف میان نگرش مثبت مصرف‌کننده و رفتار خرید واقعی او همراه است، اولویت‌بندی کرده‌اند</w:t>
      </w:r>
      <w:r>
        <w:rPr>
          <w:rtl/>
        </w:rPr>
        <w:t xml:space="preserve">. </w:t>
      </w:r>
      <w:r>
        <w:rPr>
          <w:rtl/>
        </w:rPr>
        <w:t xml:space="preserve">زین و همکاران (۲۰۲۴)</w:t>
      </w:r>
      <w:r>
        <w:rPr>
          <w:rStyle w:val="FootnoteReference"/>
        </w:rPr>
        <w:footnoteReference w:id="6"/>
      </w:r>
      <w:r>
        <w:rPr>
          <w:rtl/>
        </w:rPr>
        <w:t xml:space="preserve"> </w:t>
      </w:r>
      <w:r>
        <w:rPr>
          <w:rtl/>
        </w:rPr>
        <w:t xml:space="preserve">در مطالعه‌ای کیفی بر پنج بنگاه کوچک و متوسط غذایی و نوشیدنی مالزی، موانع و پیش‌برنده‌های اجرای مدیریت زنجیره تأمین سبز را بررسی کرده و کمبود دانش و ضعف اشتراک اطلاعات را از مهم‌ترین موانع گزارش کرده‌اند</w:t>
      </w:r>
      <w:r>
        <w:rPr>
          <w:rtl/>
        </w:rPr>
        <w:t xml:space="preserve">.</w:t>
      </w:r>
    </w:p>
    <w:p>
      <w:pPr>
        <w:bidi/>
        <w:spacing w:after="80"/>
        <w:ind w:firstLine="720"/>
        <w:jc w:val="both"/>
      </w:pPr>
      <w:r>
        <w:rPr>
          <w:rtl/>
        </w:rPr>
        <w:t>نک</w:t>
      </w:r>
      <w:r>
        <w:rPr>
          <w:rtl/>
        </w:rPr>
        <w:t>ته کلیدی این است که این سه سطح مستقل از هم عمل نمی‌کنند. فشار محیطی، ضعف عملیاتی را آشکار می‌کند و ساختار متمرکز، هر دو را تشدید می‌نماید. این دو چالش زمانی با هم تلاقی می‌یابند که محدودیت‌های ساختاری مدل تک‌محصولی مانع از توانایی سازمان در پاسخگویی به چال</w:t>
      </w:r>
      <w:r>
        <w:rPr>
          <w:rtl/>
        </w:rPr>
        <w:t>ش‌های فروش شود. نتیجه، بن‌بستی استراتژیک است: سازمان نه قدرت بازاریابی برای محصولات فعلی را دارد و نه انعطاف‌پذیری لازم برای ورود به بازارهای جدید را. بنگاهی که هم‌زمان با نوسان تأمین، تغییر ذائقه مصرف‌کننده و ورود رقیب تازه روبه‌روست و تنها یک محصول دارد،</w:t>
      </w:r>
      <w:r>
        <w:rPr>
          <w:rtl/>
        </w:rPr>
        <w:t xml:space="preserve"> نه فرصت جبران دارد و نه فضای مانور. پیامد این بن‌بست، کاهش سهم بازار و افت نرخ رشد است؛ زیرا شرکت‌های تک‌محصولی در مواجهه با تغییرات بازار، فاقد ابزارهای بازاریابی متنوع برای جبران افت فروش محصول اصلی خود هستند. همین برهم‌کنش است که مسئله پژوهش حاضر را از</w:t>
      </w:r>
      <w:r>
        <w:rPr>
          <w:rtl/>
        </w:rPr>
        <w:t xml:space="preserve"> یک مسئله عمومی بازاریابی متمایز می‌کند.</w:t>
      </w:r>
    </w:p>
    <w:p>
      <w:pPr>
        <w:pStyle w:val="Heading2"/>
        <w:keepNext/>
        <w:bidi/>
        <w:spacing w:before="240" w:after="80"/>
      </w:pPr>
      <w:bookmarkStart w:id="4" w:name="_Toc200000004"/>
      <w:r>
        <w:t xml:space="preserve">۱ـ۳ اهمیت و ضرورت</w:t>
      </w:r>
      <w:bookmarkEnd w:id="4"/>
    </w:p>
    <w:p>
      <w:pPr>
        <w:bidi/>
        <w:spacing w:after="80"/>
        <w:ind w:firstLine="720"/>
        <w:jc w:val="both"/>
      </w:pPr>
      <w:r>
        <w:rPr>
          <w:rtl/>
        </w:rPr>
        <w:t xml:space="preserve">اهمیت پژوهش حاضر در تلاقی نیازهای علمی، مدیریتی و ساختاری صنعت مواد غذایی نهفته است. از منظر علمی، این مطالعه با تمرکز بر </w:t>
      </w:r>
      <w:r>
        <w:rPr>
          <w:rtl/>
        </w:rPr>
        <w:t>بنگاه‌های تک‌محصولی</w:t>
      </w:r>
      <w:r>
        <w:rPr>
          <w:rtl/>
        </w:rPr>
        <w:t xml:space="preserve"> به‌عنوان یک واحد تحلیل متمایز، شکاف موجود در ادبیات م</w:t>
      </w:r>
      <w:r>
        <w:rPr>
          <w:rtl/>
        </w:rPr>
        <w:t xml:space="preserve">دیریت فروش ایران را هدف قرار می‌دهد؛ چرا که این نوع بنگاه‌ها به‌دلیل ویژگی‌های ساختاری خاص، فراتر از مدل‌های عمومی مدیریت فروش قابل تحلیل هستند. برخلاف مطالعاتی که بر پایه </w:t>
      </w:r>
      <w:r>
        <w:rPr>
          <w:rtl/>
        </w:rPr>
        <w:t xml:space="preserve">مدل‌های کلی پیش‌ساخته</w:t>
      </w:r>
      <w:r>
        <w:rPr>
          <w:rtl/>
        </w:rPr>
        <w:t xml:space="preserve"> بنا شده‌اند، استخراج چالش‌ها از دل روایت‌های تجربی خبرگان، امکا</w:t>
      </w:r>
      <w:r>
        <w:rPr>
          <w:rtl/>
        </w:rPr>
        <w:t xml:space="preserve">ن شناسایی پدیده‌های نوظهور و دیده‌نشده‌ای را فراهم می‌آورد که در مدل‌های استاندارد لحاظ نشده‌اند. این رویکرد، در امتداد یافته‌هایی همچون پژوهش کنعانی (۱۳۹۴) که عوامل مؤثر بر بازاریابی و فروش محصول جدید در کسب‌وکارهای کوچک و متوسط حوزه زیست‌فناوری غذایی را </w:t>
      </w:r>
      <w:r>
        <w:rPr>
          <w:rtl/>
        </w:rPr>
        <w:t xml:space="preserve">اولویت‌بندی کرده است، </w:t>
      </w:r>
      <w:r>
        <w:rPr>
          <w:rtl/>
        </w:rPr>
        <w:t xml:space="preserve">به غنای دانش مدیریت فروش می‌افزاید. روش دلفی که این رویکرد بر آن استوار است، برای شناسایی و رتبه‌بندی مسائل مدیریتی به کار رفته است؛ اوکولی و پاولوفسکی (۲۰۰۴)</w:t>
      </w:r>
      <w:r>
        <w:rPr>
          <w:rStyle w:val="FootnoteReference"/>
        </w:rPr>
        <w:footnoteReference w:id="7"/>
      </w:r>
      <w:r>
        <w:rPr>
          <w:rtl/>
        </w:rPr>
        <w:t xml:space="preserve"> یادآور شدند که بسیاری از پژوهش‌های سامانه‌های اطلاعاتی، که این روش را به کار برده‌اند، فاقد روال نظام‌مند بوده‌اند؛ از این رو راهنمایی‌هایی برای انتخاب خبرگان و تصمیم‌های طراحی ارائه کرده‌اند</w:t>
      </w:r>
      <w:r>
        <w:rPr>
          <w:rtl/>
        </w:rPr>
        <w:t xml:space="preserve">.</w:t>
      </w:r>
    </w:p>
    <w:p>
      <w:pPr>
        <w:bidi/>
        <w:spacing w:after="80"/>
        <w:ind w:firstLine="720"/>
        <w:jc w:val="both"/>
      </w:pPr>
      <w:r>
        <w:rPr>
          <w:rtl/>
        </w:rPr>
        <w:t>این ضرورت علمی، مستقیماً به نیازهای کاربردی مدیران این بنگاه‌ها پیوند می‌خورد. در محیط‌های تجاری با منابع محدود، مدیریت آگاهانه مستلزم آن است که چالش‌ها نه به‌صورت پراکنده، بلکه بر اساس اولویت و اثر</w:t>
      </w:r>
      <w:r>
        <w:rPr>
          <w:rtl/>
        </w:rPr>
        <w:t>گذاری شناسایی شوند. فهرست مرتب‌شده چالش‌ها در دو سطح گویه و مؤلفه، و تفکیک آن‌ها به درون‌سازمانی و برون‌سازمانی، ابزاری برای تخصیص آگاهانه منابع و انتخاب میان راهبرد اصلاح و راهبرد تاب‌آوری فراهم می‌کند، تا مدیران به‌جای مواجهه با مجموعه‌ای از مشکلات هم‌زم</w:t>
      </w:r>
      <w:r>
        <w:rPr>
          <w:rtl/>
        </w:rPr>
        <w:t xml:space="preserve">ان، بر </w:t>
      </w:r>
      <w:r>
        <w:rPr>
          <w:rtl/>
        </w:rPr>
        <w:t>گلوگاه‌های تعیین‌کننده</w:t>
      </w:r>
      <w:r>
        <w:t xml:space="preserve"> </w:t>
      </w:r>
      <w:r>
        <w:rPr>
          <w:rtl/>
        </w:rPr>
        <w:t>تمرکز کنند. این ضرورت در راستای مطالعاتی نظیر پژوهش محمدی و ثانی‌حیدری (۱۳۹۵) قرار می‌گیرد که در شهر مشهد عوامل مؤثر بر انتخاب نوع استراتژی بازاریابی محصولات صنایع غذایی را در مراحل رشد و معرفی محصول بررسی کرده است؛ موضوعی ک</w:t>
      </w:r>
      <w:r>
        <w:rPr>
          <w:rtl/>
        </w:rPr>
        <w:t>ه تناسب راهبرد بازاریابی با مرحله چرخه عمر محصول را در تصمیم‌ها مطرح می‌کند.</w:t>
      </w:r>
    </w:p>
    <w:p>
      <w:pPr>
        <w:bidi/>
        <w:spacing w:after="80"/>
        <w:ind w:firstLine="720"/>
        <w:jc w:val="both"/>
      </w:pPr>
      <w:r>
        <w:rPr>
          <w:rtl/>
        </w:rPr>
        <w:t xml:space="preserve">از منظر اقتصاد صنعتی نیز، تمرکز فروش بر یک محصول پیامد مشخصی دارد. برنارد و همکاران (۲۰۱۰)</w:t>
      </w:r>
      <w:r>
        <w:rPr>
          <w:rStyle w:val="FootnoteReference"/>
        </w:rPr>
        <w:footnoteReference w:id="8"/>
      </w:r>
      <w:r>
        <w:rPr>
          <w:rtl/>
        </w:rPr>
        <w:t xml:space="preserve"> نشان دادند که بنگاه‌های چندمحصولی به‌طور مداوم سبد محصولات خود را با افزودن و حذف اقلام تغییر می‌دهند؛ سازوکاری که بنگاه تک‌محصولی از آن بی‌بهره است. افزون بر این، گابیکس (۲۰۱۱)</w:t>
      </w:r>
      <w:r>
        <w:rPr>
          <w:rStyle w:val="FootnoteReference"/>
        </w:rPr>
        <w:footnoteReference w:id="9"/>
      </w:r>
      <w:r>
        <w:rPr>
          <w:rtl/>
        </w:rPr>
        <w:t xml:space="preserve"> نشان داده است که تکانه‌های خاص شماری از بنگاه‌های بزرگ می‌توانند بخشی از نوسان‌های کلان را توضیح دهند؛ از این منظر، آسیب‌پذیری بنگاه‌های متمرکز اهمیتی فراتر از سطح یک بنگاه دارد.</w:t>
      </w:r>
    </w:p>
    <w:p>
      <w:pPr>
        <w:bidi/>
        <w:spacing w:after="80"/>
        <w:ind w:firstLine="720"/>
        <w:jc w:val="both"/>
      </w:pPr>
      <w:r>
        <w:rPr>
          <w:rtl/>
        </w:rPr>
        <w:t xml:space="preserve">در نهایت، اهمیت این پژوهش از ابعاد کلان نیز قابل چشم‌پوشی نیست؛ چرا که پایداری عملیاتی بنگاه‌های تک‌محصولی در صنعت مواد غذایی، مستقیماً با امنیت غذایی و ثبات زنجیره تأمین کشور گره خورده است. با توجه به نقش این بنگاه‌ها در اشتغال و زنجیره ارزش تولید، شناخت </w:t>
      </w:r>
      <w:r>
        <w:rPr>
          <w:rtl/>
        </w:rPr>
        <w:t>اولویت‌دار چالش‌های آن‌ها می‌تواند از آسیب‌های اقتصادی ناشی از شکست بنگاه‌های کوچک جلوگیری کند. همچنین، این شناخت زیربنای لازم را برای طراحی سیاست‌های حمایتی هدفمند فراهم می‌آورد؛ به‌گونه‌ای که مداخلات نهادهای حاکمیتی به‌جای صرف منابع در رفع مشکلات فرعی، ب</w:t>
      </w:r>
      <w:r>
        <w:rPr>
          <w:rtl/>
        </w:rPr>
        <w:t>ر پایداری ساختاری و اقتصادی این بنگاه‌ها متمرکز گردد. بر همین پایه، پژوهش حاضر اهداف زیر را دنبال می‌کند.</w:t>
      </w:r>
    </w:p>
    <w:p>
      <w:pPr>
        <w:pStyle w:val="Heading2"/>
        <w:keepNext/>
        <w:bidi/>
        <w:spacing w:before="240" w:after="80"/>
      </w:pPr>
      <w:bookmarkStart w:id="5" w:name="_Toc200000005"/>
      <w:r>
        <w:t xml:space="preserve">۱ـ۴ اهداف تحقیق</w:t>
      </w:r>
      <w:bookmarkEnd w:id="5"/>
    </w:p>
    <w:p>
      <w:pPr>
        <w:pStyle w:val="ListParagraph"/>
        <w:numPr>
          <w:ilvl w:val="0"/>
          <w:numId w:val="1"/>
        </w:numPr>
        <w:bidi/>
        <w:spacing w:after="80"/>
        <w:jc w:val="both"/>
      </w:pPr>
      <w:r>
        <w:rPr>
          <w:rtl/>
        </w:rPr>
        <w:t>شناسایی چالش‌های فروش در شرکت‌های تک‌محصولی فعال در صنعت مواد غذایی.</w:t>
      </w:r>
    </w:p>
    <w:p>
      <w:pPr>
        <w:pStyle w:val="ListParagraph"/>
        <w:numPr>
          <w:ilvl w:val="0"/>
          <w:numId w:val="1"/>
        </w:numPr>
        <w:bidi/>
        <w:spacing w:after="80"/>
        <w:jc w:val="both"/>
      </w:pPr>
      <w:r>
        <w:rPr>
          <w:rtl/>
        </w:rPr>
        <w:t>اولویت‌بندی چالش‌های فروش در شرکت‌های تک‌محصولی فعال در صنعت مواد</w:t>
      </w:r>
      <w:r>
        <w:rPr>
          <w:rtl/>
        </w:rPr>
        <w:t xml:space="preserve"> غذایی.</w:t>
      </w:r>
    </w:p>
    <w:p>
      <w:pPr>
        <w:pStyle w:val="Heading2"/>
        <w:keepNext/>
        <w:bidi/>
        <w:spacing w:before="240" w:after="80"/>
      </w:pPr>
      <w:bookmarkStart w:id="6" w:name="_Toc200000006"/>
      <w:r>
        <w:t xml:space="preserve">۱ـ۵ پرسش‌های تحقیق</w:t>
      </w:r>
      <w:bookmarkEnd w:id="6"/>
    </w:p>
    <w:p>
      <w:pPr>
        <w:pStyle w:val="ListParagraph"/>
        <w:numPr>
          <w:ilvl w:val="0"/>
          <w:numId w:val="2"/>
        </w:numPr>
        <w:bidi/>
        <w:spacing w:after="80"/>
        <w:jc w:val="both"/>
      </w:pPr>
      <w:r>
        <w:rPr>
          <w:rtl/>
        </w:rPr>
        <w:t>چالش‌های فروش در شرکت‌های تک‌محصولی فعال در صنعت مواد غذایی کدام‌اند؟</w:t>
      </w:r>
    </w:p>
    <w:p>
      <w:pPr>
        <w:pStyle w:val="ListParagraph"/>
        <w:numPr>
          <w:ilvl w:val="0"/>
          <w:numId w:val="2"/>
        </w:numPr>
        <w:bidi/>
        <w:spacing w:after="80"/>
        <w:jc w:val="both"/>
      </w:pPr>
      <w:r>
        <w:rPr>
          <w:rtl/>
        </w:rPr>
        <w:t>اولویت چالش‌های فروش در شرکت‌های تک‌محصولی فعال در صنعت مواد غذایی چگونه است؟</w:t>
      </w:r>
    </w:p>
    <w:p>
      <w:pPr>
        <w:pStyle w:val="Heading2"/>
        <w:keepNext/>
        <w:bidi/>
        <w:spacing w:before="240" w:after="80"/>
      </w:pPr>
      <w:bookmarkStart w:id="7" w:name="_Toc200000007"/>
      <w:r>
        <w:t xml:space="preserve">۱ـ۶ قلمروهای تحقیق</w:t>
      </w:r>
      <w:bookmarkEnd w:id="7"/>
    </w:p>
    <w:p>
      <w:pPr>
        <w:pStyle w:val="Heading3"/>
        <w:keepNext/>
        <w:bidi/>
        <w:spacing w:before="180" w:after="80"/>
      </w:pPr>
      <w:bookmarkStart w:id="8" w:name="_Toc200000008"/>
      <w:r>
        <w:t xml:space="preserve">۱ـ۶ـ۱ قلمرو موضوعی</w:t>
      </w:r>
      <w:bookmarkEnd w:id="8"/>
    </w:p>
    <w:p>
      <w:pPr>
        <w:bidi/>
        <w:spacing w:after="80"/>
        <w:ind w:firstLine="720"/>
        <w:jc w:val="both"/>
      </w:pPr>
      <w:r>
        <w:rPr>
          <w:rtl/>
        </w:rPr>
        <w:t>این پژوهش در حوزه مدیریت بازرگانی با گرایش مدیریت استراتژیک انجام شده و به‌طور مشخص بر شناسایی و اولویت‌بندی چالش‌های فروش متمرکز است.</w:t>
      </w:r>
    </w:p>
    <w:p>
      <w:pPr>
        <w:pStyle w:val="Heading3"/>
        <w:keepNext/>
        <w:bidi/>
        <w:spacing w:before="180" w:after="80"/>
      </w:pPr>
      <w:bookmarkStart w:id="9" w:name="_Toc200000009"/>
      <w:r>
        <w:t xml:space="preserve">۱ـ۶ـ۲ قلمرو مکانی</w:t>
      </w:r>
      <w:bookmarkEnd w:id="9"/>
    </w:p>
    <w:p>
      <w:pPr>
        <w:bidi/>
        <w:spacing w:after="80"/>
        <w:ind w:firstLine="720"/>
        <w:jc w:val="both"/>
      </w:pPr>
      <w:r>
        <w:rPr>
          <w:rtl/>
        </w:rPr>
        <w:t>قلمرو مکانی پژوهش، شرکت‌های تک‌محصولی فعال در صنعت مواد غذایی استان‌های ایران از جمله خراسان رضوی است.</w:t>
      </w:r>
    </w:p>
    <w:p>
      <w:pPr>
        <w:pStyle w:val="Heading3"/>
        <w:keepNext/>
        <w:bidi/>
        <w:spacing w:before="180" w:after="80"/>
      </w:pPr>
      <w:bookmarkStart w:id="10" w:name="_Toc200000010"/>
      <w:r>
        <w:t xml:space="preserve">۱ـ۶ـ۳ قلمرو زمانی</w:t>
      </w:r>
      <w:bookmarkEnd w:id="10"/>
    </w:p>
    <w:p>
      <w:pPr>
        <w:bidi/>
        <w:spacing w:after="80"/>
        <w:ind w:firstLine="720"/>
        <w:jc w:val="both"/>
      </w:pPr>
      <w:r>
        <w:rPr>
          <w:rtl/>
        </w:rPr>
        <w:t>داده‌های میدانی این پژوهش در بازه زمانی اردیبهشت تا پایان شهریورماه سال ۱۴۰۵ گردآوری شد.</w:t>
      </w:r>
    </w:p>
    <w:p>
      <w:pPr>
        <w:pStyle w:val="Heading2"/>
        <w:keepNext/>
        <w:bidi/>
        <w:spacing w:before="240" w:after="80"/>
      </w:pPr>
      <w:bookmarkStart w:id="11" w:name="_Toc200000011"/>
      <w:r>
        <w:t xml:space="preserve">۱ـ۷ تعاریف مفهومی و عملیاتی</w:t>
      </w:r>
      <w:bookmarkEnd w:id="11"/>
    </w:p>
    <w:p>
      <w:pPr>
        <w:pStyle w:val="Heading3"/>
        <w:keepNext/>
        <w:bidi/>
        <w:spacing w:before="180" w:after="80"/>
      </w:pPr>
      <w:bookmarkStart w:id="12" w:name="_Toc200000012"/>
      <w:r>
        <w:t xml:space="preserve">۱ـ۷ـ۱ فروش</w:t>
      </w:r>
      <w:bookmarkEnd w:id="12"/>
    </w:p>
    <w:p>
      <w:pPr>
        <w:bidi/>
        <w:spacing w:after="80"/>
        <w:ind w:firstLine="720"/>
        <w:jc w:val="both"/>
      </w:pPr>
      <w:r>
        <w:rPr>
          <w:rtl/>
        </w:rPr>
        <w:t xml:space="preserve">تعریف مفهومی: فروش فرایندی است که در آن بنگاه اقتصادی از طریق ارتباط مستقیم یا غیرمستقیم با مشتری، محصول یا خدمت خود را در ازای دریافت ارزش، معمولاً پول، به او منتقل می‌کند. در تعریف گسترده‌تر، فروش پیامد هماهنگی آمیخته بازاریابی است (کاتلر و کلر، ۲۰۱۶)</w:t>
      </w:r>
      <w:r>
        <w:rPr>
          <w:rStyle w:val="FootnoteReference"/>
        </w:rPr>
        <w:footnoteReference w:id="10"/>
      </w:r>
      <w:r>
        <w:rPr>
          <w:rtl/>
        </w:rPr>
        <w:t xml:space="preserve">.</w:t>
      </w:r>
    </w:p>
    <w:p>
      <w:pPr>
        <w:pStyle w:val="Heading3"/>
        <w:keepNext/>
        <w:bidi/>
        <w:spacing w:before="180" w:after="80"/>
      </w:pPr>
      <w:bookmarkStart w:id="13" w:name="_Toc200000013"/>
      <w:r>
        <w:t xml:space="preserve">۱ـ۷ـ۲ شرکت تک‌محصولی</w:t>
      </w:r>
      <w:bookmarkEnd w:id="13"/>
    </w:p>
    <w:p>
      <w:pPr>
        <w:bidi/>
        <w:spacing w:after="80"/>
        <w:ind w:firstLine="720"/>
        <w:jc w:val="both"/>
        <w:sectPr>
          <w:footerReference w:type="default" r:id="rId6"/>
          <w:footerReference w:type="first" r:id="rId5"/>
          <w:pgSz w:w="11906" w:h="16838"/>
          <w:pgMar w:top="1701" w:right="1701" w:bottom="1417" w:left="1417" w:header="709" w:footer="709" w:gutter="0"/>
          <w:pgNumType w:fmt="decimal"/>
          <w:cols w:space="720"/>
          <w:titlePg/>
          <w:docGrid w:linePitch="360"/>
        </w:sectPr>
      </w:pPr>
      <w:r>
        <w:rPr>
          <w:rtl/>
        </w:rPr>
        <w:t xml:space="preserve">تعریف مفهومی: شرکت تک‌محصولی بنگاهی است که دامنه فعالیت تولیدی و درآمدی آن بر یک محصول اصلی متمرکز است. ویژگی تعیین‌کننده چنین بنگاهی، نبود سازوکار جبران درونی در برابر افت فروش آن محصول است. رابطه تنوع‌یابی با عملکرد بنگاه در ادبیات مدیریت استراتژیک سال‌هاست موضوع پژوهش بوده است (شومر و همکاران، ۲۰۱۹)</w:t>
      </w:r>
      <w:r>
        <w:rPr>
          <w:rStyle w:val="FootnoteReference"/>
        </w:rPr>
        <w:footnoteReference w:id="11"/>
      </w:r>
      <w:r>
        <w:rPr>
          <w:rtl/>
        </w:rPr>
        <w:t xml:space="preserve">.</w:t>
      </w:r>
    </w:p>
    <w:tbl>
      <w:tblPr>
        <w:tblW w:w="8788" w:type="dxa"/>
        <w:tblLayout w:type="fixed"/>
        <w:tblLook w:val="0000"/>
      </w:tblPr>
      <w:tblGrid>
        <w:gridCol w:w="8788"/>
      </w:tblGrid>
      <w:tr>
        <w:trPr>
          <w:cantSplit/>
          <w:trHeight w:val="12000" w:hRule="exact"/>
        </w:trPr>
        <w:tc>
          <w:tcPr>
            <w:tcW w:w="8788" w:type="dxa"/>
            <w:vAlign w:val="center"/>
          </w:tcPr>
          <w:p>
            <w:pPr>
              <w:pStyle w:val="Heading1"/>
              <w:bidi/>
              <w:jc w:val="center"/>
            </w:pPr>
            <w:bookmarkStart w:id="14" w:name="_Toc200000014"/>
            <w:r>
              <w:rPr>
                <w:rtl/>
              </w:rPr>
              <w:t xml:space="preserve">فصل دوم: مبانی نظری و پیشینه پژوهش</w:t>
            </w:r>
            <w:bookmarkEnd w:id="14"/>
          </w:p>
        </w:tc>
      </w:tr>
    </w:tbl>
    <w:p>
      <w:pPr>
        <w:pStyle w:val="Heading2"/>
        <w:keepNext/>
        <w:pageBreakBefore/>
        <w:bidi/>
        <w:spacing w:before="240" w:after="80"/>
      </w:pPr>
      <w:bookmarkStart w:id="15" w:name="_Toc200000015"/>
      <w:r>
        <w:t>۲ـ۱ مقدمه</w:t>
      </w:r>
      <w:bookmarkEnd w:id="15"/>
    </w:p>
    <w:p>
      <w:pPr>
        <w:bidi/>
        <w:spacing w:after="80" w:line="276" w:lineRule="auto"/>
        <w:ind w:firstLine="720"/>
        <w:jc w:val="both"/>
      </w:pPr>
      <w:r>
        <w:rPr>
          <w:rtl/>
        </w:rPr>
        <w:t xml:space="preserve">این فصل در سه بخش اصلی سامان یافته است: مبانی نظری (بخش ۲-۲) که مفهوم فروش، چالش‌های فروش، شرکت تک‌محصولی و ویژگی‌های صنعت مواد غذایی را مرور می‌کند؛ مرور پیشینه‌های داخلی و خارجی (بخش ۲-۳)؛ و جمع‌بندی مبانی در قالب فهرست چالش‌های برگرفته از ادبیات (جدول ۲-۱) و مدل مفهومی پژوهش (بخش ۲-۴).</w:t>
      </w:r>
    </w:p>
    <w:p>
      <w:pPr>
        <w:pStyle w:val="Heading2"/>
        <w:keepNext/>
        <w:bidi/>
        <w:spacing w:before="240" w:after="80"/>
      </w:pPr>
      <w:bookmarkStart w:id="16" w:name="_Toc200000016"/>
      <w:r>
        <w:t>۲ـ۲ مبانی نظری</w:t>
      </w:r>
      <w:bookmarkEnd w:id="16"/>
    </w:p>
    <w:p>
      <w:pPr>
        <w:bidi/>
        <w:spacing w:after="80" w:line="276" w:lineRule="auto"/>
        <w:ind w:firstLine="720"/>
        <w:jc w:val="both"/>
      </w:pPr>
      <w:r>
        <w:rPr>
          <w:rtl/>
        </w:rPr>
        <w:t xml:space="preserve">این بخش، ستون فقرات نظری پژوهش حاضر را می‌سازد. </w:t>
      </w:r>
      <w:r>
        <w:rPr>
          <w:rtl/>
        </w:rPr>
        <w:t xml:space="preserve">در پژوهش اکتشافی، مرور نظام‌مند مبانی نظری پیش از ورود به میدان، چارچوبی مفهومی فراهم می‌آورد که تفسیر داده‌های کیفی را غنی‌تر می‌کند، بدون آنکه مقوله‌های از پیش تعیین‌شده‌ای را بر داده تحمیل کند</w:t>
      </w:r>
      <w:r>
        <w:rPr>
          <w:rtl/>
        </w:rPr>
        <w:t xml:space="preserve">. بر همین اساس، این بخش در شش زیربخش سازمان‌دهی شده است: نخست، تعریف فروش و عملکرد آن؛ دوم، نظریه‌های تبیین‌کننده عملکرد فروش؛ سوم، مفهوم و ماهیت چالش‌های فروش؛ چهارم، جایگاه شرکت تک‌محصولی در ادبیات مدیریت استراتژیک؛ پنجم، ویژگی‌های خاص صنعت مواد غذایی؛ و ششم، جمع‌بندی این مبانی در قالب چارچوبی یکپارچه.</w:t>
      </w:r>
    </w:p>
    <w:p>
      <w:pPr>
        <w:pStyle w:val="Heading3"/>
        <w:keepNext/>
        <w:bidi/>
        <w:spacing w:before="180" w:after="80"/>
      </w:pPr>
      <w:bookmarkStart w:id="17" w:name="_Toc200000017"/>
      <w:r>
        <w:t>۲ـ۲ـ۱ مفهوم فروش</w:t>
      </w:r>
      <w:bookmarkEnd w:id="17"/>
    </w:p>
    <w:p>
      <w:pPr>
        <w:bidi/>
        <w:spacing w:after="80" w:line="276" w:lineRule="auto"/>
        <w:ind w:firstLine="720"/>
        <w:jc w:val="both"/>
      </w:pPr>
      <w:r>
        <w:rPr>
          <w:rtl/>
        </w:rPr>
        <w:t xml:space="preserve">فروش فرایندی است که در آن بنگاه اقتصادی از طریق ارتباط مستقیم یا غیرمستقیم با مشتری، محصول یا خدمت خود را در ازای دریافت ارزش معمولاً پول </w:t>
      </w:r>
      <w:r>
        <w:rPr>
          <w:rFonts/>
          <w:rtl/>
        </w:rPr>
        <w:t>به</w:t>
      </w:r>
      <w:r>
        <w:rPr>
          <w:rtl/>
        </w:rPr>
        <w:t xml:space="preserve"> </w:t>
      </w:r>
      <w:r>
        <w:rPr>
          <w:rFonts/>
          <w:rtl/>
        </w:rPr>
        <w:t>او</w:t>
      </w:r>
      <w:r>
        <w:rPr>
          <w:rtl/>
        </w:rPr>
        <w:t xml:space="preserve"> </w:t>
      </w:r>
      <w:r>
        <w:rPr>
          <w:rFonts/>
          <w:rtl/>
        </w:rPr>
        <w:t>منتقل</w:t>
      </w:r>
      <w:r>
        <w:rPr>
          <w:rtl/>
        </w:rPr>
        <w:t xml:space="preserve"> </w:t>
      </w:r>
      <w:r>
        <w:rPr>
          <w:rFonts/>
          <w:rtl/>
        </w:rPr>
        <w:t>می‌کند</w:t>
      </w:r>
      <w:r>
        <w:rPr>
          <w:rtl/>
        </w:rPr>
        <w:t xml:space="preserve">. </w:t>
      </w:r>
      <w:r>
        <w:rPr>
          <w:rFonts/>
          <w:rtl/>
        </w:rPr>
        <w:t>در</w:t>
      </w:r>
      <w:r>
        <w:rPr>
          <w:rtl/>
        </w:rPr>
        <w:t xml:space="preserve"> </w:t>
      </w:r>
      <w:r>
        <w:rPr>
          <w:rFonts/>
          <w:rtl/>
        </w:rPr>
        <w:t>تعریف</w:t>
      </w:r>
      <w:r>
        <w:rPr>
          <w:rtl/>
        </w:rPr>
        <w:t xml:space="preserve"> </w:t>
      </w:r>
      <w:r>
        <w:rPr>
          <w:rFonts/>
          <w:rtl/>
        </w:rPr>
        <w:t>گسترده‌تر،</w:t>
      </w:r>
      <w:r>
        <w:rPr>
          <w:rtl/>
        </w:rPr>
        <w:t xml:space="preserve"> </w:t>
      </w:r>
      <w:r>
        <w:rPr>
          <w:rFonts/>
          <w:rtl/>
        </w:rPr>
        <w:t>فروش</w:t>
      </w:r>
      <w:r>
        <w:rPr>
          <w:rtl/>
        </w:rPr>
        <w:t xml:space="preserve"> </w:t>
      </w:r>
      <w:r>
        <w:rPr>
          <w:rFonts/>
          <w:rtl/>
        </w:rPr>
        <w:t>نه</w:t>
      </w:r>
      <w:r>
        <w:rPr>
          <w:rtl/>
        </w:rPr>
        <w:t xml:space="preserve"> </w:t>
      </w:r>
      <w:r>
        <w:rPr>
          <w:rFonts/>
          <w:rtl/>
        </w:rPr>
        <w:t>یک</w:t>
      </w:r>
      <w:r>
        <w:rPr>
          <w:rtl/>
        </w:rPr>
        <w:t xml:space="preserve"> </w:t>
      </w:r>
      <w:r>
        <w:rPr>
          <w:rFonts/>
          <w:rtl/>
        </w:rPr>
        <w:t>فعالیت</w:t>
      </w:r>
      <w:r>
        <w:rPr>
          <w:rtl/>
        </w:rPr>
        <w:t xml:space="preserve"> </w:t>
      </w:r>
      <w:r>
        <w:rPr>
          <w:rFonts/>
          <w:rtl/>
        </w:rPr>
        <w:t>منفرد</w:t>
      </w:r>
      <w:r>
        <w:rPr>
          <w:rtl/>
        </w:rPr>
        <w:t xml:space="preserve"> </w:t>
      </w:r>
      <w:r>
        <w:rPr>
          <w:rFonts/>
          <w:rtl/>
        </w:rPr>
        <w:t>در</w:t>
      </w:r>
      <w:r>
        <w:rPr>
          <w:rtl/>
        </w:rPr>
        <w:t xml:space="preserve"> </w:t>
      </w:r>
      <w:r>
        <w:rPr>
          <w:rFonts/>
          <w:rtl/>
        </w:rPr>
        <w:t>انتهای</w:t>
      </w:r>
      <w:r>
        <w:rPr>
          <w:rtl/>
        </w:rPr>
        <w:t xml:space="preserve"> </w:t>
      </w:r>
      <w:r>
        <w:rPr>
          <w:rFonts/>
          <w:rtl/>
        </w:rPr>
        <w:t>زنجیره</w:t>
      </w:r>
      <w:r>
        <w:rPr>
          <w:rtl/>
        </w:rPr>
        <w:t xml:space="preserve"> </w:t>
      </w:r>
      <w:r>
        <w:rPr>
          <w:rFonts/>
          <w:rtl/>
        </w:rPr>
        <w:t>ارزش،</w:t>
      </w:r>
      <w:r>
        <w:rPr>
          <w:rtl/>
        </w:rPr>
        <w:t xml:space="preserve"> </w:t>
      </w:r>
      <w:r>
        <w:rPr>
          <w:rFonts/>
          <w:rtl/>
        </w:rPr>
        <w:t>بلکه</w:t>
      </w:r>
      <w:r>
        <w:rPr>
          <w:rtl/>
        </w:rPr>
        <w:t xml:space="preserve"> </w:t>
      </w:r>
      <w:r>
        <w:rPr>
          <w:rFonts/>
          <w:rtl/>
        </w:rPr>
        <w:t>پیامد</w:t>
      </w:r>
      <w:r>
        <w:rPr>
          <w:rtl/>
        </w:rPr>
        <w:t xml:space="preserve"> </w:t>
      </w:r>
      <w:r>
        <w:rPr>
          <w:rFonts/>
          <w:rtl/>
        </w:rPr>
        <w:t>هماهنگی</w:t>
      </w:r>
      <w:r>
        <w:rPr>
          <w:rtl/>
        </w:rPr>
        <w:t xml:space="preserve"> </w:t>
      </w:r>
      <w:r>
        <w:rPr>
          <w:rFonts/>
          <w:rtl/>
        </w:rPr>
        <w:t>آمیخته</w:t>
      </w:r>
      <w:r>
        <w:rPr>
          <w:rtl/>
        </w:rPr>
        <w:t xml:space="preserve"> </w:t>
      </w:r>
      <w:r>
        <w:rPr>
          <w:rFonts/>
          <w:rtl/>
        </w:rPr>
        <w:t>بازاریابی</w:t>
      </w:r>
      <w:r>
        <w:rPr>
          <w:rtl/>
        </w:rPr>
        <w:t xml:space="preserve"> </w:t>
      </w:r>
      <w:r>
        <w:rPr>
          <w:rFonts/>
          <w:rtl/>
        </w:rPr>
        <w:t>است</w:t>
      </w:r>
      <w:r>
        <w:rPr>
          <w:rtl/>
        </w:rPr>
        <w:t xml:space="preserve">. </w:t>
      </w:r>
      <w:r>
        <w:rPr>
          <w:rFonts/>
          <w:rtl/>
        </w:rPr>
        <w:t xml:space="preserve">کاتلر و کلر (۲۰۱۶)</w:t>
      </w:r>
      <w:r>
        <w:rPr>
          <w:rStyle w:val="FootnoteReference"/>
        </w:rPr>
        <w:footnoteReference w:id="12"/>
      </w:r>
      <w:r>
        <w:rPr>
          <w:rFonts/>
          <w:rtl/>
        </w:rPr>
        <w:t xml:space="preserve"> بازاریابی را فرایند شناخت نیاز مشتری، خلق و ارائه ارزش و مدیریت آمیخته بازاریابی شامل چهار عنصر محصول، قیمت، توزیع و ترویج می‌دانند؛ بر این پایه، در پژوهش حاضر عملکرد فروش پیامد توانایی بنگاه در همین سه کار تلقی می‌شود</w:t>
      </w:r>
      <w:r>
        <w:rPr>
          <w:rtl/>
        </w:rPr>
        <w:t xml:space="preserve">. این عملکرد به عنوان شاخصی برای سنجش میزان موفقیت بنگاه در تحقق اهداف فروش، ابعاد گوناگونی از جمله حجم فروش، رشد فروش، سهم بازار، حاشیه سود فروش، هزینه به دست آوردن مشتری، نرخ حفظ مشتری و رضایت مشتری دارد. در بنگاه‌های بزرگ چندمحصولی، ضعف در یک بُعد می‌تواند با قوت در بُعد دیگر جبران شود؛ اما در بنگاه تک‌محصولی، هر یک از این ابعاد مستقیماً با کل کسب‌وکار گره خورده است.</w:t>
      </w:r>
    </w:p>
    <w:p>
      <w:pPr>
        <w:bidi/>
        <w:spacing w:after="80"/>
        <w:ind w:firstLine="720"/>
        <w:jc w:val="both"/>
      </w:pPr>
      <w:r>
        <w:rPr>
          <w:rtl/>
        </w:rPr>
        <w:t>در بستر صنعت مواد غذایی، ارتباط میان مدیریت بازاریابی و رفتار مصرف‌کننده از ویژگی‌های خاصی برخوردار است. مصرف مواد غذایی به شدت تحت تأثیر عوامل فرهنگی، فصلی و بهداشتی قرار دارد و همین ویژگی، پیش‌بینی تقاضا را دشوارتر از بسیاری از صنایع دیگر می‌کند. اسکندری و همکاران (۱۴۰۴) در بررسی موانع حوزه فروش در زنجیره تأمین مواد غذایی ایران، پیش‌بینی نادرست تقاضا را از مهم‌ترین عوامل ناکامی فروش دانستند؛ بررسی این یافته در بستر پژوهش حاضر، زمینه لازم را برای درک عمیق‌تر عواملی فراهم می‌آورد که عملکرد فروش را در شرکت‌های تک‌محصولی تهدید می‌کنند، چرا که آنچه در این بنگاه‌ها رخ می‌دهد، در بسیاری موارد نه ضعف در اجرای آمیخته بازاریابی، بلکه ضعف ساختاری است.</w:t>
      </w:r>
    </w:p>
    <w:p>
      <w:pPr>
        <w:bidi/>
        <w:spacing w:after="80" w:line="276" w:lineRule="auto"/>
        <w:ind w:firstLine="720"/>
        <w:jc w:val="both"/>
      </w:pPr>
      <w:r>
        <w:rPr>
          <w:rtl/>
        </w:rPr>
        <w:t xml:space="preserve">از منظر تاریخی، مفهوم فروش از رویکرد تولیدمحور که تمرکز اصلی بر افزایش حجم تولید داشت، به رویکرد مشتری‌محور که محور آن شناخت و پاسخ به نیاز بازار است، تحول یافته است. </w:t>
      </w:r>
      <w:r>
        <w:rPr>
          <w:rtl/>
        </w:rPr>
        <w:t xml:space="preserve">این گذار از مفاهیم بنیادین بازاریابی نوین به شمار می‌رود (کاتلر و کلر، ۲۰۱۶)</w:t>
      </w:r>
      <w:r>
        <w:rPr>
          <w:rStyle w:val="FootnoteReference"/>
        </w:rPr>
        <w:footnoteReference w:id="13"/>
      </w:r>
      <w:r>
        <w:rPr>
          <w:rtl/>
        </w:rPr>
        <w:t xml:space="preserve">. برای بنگاه تک‌محصولی، این گذار اهمیتی دوچندان دارد: چون امکان جبران ضعف شناخت بازار از طریق تنوع محصول وجود ندارد، دقت در شناخت نیاز مشتری به شرط بقا بدل می‌شود، نه صرفاً یک مزیت رقابتی اختیاری.</w:t>
      </w:r>
    </w:p>
    <w:p>
      <w:pPr>
        <w:bidi/>
        <w:spacing w:after="80" w:line="276" w:lineRule="auto"/>
        <w:ind w:firstLine="720"/>
        <w:jc w:val="both"/>
      </w:pPr>
      <w:r>
        <w:rPr>
          <w:rtl/>
        </w:rPr>
        <w:t xml:space="preserve">ماهیت فروش در صنعت مواد غذایی نیز با بسیاری از صنایع دیگر تفاوت دارد. در این صنعت، فروش عمدتاً در قالب رابطه مستقیم یا نیمه‌مستقیم میان بنگاه تولیدی و شبکه‌ای از خرده‌فروشان، عمده‌فروشان یا مصرف‌کننده نهایی شکل می‌گیرد، نه در قالب معاملات بزرگ و کم‌تکرار سازمان‌به‌سازمان که در بسیاری از صنایع صنعتی رایج </w:t>
      </w:r>
      <w:r>
        <w:rPr>
          <w:rtl/>
        </w:rPr>
        <w:t xml:space="preserve">است. از منظر ساختار کانال نیز، بنگاه‌های این صنعت معمولاً میان دو مسیر عمده </w:t>
      </w:r>
      <w:r>
        <w:rPr>
          <w:rFonts/>
          <w:rtl/>
        </w:rPr>
        <w:t>فروش</w:t>
      </w:r>
      <w:r>
        <w:rPr>
          <w:rtl/>
        </w:rPr>
        <w:t xml:space="preserve"> </w:t>
      </w:r>
      <w:r>
        <w:rPr>
          <w:rFonts/>
          <w:rtl/>
        </w:rPr>
        <w:t>مستقیم</w:t>
      </w:r>
      <w:r>
        <w:rPr>
          <w:rtl/>
        </w:rPr>
        <w:t xml:space="preserve"> </w:t>
      </w:r>
      <w:r>
        <w:rPr>
          <w:rFonts/>
          <w:rtl/>
        </w:rPr>
        <w:t>به</w:t>
      </w:r>
      <w:r>
        <w:rPr>
          <w:rtl/>
        </w:rPr>
        <w:t xml:space="preserve"> </w:t>
      </w:r>
      <w:r>
        <w:rPr>
          <w:rFonts/>
          <w:rtl/>
        </w:rPr>
        <w:t>مصرف‌کننده</w:t>
      </w:r>
      <w:r>
        <w:rPr>
          <w:rtl/>
        </w:rPr>
        <w:t xml:space="preserve"> </w:t>
      </w:r>
      <w:r>
        <w:rPr>
          <w:rFonts/>
          <w:rtl/>
        </w:rPr>
        <w:t>و</w:t>
      </w:r>
      <w:r>
        <w:rPr>
          <w:rtl/>
        </w:rPr>
        <w:t xml:space="preserve"> </w:t>
      </w:r>
      <w:r>
        <w:rPr>
          <w:rFonts/>
          <w:rtl/>
        </w:rPr>
        <w:t>فروش</w:t>
      </w:r>
      <w:r>
        <w:rPr>
          <w:rtl/>
        </w:rPr>
        <w:t xml:space="preserve"> </w:t>
      </w:r>
      <w:r>
        <w:rPr>
          <w:rFonts/>
          <w:rtl/>
        </w:rPr>
        <w:t>از</w:t>
      </w:r>
      <w:r>
        <w:rPr>
          <w:rtl/>
        </w:rPr>
        <w:t xml:space="preserve"> </w:t>
      </w:r>
      <w:r>
        <w:rPr>
          <w:rFonts/>
          <w:rtl/>
        </w:rPr>
        <w:t>طریق</w:t>
      </w:r>
      <w:r>
        <w:rPr>
          <w:rtl/>
        </w:rPr>
        <w:t xml:space="preserve"> </w:t>
      </w:r>
      <w:r>
        <w:rPr>
          <w:rFonts/>
          <w:rtl/>
        </w:rPr>
        <w:t>واسطه‌های</w:t>
      </w:r>
      <w:r>
        <w:rPr>
          <w:rtl/>
        </w:rPr>
        <w:t xml:space="preserve"> </w:t>
      </w:r>
      <w:r>
        <w:rPr>
          <w:rFonts/>
          <w:rtl/>
        </w:rPr>
        <w:t>توزیع</w:t>
      </w:r>
      <w:r>
        <w:rPr>
          <w:rtl/>
        </w:rPr>
        <w:t xml:space="preserve"> </w:t>
      </w:r>
      <w:r>
        <w:rPr>
          <w:rFonts/>
          <w:rtl/>
        </w:rPr>
        <w:t>انتخاب</w:t>
      </w:r>
      <w:r>
        <w:rPr>
          <w:rtl/>
        </w:rPr>
        <w:t xml:space="preserve"> </w:t>
      </w:r>
      <w:r>
        <w:rPr>
          <w:rFonts/>
          <w:rtl/>
        </w:rPr>
        <w:t>می‌کنند؛</w:t>
      </w:r>
      <w:r>
        <w:rPr>
          <w:rtl/>
        </w:rPr>
        <w:t xml:space="preserve"> </w:t>
      </w:r>
      <w:r>
        <w:rPr>
          <w:rFonts/>
          <w:rtl/>
        </w:rPr>
        <w:t>انتخابی</w:t>
      </w:r>
      <w:r>
        <w:rPr>
          <w:rtl/>
        </w:rPr>
        <w:t xml:space="preserve"> </w:t>
      </w:r>
      <w:r>
        <w:rPr>
          <w:rFonts/>
          <w:rtl/>
        </w:rPr>
        <w:t>که</w:t>
      </w:r>
      <w:r>
        <w:rPr>
          <w:rtl/>
        </w:rPr>
        <w:t xml:space="preserve"> </w:t>
      </w:r>
      <w:r>
        <w:rPr>
          <w:rFonts/>
          <w:rtl/>
        </w:rPr>
        <w:t>هزینه</w:t>
      </w:r>
      <w:r>
        <w:rPr>
          <w:rtl/>
        </w:rPr>
        <w:t xml:space="preserve"> </w:t>
      </w:r>
      <w:r>
        <w:rPr>
          <w:rFonts/>
          <w:rtl/>
        </w:rPr>
        <w:t>فروش،</w:t>
      </w:r>
      <w:r>
        <w:rPr>
          <w:rtl/>
        </w:rPr>
        <w:t xml:space="preserve"> </w:t>
      </w:r>
      <w:r>
        <w:rPr>
          <w:rFonts/>
          <w:rtl/>
        </w:rPr>
        <w:t>سرعت</w:t>
      </w:r>
      <w:r>
        <w:rPr>
          <w:rtl/>
        </w:rPr>
        <w:t xml:space="preserve"> </w:t>
      </w:r>
      <w:r>
        <w:rPr>
          <w:rFonts/>
          <w:rtl/>
        </w:rPr>
        <w:t>رشد</w:t>
      </w:r>
      <w:r>
        <w:rPr>
          <w:rtl/>
        </w:rPr>
        <w:t xml:space="preserve"> </w:t>
      </w:r>
      <w:r>
        <w:rPr>
          <w:rFonts/>
          <w:rtl/>
        </w:rPr>
        <w:t>و</w:t>
      </w:r>
      <w:r>
        <w:rPr>
          <w:rtl/>
        </w:rPr>
        <w:t xml:space="preserve"> </w:t>
      </w:r>
      <w:r>
        <w:rPr>
          <w:rFonts/>
          <w:rtl/>
        </w:rPr>
        <w:t>میزان</w:t>
      </w:r>
      <w:r>
        <w:rPr>
          <w:rtl/>
        </w:rPr>
        <w:t xml:space="preserve"> </w:t>
      </w:r>
      <w:r>
        <w:rPr>
          <w:rFonts/>
          <w:rtl/>
        </w:rPr>
        <w:t>کنترل</w:t>
      </w:r>
      <w:r>
        <w:rPr>
          <w:rtl/>
        </w:rPr>
        <w:t xml:space="preserve"> </w:t>
      </w:r>
      <w:r>
        <w:rPr>
          <w:rFonts/>
          <w:rtl/>
        </w:rPr>
        <w:t>بنگاه</w:t>
      </w:r>
      <w:r>
        <w:rPr>
          <w:rtl/>
        </w:rPr>
        <w:t xml:space="preserve"> </w:t>
      </w:r>
      <w:r>
        <w:rPr>
          <w:rFonts/>
          <w:rtl/>
        </w:rPr>
        <w:t>بر</w:t>
      </w:r>
      <w:r>
        <w:rPr>
          <w:rtl/>
        </w:rPr>
        <w:t xml:space="preserve"> </w:t>
      </w:r>
      <w:r>
        <w:rPr>
          <w:rFonts/>
          <w:rtl/>
        </w:rPr>
        <w:t>تجربه</w:t>
      </w:r>
      <w:r>
        <w:rPr>
          <w:rtl/>
        </w:rPr>
        <w:t xml:space="preserve"> </w:t>
      </w:r>
      <w:r>
        <w:rPr>
          <w:rFonts/>
          <w:rtl/>
        </w:rPr>
        <w:t>مشتری</w:t>
      </w:r>
      <w:r>
        <w:rPr>
          <w:rtl/>
        </w:rPr>
        <w:t xml:space="preserve"> </w:t>
      </w:r>
      <w:r>
        <w:rPr>
          <w:rFonts/>
          <w:rtl/>
        </w:rPr>
        <w:t>را</w:t>
      </w:r>
      <w:r>
        <w:rPr>
          <w:rtl/>
        </w:rPr>
        <w:t xml:space="preserve"> </w:t>
      </w:r>
      <w:r>
        <w:rPr>
          <w:rFonts/>
          <w:rtl/>
        </w:rPr>
        <w:t>هم‌زمان</w:t>
      </w:r>
      <w:r>
        <w:rPr>
          <w:rtl/>
        </w:rPr>
        <w:t xml:space="preserve"> </w:t>
      </w:r>
      <w:r>
        <w:rPr>
          <w:rFonts/>
          <w:rtl/>
        </w:rPr>
        <w:t>تحت</w:t>
      </w:r>
      <w:r>
        <w:rPr>
          <w:rtl/>
        </w:rPr>
        <w:t xml:space="preserve"> </w:t>
      </w:r>
      <w:r>
        <w:rPr>
          <w:rFonts/>
          <w:rtl/>
        </w:rPr>
        <w:t>تأثیر</w:t>
      </w:r>
      <w:r>
        <w:rPr>
          <w:rtl/>
        </w:rPr>
        <w:t xml:space="preserve"> </w:t>
      </w:r>
      <w:r>
        <w:rPr>
          <w:rFonts/>
          <w:rtl/>
        </w:rPr>
        <w:t>قرا</w:t>
      </w:r>
      <w:r>
        <w:rPr>
          <w:rtl/>
        </w:rPr>
        <w:t>ر می‌دهد. سوریاتی و لوسیه (۲۰۲۲)</w:t>
      </w:r>
      <w:r>
        <w:rPr>
          <w:rStyle w:val="FootnoteReference"/>
        </w:rPr>
        <w:footnoteReference w:id="14"/>
      </w:r>
      <w:r>
        <w:rPr>
          <w:rtl/>
        </w:rPr>
        <w:t xml:space="preserve"> </w:t>
      </w:r>
      <w:r>
        <w:rPr>
          <w:rtl/>
        </w:rPr>
        <w:t xml:space="preserve">در پژوهشی تجربی بر بیست هتل ستاره‌دار جاکارتا نشان دادند که کانال توزیع و قیمت، هر یک بر بهبود حجم فروش اثر مستقیم دارند</w:t>
      </w:r>
      <w:r>
        <w:rPr>
          <w:rtl/>
        </w:rPr>
        <w:t xml:space="preserve">؛ بنگاه تک‌محصولی، به دلیل محدودیت منابع برای ایجاد شبکه فروش مستقیم گسترده، در عمل اغلب به واسطه‌های توزیع وابسته است، وابستگی‌ای که کنترل بنگاه بر قیمت نهایی و تجربه مصرف‌کننده را کاهش می‌دهد و یکی دیگر از ریشه‌های آسیب‌پذیری ساختاری این بنگاه‌ها به شمار می‌رود.</w:t>
      </w:r>
    </w:p>
    <w:p>
      <w:pPr>
        <w:bidi/>
        <w:spacing w:after="80" w:line="276" w:lineRule="auto"/>
        <w:ind w:firstLine="720"/>
        <w:jc w:val="both"/>
      </w:pPr>
      <w:r>
        <w:rPr>
          <w:rtl/>
        </w:rPr>
        <w:t xml:space="preserve">سنجش عملکرد فروش نیز در عمل با چالش‌هایی همراه است که کمتر در ادبیات نظری به آن پرداخته می‌شود. </w:t>
      </w:r>
      <w:r>
        <w:rPr>
          <w:rtl/>
        </w:rPr>
        <w:t xml:space="preserve">در بنگاه‌های کوچک، به‌ویژه در اقتصادهای در حال توسعه، اغلب سامانه رسمی و مستندی برای ثبت و تحلیل داده‌های فروش وجود ندارد و تصمیمات بر پایه برآورد ذهنی مدیر اتخاذ می‌شود</w:t>
      </w:r>
      <w:r>
        <w:rPr>
          <w:rtl/>
        </w:rPr>
        <w:t xml:space="preserve">؛ کاستی‌ای که پیش از آنکه خود یک چالش فروش باشد، مانعی برای تشخیص دقیق سایر چالش‌هاست. اعتماد مصرف‌کننده، به‌ویژه در صنعتی که مستقیماً با سلامت خانوار پیوند دارد، لایه دیگری از عملکرد فروش است که فراتر از شاخص‌های متعارف قرار می‌گیرد؛ </w:t>
      </w:r>
      <w:r>
        <w:rPr>
          <w:rtl/>
        </w:rPr>
        <w:t xml:space="preserve">الزامات ایمنی و نظارتی مواد غذایی، که مانگلا و همکاران (۲۰۲۱)</w:t>
      </w:r>
      <w:r>
        <w:rPr>
          <w:rStyle w:val="FootnoteReference"/>
        </w:rPr>
        <w:footnoteReference w:id="15"/>
      </w:r>
      <w:r>
        <w:rPr>
          <w:rtl/>
        </w:rPr>
        <w:t xml:space="preserve"> چالش‌های ابتکارات مربوط به آن را در یک اقتصاد نوظهور بررسی کرده‌اند، زمینه این اعتماد را شکل می‌دهند</w:t>
      </w:r>
      <w:r>
        <w:rPr>
          <w:rtl/>
        </w:rPr>
        <w:t xml:space="preserve">؛ برای بنگاه تک‌محصولی که هنوز اعتماد برند تثبیت‌شده‌ای نساخته، جلب این اعتماد اولیه، پیش‌نیاز هر تلاش دیگری برای بهبود عملکرد فروش است.</w:t>
      </w:r>
    </w:p>
    <w:p>
      <w:pPr>
        <w:bidi/>
        <w:spacing w:after="80" w:line="276" w:lineRule="auto"/>
        <w:ind w:firstLine="720"/>
        <w:jc w:val="both"/>
      </w:pPr>
      <w:r>
        <w:rPr>
          <w:rtl/>
        </w:rPr>
        <w:t>نوآوری در عرضه و توسعه محصول، لایه دیگری از عملکرد فروش است که در ادبیات کلاسیک کمتر مورد توجه قرار می‌گیرد. دخیخ و النجری (۲۰۲۶)</w:t>
      </w:r>
      <w:r>
        <w:rPr>
          <w:rStyle w:val="FootnoteReference"/>
        </w:rPr>
        <w:footnoteReference w:id="16"/>
      </w:r>
      <w:r>
        <w:rPr>
          <w:rtl/>
        </w:rPr>
        <w:t xml:space="preserve"> با بررسی تجربی دویست‌وپنجاه مدیر بنگاه کوچک و متوسط نشان دادند که نوآوری، رابطه میان قابلیت‌های پویای بنگاه و مزیت رقابتی پایدار را میانجی‌گری می‌کند و بنگاه‌هایی با ظرفیت یادگیری سازمانی بالاتر، عملکرد نوآورانه قوی‌تری از خود نشان می‌دهند. برای بنگاه تک‌محصولی که امکان جبران ضعف یک محصول از طریق تنوع سبد را ندارد، این ظرفیت یادگیری و نوآوری مستمر در همان یک محصول، اهمیتی حیاتی برای حفظ عملکرد فروش در بلندمدت می‌یابد.</w:t>
      </w:r>
    </w:p>
    <w:p>
      <w:pPr>
        <w:bidi/>
        <w:spacing w:after="80" w:line="276" w:lineRule="auto"/>
        <w:ind w:firstLine="720"/>
        <w:jc w:val="both"/>
      </w:pPr>
      <w:r>
        <w:rPr>
          <w:rtl/>
        </w:rPr>
        <w:t>قیمت‌گذاری نیز یکی از ارکان سنتی عملکرد فروش است که در صنعت مواد غذایی ماهیتی خاص می‌یابد. سوریاتی و لوسیه (۲۰۲۲)</w:t>
      </w:r>
      <w:r>
        <w:rPr>
          <w:rStyle w:val="FootnoteReference"/>
        </w:rPr>
        <w:footnoteReference w:id="17"/>
      </w:r>
      <w:r>
        <w:rPr>
          <w:rtl/>
        </w:rPr>
        <w:t xml:space="preserve"> </w:t>
      </w:r>
      <w:r>
        <w:rPr>
          <w:rtl/>
        </w:rPr>
        <w:t xml:space="preserve">نشان دادند که قیمت و کانال توزیع هر دو بر بهبود حجم فروش اثر مستقیم دارند. بر این پایه می‌توان استدلال کرد که تصمیم قیمت‌گذاری بدون در نظر گرفتن ساختار کانال توزیع، نمی‌تواند حجم فروش را به‌طور پایدار بهبود بخشد</w:t>
      </w:r>
      <w:r>
        <w:rPr>
          <w:rtl/>
        </w:rPr>
        <w:t xml:space="preserve">. در صنعت مواد غذایی، که حساسیت مصرف‌کننده به قیمت معمولاً بالاست، این پیوند میان قیمت و توزیع برای بنگاه تک‌محصولی که قدرت چانه‌زنی محدودی با واسطه‌های توزیع دارد، چالشی مضاعف ایجاد می‌کند.</w:t>
      </w:r>
    </w:p>
    <w:p>
      <w:pPr>
        <w:bidi/>
        <w:spacing w:after="80" w:line="276" w:lineRule="auto"/>
        <w:ind w:firstLine="720"/>
        <w:jc w:val="both"/>
      </w:pPr>
      <w:r>
        <w:rPr>
          <w:rtl/>
        </w:rPr>
        <w:t xml:space="preserve">ترویج و ارتباطات بازاریابی، آخرین عنصر از آمیخته سنتی بازاریابی است که در این بخش بررسی می‌شود. </w:t>
      </w:r>
      <w:r>
        <w:rPr>
          <w:rtl/>
        </w:rPr>
        <w:t xml:space="preserve">در بنگاه‌های کوچک، ترویج اغلب به‌صورت موردی و واکنشی انجام می‌شود و برنامه‌ریزی ساختاریافته‌ای ندارد</w:t>
      </w:r>
      <w:r>
        <w:rPr>
          <w:rtl/>
        </w:rPr>
        <w:t xml:space="preserve">. برای بنگاه تک‌محصولی که بودجه بازاریابی محدودتری نیز دارد، نبود برنامه‌ریزی منسجم ترویجی، اثر هر واحد هزینه تبلیغاتی را کاهش می‌دهد.</w:t>
      </w:r>
    </w:p>
    <w:p>
      <w:pPr>
        <w:pStyle w:val="Heading3"/>
        <w:keepNext/>
        <w:bidi/>
        <w:spacing w:before="180" w:after="80"/>
      </w:pPr>
      <w:bookmarkStart w:id="18" w:name="_Toc200000018"/>
      <w:r>
        <w:t>۲ـ۲ـ۲ رویکردها و نظریه‌های مرتبط با عملکرد و اثربخشی فروش</w:t>
      </w:r>
      <w:bookmarkEnd w:id="18"/>
    </w:p>
    <w:p>
      <w:pPr>
        <w:bidi/>
        <w:spacing w:after="80" w:line="276" w:lineRule="auto"/>
        <w:ind w:firstLine="720"/>
        <w:jc w:val="both"/>
      </w:pPr>
      <w:r>
        <w:rPr>
          <w:rtl/>
        </w:rPr>
        <w:t>تبیین عملکرد فروش از سه لایه تشکیل شده است. لایه نخست، نگاه از درون به بیرون است. دیدگاه مبتنی بر منابع، بنگاه را مجموعه‌ای از منابع و قابلیت‌ها می‌داند که مفهوم شایستگی محوری، هسته آن را شکل می‌دهد. کرو و بوگاله (۲۰۲۳)</w:t>
      </w:r>
      <w:r>
        <w:rPr>
          <w:rStyle w:val="FootnoteReference"/>
        </w:rPr>
        <w:footnoteReference w:id="18"/>
      </w:r>
      <w:r>
        <w:rPr>
          <w:rtl/>
        </w:rPr>
        <w:t xml:space="preserve"> </w:t>
      </w:r>
      <w:r>
        <w:rPr>
          <w:rtl/>
        </w:rPr>
        <w:t xml:space="preserve">در مرور نظام‌مند ۴۶ مقاله درباره این دیدگاه و قابلیت‌های پویا، پنج مضمون منبع‌محور (منابع دانشی، انسانی، فیزیکی، فناورانه و سازمانی) و چهار مضمون قابلیت پویا (قابلیت‌های بازاریابی، عملیاتی، نوآورانه و اتحاد و یکپارچه‌سازی) را شناسایی کردند. قابلیت‌های پویا، یعنی توان بنگاه در بازپیکربندی مستمر منابع خود، را می‌توان مکمل شایستگی محوری دانست</w:t>
      </w:r>
      <w:r>
        <w:rPr>
          <w:rtl/>
        </w:rPr>
        <w:t xml:space="preserve">. </w:t>
      </w:r>
      <w:r>
        <w:rPr>
          <w:rFonts/>
          <w:rtl/>
        </w:rPr>
        <w:t>برای</w:t>
      </w:r>
      <w:r>
        <w:rPr>
          <w:rtl/>
        </w:rPr>
        <w:t xml:space="preserve"> </w:t>
      </w:r>
      <w:r>
        <w:rPr>
          <w:rFonts/>
          <w:rtl/>
        </w:rPr>
        <w:t>بنگاه</w:t>
      </w:r>
      <w:r>
        <w:rPr>
          <w:rtl/>
        </w:rPr>
        <w:t xml:space="preserve"> </w:t>
      </w:r>
      <w:r>
        <w:rPr>
          <w:rFonts/>
          <w:rtl/>
        </w:rPr>
        <w:t>تک‌محصولی،</w:t>
      </w:r>
      <w:r>
        <w:rPr>
          <w:rtl/>
        </w:rPr>
        <w:t xml:space="preserve"> </w:t>
      </w:r>
      <w:r>
        <w:rPr>
          <w:rFonts/>
          <w:rtl/>
        </w:rPr>
        <w:t>تمر</w:t>
      </w:r>
      <w:r>
        <w:rPr>
          <w:rtl/>
        </w:rPr>
        <w:t>کز می‌تواند به انباشت سریع‌تر شایستگی در همان حوزه بینجامد؛ اما شایستگی‌ای که تنها در یک خط محصول قابل بهره‌برداری است و با قابلیت پویای کافی برای بازآرایی همراه نیست، ارزش راهبردی کمتری نسبت به شایستگی قابل انتقال دارد.</w:t>
      </w:r>
    </w:p>
    <w:p>
      <w:pPr>
        <w:bidi/>
        <w:spacing w:after="80" w:line="276" w:lineRule="auto"/>
        <w:ind w:firstLine="720"/>
        <w:jc w:val="both"/>
      </w:pPr>
      <w:r>
        <w:rPr>
          <w:rtl/>
        </w:rPr>
        <w:t>لایه دوم، نگاه از بیرون به درون است. چارچوب نیروهای پنج‌گانه رقابتی، سودآوری بنگاه را تابعی از ساختار صنعت می‌داند؛ چارچوبی که پانگارکار و پرابهوداسای (۲۰۲۴)</w:t>
      </w:r>
      <w:r>
        <w:rPr>
          <w:rStyle w:val="FootnoteReference"/>
        </w:rPr>
        <w:footnoteReference w:id="19"/>
      </w:r>
      <w:r>
        <w:rPr>
          <w:rtl/>
        </w:rPr>
        <w:t xml:space="preserve"> </w:t>
      </w:r>
      <w:r>
        <w:rPr>
          <w:rtl/>
        </w:rPr>
        <w:t xml:space="preserve">در مقاله‌ای کاربردی، راهنمایی عملی برای به‌کارگیری آن در تدوین راهبرد ارائه کرده‌اند</w:t>
      </w:r>
      <w:r>
        <w:rPr>
          <w:rtl/>
        </w:rPr>
        <w:t xml:space="preserve">. اهمیت این چارچوب برای پژوهش حاضر در آن است که دست‌کم </w:t>
      </w:r>
      <w:r>
        <w:rPr>
          <w:rtl/>
        </w:rPr>
        <w:t>سه نیرو از این پنج نیرو، در بنگاه تک‌محصولی شدت بیشتری می‌یابند: تهدید محصولات جایگزین، قدرت چانه‌زنی خریدار در برابر عرضه‌کننده تک‌قلم، و قدرت تأمین‌کنندگانی که بنگاه نمی‌تواند خریدش را میانشان توزیع کند.</w:t>
      </w:r>
    </w:p>
    <w:p>
      <w:pPr>
        <w:bidi/>
        <w:spacing w:after="80" w:line="276" w:lineRule="auto"/>
        <w:ind w:firstLine="720"/>
        <w:jc w:val="both"/>
      </w:pPr>
      <w:r>
        <w:rPr>
          <w:rtl/>
        </w:rPr>
        <w:t>لایه سوم، نگاه از منظر مشتری است. کاتلر و کلر (۲۰۱۶)</w:t>
      </w:r>
      <w:r>
        <w:rPr>
          <w:rStyle w:val="FootnoteReference"/>
        </w:rPr>
        <w:footnoteReference w:id="20"/>
      </w:r>
      <w:r>
        <w:rPr>
          <w:rtl/>
        </w:rPr>
        <w:t xml:space="preserve"> </w:t>
      </w:r>
      <w:r>
        <w:rPr>
          <w:rtl/>
        </w:rPr>
        <w:t xml:space="preserve">بازاریابی را فرایند شناخت نیاز مشتری، خلق و ارائه ارزش و مدیریت آمیخته بازاریابی می‌دانند؛ از این منظر، عملکرد فروش نتیجه توانایی بنگاه در همین سه کار است</w:t>
      </w:r>
      <w:r>
        <w:rPr>
          <w:rtl/>
        </w:rPr>
        <w:t xml:space="preserve">. این سه لایه رقیب یکدیگر نیستند بلکه مکمل‌اند و در قالب یک سلسله‌مراتب علّی نیز قابل مشاهده‌اند: قابلیت‌های درونی بنگاه (لایه منبع‌محور) تعیین می‌کند که بنگاه تا چه حد می‌تواند در برابر فشارهای صنعت (لایه رقابت‌محور) مقاومت کند، و این مقاومت در نهایت در توان بنگاه برای پاسخ به نیاز مشتری (لایه مشتری‌محور) بازتاب می‌یابد. در بنگاه تک‌محصولی، ضعف در هر یک از این حلقه‌ها به سرعت به حلقه‌های دیگر سرایت می‌کند، زیرا هیچ خط محصول جایگزینی برای جذب شوک وجود ندارد. پیامد روش‌شناختی این سه‌لایه‌بودن آن است که شناسایی چالش‌های فروش در پژوهش حاضر نباید به یک سطح واحد محدود شود، بلکه باید هم ظرفیت‌های درونی بنگاه، هم فشارهای ساختار صنعت و هم پویایی رفتار مشتری را پوشش دهد. وزن نسبی هر یک از این سه لایه نیز میان صنایع مختلف ثابت نیست؛ پرسشی که پاسخ آن را نمی‌توان از پیش و بدون مراجعه به تجربه زیسته فعالان صنعت مواد غذایی ایران تعیین کرد.</w:t>
      </w:r>
    </w:p>
    <w:p>
      <w:pPr>
        <w:bidi/>
        <w:spacing w:after="80" w:line="276" w:lineRule="auto"/>
        <w:ind w:firstLine="720"/>
        <w:jc w:val="both"/>
      </w:pPr>
      <w:r>
        <w:rPr>
          <w:rtl/>
        </w:rPr>
        <w:t>پیوند میان این سه لایه نظری و قابلیت‌های پویای بنگاه نیز در ادبیات اخیر مورد توجه قرار گرفته است. دخیخ و النجری (۲۰۲۶)</w:t>
      </w:r>
      <w:r>
        <w:rPr>
          <w:rStyle w:val="FootnoteReference"/>
        </w:rPr>
        <w:footnoteReference w:id="21"/>
      </w:r>
      <w:r>
        <w:rPr>
          <w:rtl/>
        </w:rPr>
        <w:t xml:space="preserve"> </w:t>
      </w:r>
      <w:r>
        <w:rPr>
          <w:rtl/>
        </w:rPr>
        <w:t xml:space="preserve">نشان دادند که قابلیت‌های پویا از مسیر نوآوری به مزیت رقابتی پایدار بنگاه‌های کوچک و متوسط می‌انجامد و ظرفیت یادگیری سازمانی بالاتر، پیامدهای نوآورانه این قابلیت‌ها را تقویت می‌کند. این یافته را می‌توان چنین خواند که قابلیت‌های درونی بنگاه (لایه منبع‌محور) و مزیت آن در رقابت (لایه رقابت‌محور) ایستا نیستند، بلکه در تعامل پویا با یکدیگر قرار دارند</w:t>
      </w:r>
      <w:r>
        <w:rPr>
          <w:rtl/>
        </w:rPr>
        <w:t xml:space="preserve"> و توان بنگاه برای یکپارچه‌سازی آن‌ها، خود یک قابلیت راهبردی به شمار می‌رود.</w:t>
      </w:r>
    </w:p>
    <w:p>
      <w:pPr>
        <w:pStyle w:val="Heading3"/>
        <w:keepNext/>
        <w:bidi/>
        <w:spacing w:before="180" w:after="80"/>
      </w:pPr>
      <w:bookmarkStart w:id="19" w:name="_Toc200000019"/>
      <w:r>
        <w:t>۲ـ۲ـ۳ مفهوم و ماهیت چالش‌های فروش در بنگاه‌های اقتصادی</w:t>
      </w:r>
      <w:bookmarkEnd w:id="19"/>
    </w:p>
    <w:p>
      <w:pPr>
        <w:bidi/>
        <w:spacing w:after="80" w:line="276" w:lineRule="auto"/>
        <w:ind w:firstLine="720"/>
        <w:jc w:val="both"/>
      </w:pPr>
      <w:r>
        <w:rPr>
          <w:rtl/>
        </w:rPr>
        <w:t xml:space="preserve">این بخش، مفهوم محوری پژوهش حاضر </w:t>
      </w:r>
      <w:r>
        <w:rPr>
          <w:rFonts/>
          <w:rtl/>
        </w:rPr>
        <w:t>یعنی</w:t>
      </w:r>
      <w:r>
        <w:rPr>
          <w:rtl/>
        </w:rPr>
        <w:t xml:space="preserve"> </w:t>
      </w:r>
      <w:r>
        <w:rPr>
          <w:rFonts/>
          <w:rtl/>
        </w:rPr>
        <w:t>چالش‌های</w:t>
      </w:r>
      <w:r>
        <w:rPr>
          <w:rtl/>
        </w:rPr>
        <w:t xml:space="preserve"> </w:t>
      </w:r>
      <w:r>
        <w:rPr>
          <w:rFonts/>
          <w:rtl/>
        </w:rPr>
        <w:t>فروش</w:t>
      </w:r>
      <w:r>
        <w:rPr>
          <w:rtl/>
        </w:rPr>
        <w:t xml:space="preserve"> </w:t>
      </w:r>
      <w:r>
        <w:rPr>
          <w:rFonts/>
          <w:rtl/>
        </w:rPr>
        <w:t>را</w:t>
      </w:r>
      <w:r>
        <w:rPr>
          <w:rtl/>
        </w:rPr>
        <w:t xml:space="preserve"> </w:t>
      </w:r>
      <w:r>
        <w:rPr>
          <w:rFonts/>
          <w:rtl/>
        </w:rPr>
        <w:t>از</w:t>
      </w:r>
      <w:r>
        <w:rPr>
          <w:rtl/>
        </w:rPr>
        <w:t xml:space="preserve"> </w:t>
      </w:r>
      <w:r>
        <w:rPr>
          <w:rFonts/>
          <w:rtl/>
        </w:rPr>
        <w:t>چهار</w:t>
      </w:r>
      <w:r>
        <w:rPr>
          <w:rtl/>
        </w:rPr>
        <w:t xml:space="preserve"> </w:t>
      </w:r>
      <w:r>
        <w:rPr>
          <w:rFonts/>
          <w:rtl/>
        </w:rPr>
        <w:t>زاویه</w:t>
      </w:r>
      <w:r>
        <w:rPr>
          <w:rtl/>
        </w:rPr>
        <w:t xml:space="preserve"> </w:t>
      </w:r>
      <w:r>
        <w:rPr>
          <w:rFonts/>
          <w:rtl/>
        </w:rPr>
        <w:t>بررسی</w:t>
      </w:r>
      <w:r>
        <w:rPr>
          <w:rtl/>
        </w:rPr>
        <w:t xml:space="preserve"> </w:t>
      </w:r>
      <w:r>
        <w:rPr>
          <w:rFonts/>
          <w:rtl/>
        </w:rPr>
        <w:t>می‌کند</w:t>
      </w:r>
      <w:r>
        <w:rPr>
          <w:rtl/>
        </w:rPr>
        <w:t xml:space="preserve">. </w:t>
      </w:r>
      <w:r>
        <w:rPr>
          <w:rFonts/>
          <w:rtl/>
        </w:rPr>
        <w:t xml:space="preserve">در پژوهش اکتشافی، مفاهیم محوری پژوهش پیش از تحلیل داده میدانی از زوایای مکمل در مبانی نظری صورت‌بندی می‌شوند تا مبنای مقایسه نظام‌مند با یافته‌های میدانی فراهم آید</w:t>
      </w:r>
      <w:r>
        <w:rPr>
          <w:rtl/>
        </w:rPr>
        <w:t xml:space="preserve">. بر همین اساس، این بخش چالش‌های فروش را از چهار زاویه </w:t>
      </w:r>
      <w:r>
        <w:rPr>
          <w:rFonts/>
          <w:rtl/>
        </w:rPr>
        <w:t>تعریف</w:t>
      </w:r>
      <w:r>
        <w:rPr>
          <w:rtl/>
        </w:rPr>
        <w:t xml:space="preserve"> </w:t>
      </w:r>
      <w:r>
        <w:rPr>
          <w:rFonts/>
          <w:rtl/>
        </w:rPr>
        <w:t>و</w:t>
      </w:r>
      <w:r>
        <w:rPr>
          <w:rtl/>
        </w:rPr>
        <w:t xml:space="preserve"> </w:t>
      </w:r>
      <w:r>
        <w:rPr>
          <w:rFonts/>
          <w:rtl/>
        </w:rPr>
        <w:t>طبقه‌بندی،</w:t>
      </w:r>
      <w:r>
        <w:rPr>
          <w:rtl/>
        </w:rPr>
        <w:t xml:space="preserve"> </w:t>
      </w:r>
      <w:r>
        <w:rPr>
          <w:rFonts/>
          <w:rtl/>
        </w:rPr>
        <w:t>عوامل</w:t>
      </w:r>
      <w:r>
        <w:rPr>
          <w:rtl/>
        </w:rPr>
        <w:t xml:space="preserve"> </w:t>
      </w:r>
      <w:r>
        <w:rPr>
          <w:rFonts/>
          <w:rtl/>
        </w:rPr>
        <w:t>درون‌سازمانی</w:t>
      </w:r>
      <w:r>
        <w:rPr>
          <w:rtl/>
        </w:rPr>
        <w:t xml:space="preserve"> </w:t>
      </w:r>
      <w:r>
        <w:rPr>
          <w:rFonts/>
          <w:rtl/>
        </w:rPr>
        <w:t>مولد</w:t>
      </w:r>
      <w:r>
        <w:rPr>
          <w:rtl/>
        </w:rPr>
        <w:t xml:space="preserve"> </w:t>
      </w:r>
      <w:r>
        <w:rPr>
          <w:rFonts/>
          <w:rtl/>
        </w:rPr>
        <w:t>آن‌ها،</w:t>
      </w:r>
      <w:r>
        <w:rPr>
          <w:rtl/>
        </w:rPr>
        <w:t xml:space="preserve"> </w:t>
      </w:r>
      <w:r>
        <w:rPr>
          <w:rFonts/>
          <w:rtl/>
        </w:rPr>
        <w:t>عوامل</w:t>
      </w:r>
      <w:r>
        <w:rPr>
          <w:rtl/>
        </w:rPr>
        <w:t xml:space="preserve"> </w:t>
      </w:r>
      <w:r>
        <w:rPr>
          <w:rFonts/>
          <w:rtl/>
        </w:rPr>
        <w:t>برون‌سازمانی</w:t>
      </w:r>
      <w:r>
        <w:rPr>
          <w:rtl/>
        </w:rPr>
        <w:t xml:space="preserve"> </w:t>
      </w:r>
      <w:r>
        <w:rPr>
          <w:rFonts/>
          <w:rtl/>
        </w:rPr>
        <w:t>و</w:t>
      </w:r>
      <w:r>
        <w:rPr>
          <w:rtl/>
        </w:rPr>
        <w:t xml:space="preserve"> </w:t>
      </w:r>
      <w:r>
        <w:rPr>
          <w:rFonts/>
          <w:rtl/>
        </w:rPr>
        <w:t>محیطی</w:t>
      </w:r>
      <w:r>
        <w:rPr>
          <w:rtl/>
        </w:rPr>
        <w:t xml:space="preserve"> </w:t>
      </w:r>
      <w:r>
        <w:rPr>
          <w:rFonts/>
          <w:rtl/>
        </w:rPr>
        <w:t>مؤثر</w:t>
      </w:r>
      <w:r>
        <w:rPr>
          <w:rtl/>
        </w:rPr>
        <w:t xml:space="preserve"> </w:t>
      </w:r>
      <w:r>
        <w:rPr>
          <w:rFonts/>
          <w:rtl/>
        </w:rPr>
        <w:t>بر</w:t>
      </w:r>
      <w:r>
        <w:rPr>
          <w:rtl/>
        </w:rPr>
        <w:t xml:space="preserve"> </w:t>
      </w:r>
      <w:r>
        <w:rPr>
          <w:rFonts/>
          <w:rtl/>
        </w:rPr>
        <w:t>آن‌ها،</w:t>
      </w:r>
      <w:r>
        <w:rPr>
          <w:rtl/>
        </w:rPr>
        <w:t xml:space="preserve"> </w:t>
      </w:r>
      <w:r>
        <w:rPr>
          <w:rFonts/>
          <w:rtl/>
        </w:rPr>
        <w:t>و</w:t>
      </w:r>
      <w:r>
        <w:rPr>
          <w:rtl/>
        </w:rPr>
        <w:t xml:space="preserve"> </w:t>
      </w:r>
      <w:r>
        <w:rPr>
          <w:rFonts/>
          <w:rtl/>
        </w:rPr>
        <w:t>سرانجام</w:t>
      </w:r>
      <w:r>
        <w:rPr>
          <w:rtl/>
        </w:rPr>
        <w:t xml:space="preserve"> </w:t>
      </w:r>
      <w:r>
        <w:rPr>
          <w:rFonts/>
          <w:rtl/>
        </w:rPr>
        <w:t>پیامدهای</w:t>
      </w:r>
      <w:r>
        <w:rPr>
          <w:rtl/>
        </w:rPr>
        <w:t xml:space="preserve"> </w:t>
      </w:r>
      <w:r>
        <w:rPr>
          <w:rFonts/>
          <w:rtl/>
        </w:rPr>
        <w:t>تداوم</w:t>
      </w:r>
      <w:r>
        <w:rPr>
          <w:rtl/>
        </w:rPr>
        <w:t xml:space="preserve"> </w:t>
      </w:r>
      <w:r>
        <w:rPr>
          <w:rFonts/>
          <w:rtl/>
        </w:rPr>
        <w:t>آن‌ها</w:t>
      </w:r>
      <w:r>
        <w:rPr>
          <w:rtl/>
        </w:rPr>
        <w:t xml:space="preserve"> </w:t>
      </w:r>
      <w:r>
        <w:rPr>
          <w:rFonts/>
          <w:rtl/>
        </w:rPr>
        <w:t>بر</w:t>
      </w:r>
      <w:r>
        <w:rPr>
          <w:rtl/>
        </w:rPr>
        <w:t xml:space="preserve"> </w:t>
      </w:r>
      <w:r>
        <w:rPr>
          <w:rFonts/>
          <w:rtl/>
        </w:rPr>
        <w:t>عملکرد</w:t>
      </w:r>
      <w:r>
        <w:rPr>
          <w:rtl/>
        </w:rPr>
        <w:t xml:space="preserve"> </w:t>
      </w:r>
      <w:r>
        <w:rPr>
          <w:rFonts/>
          <w:rtl/>
        </w:rPr>
        <w:t>و</w:t>
      </w:r>
      <w:r>
        <w:rPr>
          <w:rtl/>
        </w:rPr>
        <w:t xml:space="preserve"> </w:t>
      </w:r>
      <w:r>
        <w:rPr>
          <w:rFonts/>
          <w:rtl/>
        </w:rPr>
        <w:t>بقای</w:t>
      </w:r>
      <w:r>
        <w:rPr>
          <w:rtl/>
        </w:rPr>
        <w:t xml:space="preserve"> </w:t>
      </w:r>
      <w:r>
        <w:rPr>
          <w:rFonts/>
          <w:rtl/>
        </w:rPr>
        <w:t>بنگاه</w:t>
      </w:r>
      <w:r>
        <w:rPr>
          <w:rtl/>
        </w:rPr>
        <w:t xml:space="preserve"> </w:t>
      </w:r>
      <w:r>
        <w:rPr>
          <w:rFonts/>
          <w:rtl/>
        </w:rPr>
        <w:t>بررسی</w:t>
      </w:r>
      <w:r>
        <w:rPr>
          <w:rtl/>
        </w:rPr>
        <w:t xml:space="preserve"> </w:t>
      </w:r>
      <w:r>
        <w:rPr>
          <w:rFonts/>
          <w:rtl/>
        </w:rPr>
        <w:t>می‌کند</w:t>
      </w:r>
      <w:r>
        <w:rPr>
          <w:rtl/>
        </w:rPr>
        <w:t>.</w:t>
      </w:r>
    </w:p>
    <w:p>
      <w:pPr>
        <w:pStyle w:val="Heading4"/>
        <w:keepNext/>
        <w:bidi/>
        <w:spacing w:before="180" w:after="80"/>
      </w:pPr>
      <w:r>
        <w:t>۲ـ۲ـ۳ـ۱ تعریف، ویژگی‌ها و طبقه‌بندی چالش‌های فروش</w:t>
      </w:r>
    </w:p>
    <w:p>
      <w:pPr>
        <w:bidi/>
        <w:spacing w:after="80" w:line="276" w:lineRule="auto"/>
        <w:ind w:firstLine="720"/>
        <w:jc w:val="both"/>
      </w:pPr>
      <w:r>
        <w:rPr>
          <w:rtl/>
        </w:rPr>
        <w:t xml:space="preserve">چالش‌های فروش به مجموعه‌ای از موانع و دشواری‌ها گفته می‌شود که توان بنگاه اقتصادی را در دستیابی به اهداف فروش خود کاهش می‌دهند. این موانع می‌توانند درون‌سازمانی </w:t>
      </w:r>
      <w:r>
        <w:rPr>
          <w:rFonts/>
          <w:rtl/>
        </w:rPr>
        <w:t>ناشی</w:t>
      </w:r>
      <w:r>
        <w:rPr>
          <w:rtl/>
        </w:rPr>
        <w:t xml:space="preserve"> </w:t>
      </w:r>
      <w:r>
        <w:rPr>
          <w:rFonts/>
          <w:rtl/>
        </w:rPr>
        <w:t>از</w:t>
      </w:r>
      <w:r>
        <w:rPr>
          <w:rtl/>
        </w:rPr>
        <w:t xml:space="preserve"> </w:t>
      </w:r>
      <w:r>
        <w:rPr>
          <w:rFonts/>
          <w:rtl/>
        </w:rPr>
        <w:t>ساختار،</w:t>
      </w:r>
      <w:r>
        <w:rPr>
          <w:rtl/>
        </w:rPr>
        <w:t xml:space="preserve"> </w:t>
      </w:r>
      <w:r>
        <w:rPr>
          <w:rFonts/>
          <w:rtl/>
        </w:rPr>
        <w:t>فرایندها</w:t>
      </w:r>
      <w:r>
        <w:rPr>
          <w:rtl/>
        </w:rPr>
        <w:t xml:space="preserve"> </w:t>
      </w:r>
      <w:r>
        <w:rPr>
          <w:rFonts/>
          <w:rtl/>
        </w:rPr>
        <w:t>و</w:t>
      </w:r>
      <w:r>
        <w:rPr>
          <w:rtl/>
        </w:rPr>
        <w:t xml:space="preserve"> </w:t>
      </w:r>
      <w:r>
        <w:rPr>
          <w:rFonts/>
          <w:rtl/>
        </w:rPr>
        <w:t>منابع</w:t>
      </w:r>
      <w:r>
        <w:rPr>
          <w:rtl/>
        </w:rPr>
        <w:t xml:space="preserve"> </w:t>
      </w:r>
      <w:r>
        <w:rPr>
          <w:rFonts/>
          <w:rtl/>
        </w:rPr>
        <w:t>خود</w:t>
      </w:r>
      <w:r>
        <w:rPr>
          <w:rtl/>
        </w:rPr>
        <w:t xml:space="preserve"> </w:t>
      </w:r>
      <w:r>
        <w:rPr>
          <w:rFonts/>
          <w:rtl/>
        </w:rPr>
        <w:t>بنگاه</w:t>
      </w:r>
      <w:r>
        <w:rPr>
          <w:rtl/>
        </w:rPr>
        <w:t xml:space="preserve"> </w:t>
      </w:r>
      <w:r>
        <w:rPr>
          <w:rFonts/>
          <w:rtl/>
        </w:rPr>
        <w:t>یا</w:t>
      </w:r>
      <w:r>
        <w:rPr>
          <w:rtl/>
        </w:rPr>
        <w:t xml:space="preserve"> </w:t>
      </w:r>
      <w:r>
        <w:rPr>
          <w:rFonts/>
          <w:rtl/>
        </w:rPr>
        <w:t>برون‌سازمانی</w:t>
      </w:r>
      <w:r>
        <w:rPr>
          <w:rtl/>
        </w:rPr>
        <w:t xml:space="preserve"> </w:t>
      </w:r>
      <w:r>
        <w:rPr>
          <w:rFonts/>
          <w:rtl/>
        </w:rPr>
        <w:t>ناشی</w:t>
      </w:r>
      <w:r>
        <w:rPr>
          <w:rtl/>
        </w:rPr>
        <w:t xml:space="preserve"> </w:t>
      </w:r>
      <w:r>
        <w:rPr>
          <w:rFonts/>
          <w:rtl/>
        </w:rPr>
        <w:t>از</w:t>
      </w:r>
      <w:r>
        <w:rPr>
          <w:rtl/>
        </w:rPr>
        <w:t xml:space="preserve"> </w:t>
      </w:r>
      <w:r>
        <w:rPr>
          <w:rFonts/>
          <w:rtl/>
        </w:rPr>
        <w:t>شرایط</w:t>
      </w:r>
      <w:r>
        <w:rPr>
          <w:rtl/>
        </w:rPr>
        <w:t xml:space="preserve"> </w:t>
      </w:r>
      <w:r>
        <w:rPr>
          <w:rFonts/>
          <w:rtl/>
        </w:rPr>
        <w:t>محیطی</w:t>
      </w:r>
      <w:r>
        <w:rPr>
          <w:rtl/>
        </w:rPr>
        <w:t xml:space="preserve"> </w:t>
      </w:r>
      <w:r>
        <w:rPr>
          <w:rFonts/>
          <w:rtl/>
        </w:rPr>
        <w:t>که</w:t>
      </w:r>
      <w:r>
        <w:rPr>
          <w:rtl/>
        </w:rPr>
        <w:t xml:space="preserve"> </w:t>
      </w:r>
      <w:r>
        <w:rPr>
          <w:rFonts/>
          <w:rtl/>
        </w:rPr>
        <w:t>خارج</w:t>
      </w:r>
      <w:r>
        <w:rPr>
          <w:rtl/>
        </w:rPr>
        <w:t xml:space="preserve"> </w:t>
      </w:r>
      <w:r>
        <w:rPr>
          <w:rFonts/>
          <w:rtl/>
        </w:rPr>
        <w:t>از</w:t>
      </w:r>
      <w:r>
        <w:rPr>
          <w:rtl/>
        </w:rPr>
        <w:t xml:space="preserve"> </w:t>
      </w:r>
      <w:r>
        <w:rPr>
          <w:rFonts/>
          <w:rtl/>
        </w:rPr>
        <w:t>کنترل</w:t>
      </w:r>
      <w:r>
        <w:rPr>
          <w:rtl/>
        </w:rPr>
        <w:t xml:space="preserve"> </w:t>
      </w:r>
      <w:r>
        <w:rPr>
          <w:rFonts/>
          <w:rtl/>
        </w:rPr>
        <w:t>مستقیم</w:t>
      </w:r>
      <w:r>
        <w:rPr>
          <w:rtl/>
        </w:rPr>
        <w:t xml:space="preserve"> </w:t>
      </w:r>
      <w:r>
        <w:rPr>
          <w:rFonts/>
          <w:rtl/>
        </w:rPr>
        <w:t>بنگاه</w:t>
      </w:r>
      <w:r>
        <w:rPr>
          <w:rtl/>
        </w:rPr>
        <w:t xml:space="preserve"> </w:t>
      </w:r>
      <w:r>
        <w:rPr>
          <w:rFonts/>
          <w:rtl/>
        </w:rPr>
        <w:t>شکل</w:t>
      </w:r>
      <w:r>
        <w:rPr>
          <w:rtl/>
        </w:rPr>
        <w:t xml:space="preserve"> </w:t>
      </w:r>
      <w:r>
        <w:rPr>
          <w:rFonts/>
          <w:rtl/>
        </w:rPr>
        <w:t>می‌گی</w:t>
      </w:r>
      <w:r>
        <w:rPr>
          <w:rtl/>
        </w:rPr>
        <w:t xml:space="preserve">رند </w:t>
      </w:r>
      <w:r>
        <w:rPr>
          <w:rFonts/>
          <w:rtl/>
        </w:rPr>
        <w:t>باشند</w:t>
      </w:r>
      <w:r>
        <w:rPr>
          <w:rtl/>
        </w:rPr>
        <w:t xml:space="preserve">. </w:t>
      </w:r>
      <w:r>
        <w:rPr>
          <w:rFonts/>
          <w:rtl/>
        </w:rPr>
        <w:t xml:space="preserve">طبقه‌بندی</w:t>
      </w:r>
      <w:r>
        <w:rPr>
          <w:rtl/>
        </w:rPr>
        <w:t xml:space="preserve"> </w:t>
      </w:r>
      <w:r>
        <w:rPr>
          <w:rFonts/>
          <w:rtl/>
        </w:rPr>
        <w:t>چالش‌های</w:t>
      </w:r>
      <w:r>
        <w:rPr>
          <w:rtl/>
        </w:rPr>
        <w:t xml:space="preserve"> </w:t>
      </w:r>
      <w:r>
        <w:rPr>
          <w:rFonts/>
          <w:rtl/>
        </w:rPr>
        <w:t>فروش</w:t>
      </w:r>
      <w:r>
        <w:rPr>
          <w:rtl/>
        </w:rPr>
        <w:t xml:space="preserve"> </w:t>
      </w:r>
      <w:r>
        <w:rPr>
          <w:rFonts/>
          <w:rtl/>
        </w:rPr>
        <w:t>در</w:t>
      </w:r>
      <w:r>
        <w:rPr>
          <w:rtl/>
        </w:rPr>
        <w:t xml:space="preserve"> </w:t>
      </w:r>
      <w:r>
        <w:rPr>
          <w:rFonts/>
          <w:rtl/>
        </w:rPr>
        <w:t>صنایعی</w:t>
      </w:r>
      <w:r>
        <w:rPr>
          <w:rtl/>
        </w:rPr>
        <w:t xml:space="preserve"> </w:t>
      </w:r>
      <w:r>
        <w:rPr>
          <w:rFonts/>
          <w:rtl/>
        </w:rPr>
        <w:t>که</w:t>
      </w:r>
      <w:r>
        <w:rPr>
          <w:rtl/>
        </w:rPr>
        <w:t xml:space="preserve"> </w:t>
      </w:r>
      <w:r>
        <w:rPr>
          <w:rFonts/>
          <w:rtl/>
        </w:rPr>
        <w:t>با</w:t>
      </w:r>
      <w:r>
        <w:rPr>
          <w:rtl/>
        </w:rPr>
        <w:t xml:space="preserve"> </w:t>
      </w:r>
      <w:r>
        <w:rPr>
          <w:rFonts/>
          <w:rtl/>
        </w:rPr>
        <w:t>نوسانات</w:t>
      </w:r>
      <w:r>
        <w:rPr>
          <w:rtl/>
        </w:rPr>
        <w:t xml:space="preserve"> </w:t>
      </w:r>
      <w:r>
        <w:rPr>
          <w:rFonts/>
          <w:rtl/>
        </w:rPr>
        <w:t>بالای</w:t>
      </w:r>
      <w:r>
        <w:rPr>
          <w:rtl/>
        </w:rPr>
        <w:t xml:space="preserve"> </w:t>
      </w:r>
      <w:r>
        <w:rPr>
          <w:rFonts/>
          <w:rtl/>
        </w:rPr>
        <w:t>زنجیره</w:t>
      </w:r>
      <w:r>
        <w:rPr>
          <w:rtl/>
        </w:rPr>
        <w:t xml:space="preserve"> </w:t>
      </w:r>
      <w:r>
        <w:rPr>
          <w:rFonts/>
          <w:rtl/>
        </w:rPr>
        <w:t>تأمین</w:t>
      </w:r>
      <w:r>
        <w:rPr>
          <w:rtl/>
        </w:rPr>
        <w:t xml:space="preserve"> </w:t>
      </w:r>
      <w:r>
        <w:rPr>
          <w:rFonts/>
          <w:rtl/>
        </w:rPr>
        <w:t>همراه</w:t>
      </w:r>
      <w:r>
        <w:rPr>
          <w:rtl/>
        </w:rPr>
        <w:t xml:space="preserve"> </w:t>
      </w:r>
      <w:r>
        <w:rPr>
          <w:rFonts/>
          <w:rtl/>
        </w:rPr>
        <w:t>هستند،</w:t>
      </w:r>
      <w:r>
        <w:rPr>
          <w:rtl/>
        </w:rPr>
        <w:t xml:space="preserve"> </w:t>
      </w:r>
      <w:r>
        <w:rPr>
          <w:rFonts/>
          <w:rtl/>
        </w:rPr>
        <w:t>ابعاد</w:t>
      </w:r>
      <w:r>
        <w:rPr>
          <w:rtl/>
        </w:rPr>
        <w:t xml:space="preserve"> </w:t>
      </w:r>
      <w:r>
        <w:rPr>
          <w:rFonts/>
          <w:rtl/>
        </w:rPr>
        <w:t>گسترده‌تری</w:t>
      </w:r>
      <w:r>
        <w:rPr>
          <w:rtl/>
        </w:rPr>
        <w:t xml:space="preserve"> </w:t>
      </w:r>
      <w:r>
        <w:rPr>
          <w:rFonts/>
          <w:rtl/>
        </w:rPr>
        <w:t>پیدا</w:t>
      </w:r>
      <w:r>
        <w:rPr>
          <w:rtl/>
        </w:rPr>
        <w:t xml:space="preserve"> </w:t>
      </w:r>
      <w:r>
        <w:rPr>
          <w:rFonts/>
          <w:rtl/>
        </w:rPr>
        <w:t>می‌کند؛</w:t>
      </w:r>
      <w:r>
        <w:rPr>
          <w:rtl/>
        </w:rPr>
        <w:t xml:space="preserve"> </w:t>
      </w:r>
      <w:r>
        <w:rPr>
          <w:rFonts/>
          <w:rtl/>
        </w:rPr>
        <w:t xml:space="preserve">کریمی و همکاران (۱۴۰۳) در الگوی خود، اختلال‌های طبیعی و اقتصادی را از عوامل اثرگذار بر تاب‌آوری و موقعیت بازاری زنجیره تأمین مواد غذایی معرفی کردند؛ یافته‌ای که با امتداد اختلال‌های بالادستی تا سطح بازار و فروش سازگار است</w:t>
      </w:r>
      <w:r>
        <w:rPr>
          <w:rtl/>
        </w:rPr>
        <w:t xml:space="preserve">. زین و همکاران (۲۰۲۳)</w:t>
      </w:r>
      <w:r>
        <w:rPr>
          <w:rStyle w:val="FootnoteReference"/>
        </w:rPr>
        <w:footnoteReference w:id="22"/>
      </w:r>
      <w:r>
        <w:rPr>
          <w:rtl/>
        </w:rPr>
        <w:t xml:space="preserve"> نیز در بنگاه‌های کوچک و متوسط صنعت غذا و آشامیدنی، </w:t>
      </w:r>
      <w:r>
        <w:rPr>
          <w:rtl/>
        </w:rPr>
        <w:t xml:space="preserve">موانع مدیریت زنجیره تأمین سبز را در پنج گروه فناورانه، اطلاعاتی، مالی، سازمانی، و مشارکت و حمایت طبقه‌بندی و اولویت‌بندی کردند</w:t>
      </w:r>
      <w:r>
        <w:rPr>
          <w:rtl/>
        </w:rPr>
        <w:t xml:space="preserve">.</w:t>
      </w:r>
    </w:p>
    <w:p>
      <w:pPr>
        <w:bidi/>
        <w:spacing w:after="80" w:line="276" w:lineRule="auto"/>
        <w:ind w:firstLine="720"/>
        <w:jc w:val="both"/>
      </w:pPr>
      <w:r>
        <w:rPr>
          <w:rtl/>
        </w:rPr>
        <w:t>ویژگی مشترک چالش‌های فروش در طبقه‌بندی‌های گوناگون، ماهیت به‌هم‌پیوسته آن‌هاست. سینگ و همکاران (۲۰۲۲)</w:t>
      </w:r>
      <w:r>
        <w:rPr>
          <w:rStyle w:val="FootnoteReference"/>
        </w:rPr>
        <w:footnoteReference w:id="23"/>
      </w:r>
      <w:r>
        <w:rPr>
          <w:rtl/>
        </w:rPr>
        <w:t xml:space="preserve"> </w:t>
      </w:r>
      <w:r>
        <w:rPr>
          <w:rtl/>
        </w:rPr>
        <w:t xml:space="preserve">با روش دلفی و تحلیل سلسله‌مراتبی، </w:t>
      </w:r>
      <w:r>
        <w:rPr>
          <w:rtl/>
        </w:rPr>
        <w:t xml:space="preserve">هجده مانع رشد صنعت فرآوری مواد غذایی هند را در سه سطح مزرعه، توزیع و مصرف‌کننده شناسایی و اولویت‌بندی کردند</w:t>
      </w:r>
      <w:r>
        <w:rPr>
          <w:rtl/>
        </w:rPr>
        <w:t xml:space="preserve">. با این حال، چالش‌ها در عمل جدا از هم عمل نمی‌کنند و یک مانع می‌تواند موانع دیگری را در سطوح دیگر زنجیره پدید آورد</w:t>
      </w:r>
      <w:r>
        <w:rPr>
          <w:rtl/>
        </w:rPr>
        <w:t xml:space="preserve">. برای نمونه، نوسان تأمین می‌تواند بلافاصله چالش‌های دیگری مانند ناتوانی در تحویل به موقع، افت اعتماد مشتری و درگیری در رقابت قیمتی را به دنبال آورد. این زنجیره علّی، رتبه‌بندی چالش‌ها را به تصمیمی استراتژیک تبدیل می‌کند: باید آنچه گلوگاه اصلی است را شناخت، نه صرفاً آنچه رایج‌ترین شکایت است.</w:t>
      </w:r>
    </w:p>
    <w:p>
      <w:pPr>
        <w:bidi/>
        <w:spacing w:after="80" w:line="276" w:lineRule="auto"/>
        <w:ind w:firstLine="720"/>
        <w:jc w:val="both"/>
      </w:pPr>
      <w:r>
        <w:rPr>
          <w:rtl/>
        </w:rPr>
        <w:t>از منظر روش‌شناختی نیز، شناسایی چالش‌های فروش در پژوهش‌های کیفی اکتشافی با پژوهش‌های کمی پیمایشی تفاوت بنیادین دارد. در رویکرد کمی، فهرست چالش‌ها معمولاً از پیش بر پایه مرور ادبیات تعیین و در قالب پرسشنامه به پاسخ‌دهنده عرضه می‌شود؛ رویکردی که خطر نادیده ماندن چالش‌های بومی و زمینه‌مند را به همراه دارد. شاه و همکاران (۲۰۲۳)</w:t>
      </w:r>
      <w:r>
        <w:rPr>
          <w:rStyle w:val="FootnoteReference"/>
        </w:rPr>
        <w:footnoteReference w:id="24"/>
      </w:r>
      <w:r>
        <w:rPr>
          <w:rtl/>
        </w:rPr>
        <w:t xml:space="preserve"> </w:t>
      </w:r>
      <w:r>
        <w:rPr>
          <w:rtl/>
        </w:rPr>
        <w:t xml:space="preserve">با مصاحبه نیمه‌ساختاریافته با بیست‌وپنج کارآفرین فرآورده‌های ارزن در هند، فرصت‌ها و موانع کارآفرینی غذایی را به جای فهرستی از پیش تعیین‌شده، از زبان خود فعالان شناسایی کردند</w:t>
      </w:r>
      <w:r>
        <w:rPr>
          <w:rtl/>
        </w:rPr>
        <w:t xml:space="preserve">. پژوهش حاضر نیز از همین رویکرد اکتشافی بهره می‌گیرد که در آن خودِ فهرست چالش‌ها از دل روایت آزاد خبرگان صنعت استخراج می‌شود.</w:t>
      </w:r>
    </w:p>
    <w:p>
      <w:pPr>
        <w:bidi/>
        <w:spacing w:after="80" w:line="276" w:lineRule="auto"/>
        <w:ind w:firstLine="720"/>
        <w:jc w:val="both"/>
      </w:pPr>
      <w:r>
        <w:rPr>
          <w:rtl/>
        </w:rPr>
        <w:t xml:space="preserve">چالش‌های فروش را همچنین می‌توان بر پایه افق زمانی اثرشان تفکیک کرد: دسته‌ای عملیاتی و کوتاه‌مدت‌اند </w:t>
      </w:r>
      <w:r>
        <w:rPr>
          <w:rFonts/>
          <w:rtl/>
        </w:rPr>
        <w:t>مانند</w:t>
      </w:r>
      <w:r>
        <w:rPr>
          <w:rtl/>
        </w:rPr>
        <w:t xml:space="preserve"> </w:t>
      </w:r>
      <w:r>
        <w:rPr>
          <w:rFonts/>
          <w:rtl/>
        </w:rPr>
        <w:t>کسری</w:t>
      </w:r>
      <w:r>
        <w:rPr>
          <w:rtl/>
        </w:rPr>
        <w:t xml:space="preserve"> </w:t>
      </w:r>
      <w:r>
        <w:rPr>
          <w:rFonts/>
          <w:rtl/>
        </w:rPr>
        <w:t>موجودی</w:t>
      </w:r>
      <w:r>
        <w:rPr>
          <w:rtl/>
        </w:rPr>
        <w:t xml:space="preserve"> </w:t>
      </w:r>
      <w:r>
        <w:rPr>
          <w:rFonts/>
          <w:rtl/>
        </w:rPr>
        <w:t>در</w:t>
      </w:r>
      <w:r>
        <w:rPr>
          <w:rtl/>
        </w:rPr>
        <w:t xml:space="preserve"> </w:t>
      </w:r>
      <w:r>
        <w:rPr>
          <w:rFonts/>
          <w:rtl/>
        </w:rPr>
        <w:t>یک</w:t>
      </w:r>
      <w:r>
        <w:rPr>
          <w:rtl/>
        </w:rPr>
        <w:t xml:space="preserve"> </w:t>
      </w:r>
      <w:r>
        <w:rPr>
          <w:rFonts/>
          <w:rtl/>
        </w:rPr>
        <w:t>دوره</w:t>
      </w:r>
      <w:r>
        <w:rPr>
          <w:rtl/>
        </w:rPr>
        <w:t xml:space="preserve"> </w:t>
      </w:r>
      <w:r>
        <w:rPr>
          <w:rFonts/>
          <w:rtl/>
        </w:rPr>
        <w:t>خاص</w:t>
      </w:r>
      <w:r>
        <w:rPr>
          <w:rtl/>
        </w:rPr>
        <w:t xml:space="preserve"> </w:t>
      </w:r>
      <w:r>
        <w:rPr>
          <w:rFonts/>
          <w:rtl/>
        </w:rPr>
        <w:t>و</w:t>
      </w:r>
      <w:r>
        <w:rPr>
          <w:rtl/>
        </w:rPr>
        <w:t xml:space="preserve"> </w:t>
      </w:r>
      <w:r>
        <w:rPr>
          <w:rFonts/>
          <w:rtl/>
        </w:rPr>
        <w:t>با</w:t>
      </w:r>
      <w:r>
        <w:rPr>
          <w:rtl/>
        </w:rPr>
        <w:t xml:space="preserve"> </w:t>
      </w:r>
      <w:r>
        <w:rPr>
          <w:rFonts/>
          <w:rtl/>
        </w:rPr>
        <w:t>اصلاح</w:t>
      </w:r>
      <w:r>
        <w:rPr>
          <w:rtl/>
        </w:rPr>
        <w:t xml:space="preserve"> </w:t>
      </w:r>
      <w:r>
        <w:rPr>
          <w:rFonts/>
          <w:rtl/>
        </w:rPr>
        <w:t>رویه‌های</w:t>
      </w:r>
      <w:r>
        <w:rPr>
          <w:rtl/>
        </w:rPr>
        <w:t xml:space="preserve"> </w:t>
      </w:r>
      <w:r>
        <w:rPr>
          <w:rFonts/>
          <w:rtl/>
        </w:rPr>
        <w:t>اجرایی</w:t>
      </w:r>
      <w:r>
        <w:rPr>
          <w:rtl/>
        </w:rPr>
        <w:t xml:space="preserve"> </w:t>
      </w:r>
      <w:r>
        <w:rPr>
          <w:rFonts/>
          <w:rtl/>
        </w:rPr>
        <w:t>قابل</w:t>
      </w:r>
      <w:r>
        <w:rPr>
          <w:rtl/>
        </w:rPr>
        <w:t xml:space="preserve"> </w:t>
      </w:r>
      <w:r>
        <w:rPr>
          <w:rFonts/>
          <w:rtl/>
        </w:rPr>
        <w:t>رفع‌اند؛</w:t>
      </w:r>
      <w:r>
        <w:rPr>
          <w:rtl/>
        </w:rPr>
        <w:t xml:space="preserve"> </w:t>
      </w:r>
      <w:r>
        <w:rPr>
          <w:rFonts/>
          <w:rtl/>
        </w:rPr>
        <w:t>دسته‌ای</w:t>
      </w:r>
      <w:r>
        <w:rPr>
          <w:rtl/>
        </w:rPr>
        <w:t xml:space="preserve"> </w:t>
      </w:r>
      <w:r>
        <w:rPr>
          <w:rFonts/>
          <w:rtl/>
        </w:rPr>
        <w:t>دیگر</w:t>
      </w:r>
      <w:r>
        <w:rPr>
          <w:rtl/>
        </w:rPr>
        <w:t xml:space="preserve"> </w:t>
      </w:r>
      <w:r>
        <w:rPr>
          <w:rFonts/>
          <w:rtl/>
        </w:rPr>
        <w:t>راهبردی</w:t>
      </w:r>
      <w:r>
        <w:rPr>
          <w:rtl/>
        </w:rPr>
        <w:t xml:space="preserve"> </w:t>
      </w:r>
      <w:r>
        <w:rPr>
          <w:rFonts/>
          <w:rtl/>
        </w:rPr>
        <w:t>و</w:t>
      </w:r>
      <w:r>
        <w:rPr>
          <w:rtl/>
        </w:rPr>
        <w:t xml:space="preserve"> </w:t>
      </w:r>
      <w:r>
        <w:rPr>
          <w:rFonts/>
          <w:rtl/>
        </w:rPr>
        <w:t>ساختاری‌اند</w:t>
      </w:r>
      <w:r>
        <w:rPr>
          <w:rtl/>
        </w:rPr>
        <w:t xml:space="preserve"> </w:t>
      </w:r>
      <w:r>
        <w:rPr>
          <w:rFonts/>
          <w:rtl/>
        </w:rPr>
        <w:t>مانند</w:t>
      </w:r>
      <w:r>
        <w:rPr>
          <w:rtl/>
        </w:rPr>
        <w:t xml:space="preserve"> </w:t>
      </w:r>
      <w:r>
        <w:rPr>
          <w:rFonts/>
          <w:rtl/>
        </w:rPr>
        <w:t>فقدان</w:t>
      </w:r>
      <w:r>
        <w:rPr>
          <w:rtl/>
        </w:rPr>
        <w:t xml:space="preserve"> </w:t>
      </w:r>
      <w:r>
        <w:rPr>
          <w:rFonts/>
          <w:rtl/>
        </w:rPr>
        <w:t>تنوع</w:t>
      </w:r>
      <w:r>
        <w:rPr>
          <w:rtl/>
        </w:rPr>
        <w:t xml:space="preserve"> </w:t>
      </w:r>
      <w:r>
        <w:rPr>
          <w:rFonts/>
          <w:rtl/>
        </w:rPr>
        <w:t>در</w:t>
      </w:r>
      <w:r>
        <w:rPr>
          <w:rtl/>
        </w:rPr>
        <w:t xml:space="preserve"> </w:t>
      </w:r>
      <w:r>
        <w:rPr>
          <w:rFonts/>
          <w:rtl/>
        </w:rPr>
        <w:t>منابع</w:t>
      </w:r>
      <w:r>
        <w:rPr>
          <w:rtl/>
        </w:rPr>
        <w:t xml:space="preserve"> </w:t>
      </w:r>
      <w:r>
        <w:rPr>
          <w:rFonts/>
          <w:rtl/>
        </w:rPr>
        <w:t>درآمدی</w:t>
      </w:r>
      <w:r>
        <w:rPr>
          <w:rtl/>
        </w:rPr>
        <w:t xml:space="preserve"> </w:t>
      </w:r>
      <w:r>
        <w:rPr>
          <w:rFonts/>
          <w:rtl/>
        </w:rPr>
        <w:t>و</w:t>
      </w:r>
      <w:r>
        <w:rPr>
          <w:rtl/>
        </w:rPr>
        <w:t xml:space="preserve"> </w:t>
      </w:r>
      <w:r>
        <w:rPr>
          <w:rFonts/>
          <w:rtl/>
        </w:rPr>
        <w:t>تنها</w:t>
      </w:r>
      <w:r>
        <w:rPr>
          <w:rtl/>
        </w:rPr>
        <w:t xml:space="preserve"> با بازنگری در جایگاه‌یابی بلندمدت بنگاه قابل مدیریت‌اند. </w:t>
      </w:r>
      <w:r>
        <w:rPr>
          <w:rtl/>
        </w:rPr>
        <w:t xml:space="preserve">این تمایز</w:t>
      </w:r>
      <w:r>
        <w:rPr>
          <w:rtl/>
        </w:rPr>
        <w:t xml:space="preserve"> برای بنگاه تک‌محصولی اهمیت ویژه‌ای دارد، زیرا بسیاری از چالش‌های ظاهراً عملیاتی آن، در واقع ریشه در همان محدودیت ساختاری تمرکز بر یک محصول دارند.</w:t>
      </w:r>
    </w:p>
    <w:p>
      <w:pPr>
        <w:bidi/>
        <w:spacing w:after="80" w:line="276" w:lineRule="auto"/>
        <w:ind w:firstLine="720"/>
        <w:jc w:val="both"/>
      </w:pPr>
      <w:r>
        <w:rPr>
          <w:rtl/>
        </w:rPr>
        <w:t xml:space="preserve">سطح دیگری از طبقه‌بندی، تمایز میان چالش‌های قابل‌اندازه‌گیری کمّی </w:t>
      </w:r>
      <w:r>
        <w:rPr>
          <w:rFonts/>
          <w:rtl/>
        </w:rPr>
        <w:t>مانند</w:t>
      </w:r>
      <w:r>
        <w:rPr>
          <w:rtl/>
        </w:rPr>
        <w:t xml:space="preserve"> </w:t>
      </w:r>
      <w:r>
        <w:rPr>
          <w:rFonts/>
          <w:rtl/>
        </w:rPr>
        <w:t>درصد</w:t>
      </w:r>
      <w:r>
        <w:rPr>
          <w:rtl/>
        </w:rPr>
        <w:t xml:space="preserve"> </w:t>
      </w:r>
      <w:r>
        <w:rPr>
          <w:rFonts/>
          <w:rtl/>
        </w:rPr>
        <w:t>افت</w:t>
      </w:r>
      <w:r>
        <w:rPr>
          <w:rtl/>
        </w:rPr>
        <w:t xml:space="preserve"> </w:t>
      </w:r>
      <w:r>
        <w:rPr>
          <w:rFonts/>
          <w:rtl/>
        </w:rPr>
        <w:t>فروش</w:t>
      </w:r>
      <w:r>
        <w:rPr>
          <w:rtl/>
        </w:rPr>
        <w:t xml:space="preserve"> </w:t>
      </w:r>
      <w:r>
        <w:rPr>
          <w:rFonts/>
          <w:rtl/>
        </w:rPr>
        <w:t>یا</w:t>
      </w:r>
      <w:r>
        <w:rPr>
          <w:rtl/>
        </w:rPr>
        <w:t xml:space="preserve"> </w:t>
      </w:r>
      <w:r>
        <w:rPr>
          <w:rFonts/>
          <w:rtl/>
        </w:rPr>
        <w:t>نرخ</w:t>
      </w:r>
      <w:r>
        <w:rPr>
          <w:rtl/>
        </w:rPr>
        <w:t xml:space="preserve"> </w:t>
      </w:r>
      <w:r>
        <w:rPr>
          <w:rFonts/>
          <w:rtl/>
        </w:rPr>
        <w:t>بازگشت</w:t>
      </w:r>
      <w:r>
        <w:rPr>
          <w:rtl/>
        </w:rPr>
        <w:t xml:space="preserve"> </w:t>
      </w:r>
      <w:r>
        <w:rPr>
          <w:rFonts/>
          <w:rtl/>
        </w:rPr>
        <w:t>کالا</w:t>
      </w:r>
      <w:r>
        <w:rPr>
          <w:rtl/>
        </w:rPr>
        <w:t xml:space="preserve"> </w:t>
      </w:r>
      <w:r>
        <w:rPr>
          <w:rFonts/>
          <w:rtl/>
        </w:rPr>
        <w:t>و</w:t>
      </w:r>
      <w:r>
        <w:rPr>
          <w:rtl/>
        </w:rPr>
        <w:t xml:space="preserve"> </w:t>
      </w:r>
      <w:r>
        <w:rPr>
          <w:rFonts/>
          <w:rtl/>
        </w:rPr>
        <w:t>چالش‌های</w:t>
      </w:r>
      <w:r>
        <w:rPr>
          <w:rtl/>
        </w:rPr>
        <w:t xml:space="preserve"> </w:t>
      </w:r>
      <w:r>
        <w:rPr>
          <w:rFonts/>
          <w:rtl/>
        </w:rPr>
        <w:t>کیفی</w:t>
      </w:r>
      <w:r>
        <w:rPr>
          <w:rtl/>
        </w:rPr>
        <w:t xml:space="preserve"> </w:t>
      </w:r>
      <w:r>
        <w:rPr>
          <w:rFonts/>
          <w:rtl/>
        </w:rPr>
        <w:t>و</w:t>
      </w:r>
      <w:r>
        <w:rPr>
          <w:rtl/>
        </w:rPr>
        <w:t xml:space="preserve"> </w:t>
      </w:r>
      <w:r>
        <w:rPr>
          <w:rFonts/>
          <w:rtl/>
        </w:rPr>
        <w:t>ادراکی</w:t>
      </w:r>
      <w:r>
        <w:rPr>
          <w:rtl/>
        </w:rPr>
        <w:t xml:space="preserve"> مانند کاهش اعتماد خرده‌فروش یا افت انگیزه نیروی فروش </w:t>
      </w:r>
      <w:r>
        <w:rPr>
          <w:rFonts/>
          <w:rtl/>
        </w:rPr>
        <w:t>است</w:t>
      </w:r>
      <w:r>
        <w:rPr>
          <w:rtl/>
        </w:rPr>
        <w:t xml:space="preserve">. </w:t>
      </w:r>
      <w:r>
        <w:rPr>
          <w:rFonts/>
          <w:rtl/>
        </w:rPr>
        <w:t>در</w:t>
      </w:r>
      <w:r>
        <w:rPr>
          <w:rtl/>
        </w:rPr>
        <w:t xml:space="preserve"> </w:t>
      </w:r>
      <w:r>
        <w:rPr>
          <w:rFonts/>
          <w:rtl/>
        </w:rPr>
        <w:t>پژوهش‌های</w:t>
      </w:r>
      <w:r>
        <w:rPr>
          <w:rtl/>
        </w:rPr>
        <w:t xml:space="preserve"> </w:t>
      </w:r>
      <w:r>
        <w:rPr>
          <w:rFonts/>
          <w:rtl/>
        </w:rPr>
        <w:t>پیمایشی،</w:t>
      </w:r>
      <w:r>
        <w:rPr>
          <w:rtl/>
        </w:rPr>
        <w:t xml:space="preserve"> </w:t>
      </w:r>
      <w:r>
        <w:rPr>
          <w:rFonts/>
          <w:rtl/>
        </w:rPr>
        <w:t>دسته</w:t>
      </w:r>
      <w:r>
        <w:rPr>
          <w:rtl/>
        </w:rPr>
        <w:t xml:space="preserve"> </w:t>
      </w:r>
      <w:r>
        <w:rPr>
          <w:rFonts/>
          <w:rtl/>
        </w:rPr>
        <w:t>نخست</w:t>
      </w:r>
      <w:r>
        <w:rPr>
          <w:rtl/>
        </w:rPr>
        <w:t xml:space="preserve"> </w:t>
      </w:r>
      <w:r>
        <w:rPr>
          <w:rFonts/>
          <w:rtl/>
        </w:rPr>
        <w:t>معمولاً</w:t>
      </w:r>
      <w:r>
        <w:rPr>
          <w:rtl/>
        </w:rPr>
        <w:t xml:space="preserve"> </w:t>
      </w:r>
      <w:r>
        <w:rPr>
          <w:rFonts/>
          <w:rtl/>
        </w:rPr>
        <w:t>آسان‌تر</w:t>
      </w:r>
      <w:r>
        <w:rPr>
          <w:rtl/>
        </w:rPr>
        <w:t xml:space="preserve"> </w:t>
      </w:r>
      <w:r>
        <w:rPr>
          <w:rFonts/>
          <w:rtl/>
        </w:rPr>
        <w:t>ثبت</w:t>
      </w:r>
      <w:r>
        <w:rPr>
          <w:rtl/>
        </w:rPr>
        <w:t xml:space="preserve"> </w:t>
      </w:r>
      <w:r>
        <w:rPr>
          <w:rFonts/>
          <w:rtl/>
        </w:rPr>
        <w:t>و</w:t>
      </w:r>
      <w:r>
        <w:rPr>
          <w:rtl/>
        </w:rPr>
        <w:t xml:space="preserve"> </w:t>
      </w:r>
      <w:r>
        <w:rPr>
          <w:rFonts/>
          <w:rtl/>
        </w:rPr>
        <w:t>تحلیل</w:t>
      </w:r>
      <w:r>
        <w:rPr>
          <w:rtl/>
        </w:rPr>
        <w:t xml:space="preserve"> </w:t>
      </w:r>
      <w:r>
        <w:rPr>
          <w:rFonts/>
          <w:rtl/>
        </w:rPr>
        <w:t>می‌شود</w:t>
      </w:r>
      <w:r>
        <w:rPr>
          <w:rtl/>
        </w:rPr>
        <w:t xml:space="preserve"> </w:t>
      </w:r>
      <w:r>
        <w:rPr>
          <w:rFonts/>
          <w:rtl/>
        </w:rPr>
        <w:t>و</w:t>
      </w:r>
      <w:r>
        <w:rPr>
          <w:rtl/>
        </w:rPr>
        <w:t xml:space="preserve"> </w:t>
      </w:r>
      <w:r>
        <w:rPr>
          <w:rFonts/>
          <w:rtl/>
        </w:rPr>
        <w:t>دسته</w:t>
      </w:r>
      <w:r>
        <w:rPr>
          <w:rtl/>
        </w:rPr>
        <w:t xml:space="preserve"> </w:t>
      </w:r>
      <w:r>
        <w:rPr>
          <w:rFonts/>
          <w:rtl/>
        </w:rPr>
        <w:t>دوم</w:t>
      </w:r>
      <w:r>
        <w:rPr>
          <w:rtl/>
        </w:rPr>
        <w:t xml:space="preserve"> </w:t>
      </w:r>
      <w:r>
        <w:rPr>
          <w:rFonts/>
          <w:rtl/>
        </w:rPr>
        <w:t>به</w:t>
      </w:r>
      <w:r>
        <w:rPr>
          <w:rtl/>
        </w:rPr>
        <w:t xml:space="preserve"> </w:t>
      </w:r>
      <w:r>
        <w:rPr>
          <w:rFonts/>
          <w:rtl/>
        </w:rPr>
        <w:t>سادگی</w:t>
      </w:r>
      <w:r>
        <w:rPr>
          <w:rtl/>
        </w:rPr>
        <w:t xml:space="preserve"> </w:t>
      </w:r>
      <w:r>
        <w:rPr>
          <w:rFonts/>
          <w:rtl/>
        </w:rPr>
        <w:t>نادیده</w:t>
      </w:r>
      <w:r>
        <w:rPr>
          <w:rtl/>
        </w:rPr>
        <w:t xml:space="preserve"> </w:t>
      </w:r>
      <w:r>
        <w:rPr>
          <w:rFonts/>
          <w:rtl/>
        </w:rPr>
        <w:t>گرفته</w:t>
      </w:r>
      <w:r>
        <w:rPr>
          <w:rtl/>
        </w:rPr>
        <w:t xml:space="preserve"> </w:t>
      </w:r>
      <w:r>
        <w:rPr>
          <w:rFonts/>
          <w:rtl/>
        </w:rPr>
        <w:t>می‌شود؛</w:t>
      </w:r>
      <w:r>
        <w:rPr>
          <w:rtl/>
        </w:rPr>
        <w:t xml:space="preserve"> </w:t>
      </w:r>
      <w:r>
        <w:rPr>
          <w:rFonts/>
          <w:rtl/>
        </w:rPr>
        <w:t>حال</w:t>
      </w:r>
      <w:r>
        <w:rPr>
          <w:rtl/>
        </w:rPr>
        <w:t xml:space="preserve"> </w:t>
      </w:r>
      <w:r>
        <w:rPr>
          <w:rFonts/>
          <w:rtl/>
        </w:rPr>
        <w:t>آنکه</w:t>
      </w:r>
      <w:r>
        <w:rPr>
          <w:rtl/>
        </w:rPr>
        <w:t xml:space="preserve"> </w:t>
      </w:r>
      <w:r>
        <w:rPr>
          <w:rFonts/>
          <w:rtl/>
        </w:rPr>
        <w:t>شاه</w:t>
      </w:r>
      <w:r>
        <w:rPr>
          <w:rtl/>
        </w:rPr>
        <w:t xml:space="preserve"> </w:t>
      </w:r>
      <w:r>
        <w:rPr>
          <w:rFonts/>
          <w:rtl/>
        </w:rPr>
        <w:t>و</w:t>
      </w:r>
      <w:r>
        <w:rPr>
          <w:rtl/>
        </w:rPr>
        <w:t xml:space="preserve"> </w:t>
      </w:r>
      <w:r>
        <w:rPr>
          <w:rFonts/>
          <w:rtl/>
        </w:rPr>
        <w:t>همکاران</w:t>
      </w:r>
      <w:r>
        <w:rPr>
          <w:rtl/>
        </w:rPr>
        <w:t xml:space="preserve"> (</w:t>
      </w:r>
      <w:r>
        <w:rPr>
          <w:rFonts/>
          <w:rtl/>
        </w:rPr>
        <w:t>۲۰۲۳</w:t>
      </w:r>
      <w:r>
        <w:rPr>
          <w:rtl/>
        </w:rPr>
        <w:t>)</w:t>
      </w:r>
      <w:r>
        <w:rPr>
          <w:rStyle w:val="FootnoteReference"/>
        </w:rPr>
        <w:footnoteReference w:id="25"/>
      </w:r>
      <w:r>
        <w:rPr>
          <w:rtl/>
        </w:rPr>
        <w:t xml:space="preserve"> </w:t>
      </w:r>
      <w:r>
        <w:rPr>
          <w:rtl/>
        </w:rPr>
        <w:t xml:space="preserve">با مصاحبه عمیق نشان دادند که عواملی ادراکی مانند بی‌اعتمادی مشتری، ناآشنایی با محصول و تصویر ذهنی نازل آن، در میان موانع کارآفرینان ارزن قرار دارند؛ عواملی که در پیمایش‌های کمّی با فهرست از پیش تعیین‌شده به سادگی نادیده گرفته می‌شوند</w:t>
      </w:r>
      <w:r>
        <w:rPr>
          <w:rtl/>
        </w:rPr>
        <w:t xml:space="preserve">. رویکرد اکتشافی و کیفی پژوهش حاضر، به‌طور خاص برای ثبت و درک همین لایه کیفی طراحی شده است.</w:t>
      </w:r>
    </w:p>
    <w:p>
      <w:pPr>
        <w:bidi/>
        <w:spacing w:after="80" w:line="276" w:lineRule="auto"/>
        <w:ind w:firstLine="720"/>
        <w:jc w:val="both"/>
      </w:pPr>
      <w:r>
        <w:rPr>
          <w:rtl/>
        </w:rPr>
        <w:t xml:space="preserve">سرانجام، چالش‌های فروش را می‌توان بر پایه دامنه اثر نیز دسته‌بندی کرد: برخی چالش‌ها ویژه یک بنگاه یا حتی یک محصول خاص هستند و از ویژگی‌های داخلی همان بنگاه سرچشمه می‌گیرند؛ در حالی که برخی دیگر در سطح کل صنعت یا زیرشاخه‌ای از آن مشترک‌اند و همه فعالان را هم‌زمان تحت تأثیر قرار می‌دهند. </w:t>
      </w:r>
      <w:r>
        <w:rPr>
          <w:rtl/>
        </w:rPr>
        <w:t xml:space="preserve">تفکیک</w:t>
      </w:r>
      <w:r>
        <w:rPr>
          <w:rtl/>
        </w:rPr>
        <w:t xml:space="preserve"> این دو سطح، به تحلیل‌گر کمک می‌کند دریابد کدام چالش با اصلاح رویه‌های داخلی بنگاه قابل حل است و کدام نیازمند واکنش جمعی در سطح صنعت یا سیاست‌گذاری بالادستی است.</w:t>
      </w:r>
    </w:p>
    <w:p>
      <w:pPr>
        <w:bidi/>
        <w:spacing w:after="80" w:line="276" w:lineRule="auto"/>
        <w:ind w:firstLine="720"/>
        <w:jc w:val="both"/>
      </w:pPr>
      <w:r>
        <w:rPr>
          <w:rtl/>
        </w:rPr>
        <w:t>استحکام روش‌شناختی هر یک از این طبقه‌بندی‌ها، در نهایت به شیوه استخراج آن‌ها از داده بستگی دارد. نعیم و همکاران (۲۰۲۳)</w:t>
      </w:r>
      <w:r>
        <w:rPr>
          <w:rStyle w:val="FootnoteReference"/>
        </w:rPr>
        <w:footnoteReference w:id="26"/>
      </w:r>
      <w:r>
        <w:rPr>
          <w:rtl/>
        </w:rPr>
        <w:t xml:space="preserve"> </w:t>
      </w:r>
      <w:r>
        <w:rPr>
          <w:rtl/>
        </w:rPr>
        <w:t xml:space="preserve">در فرایند شش‌مرحله‌ای خود برای تحلیل مضمون، از گزیده‌های گفتار مشارکت‌کنندگان به واژه‌های کلیدی و کدها و سپس به مضمون‌ها و مفاهیم انتزاعی‌تر گذر می‌کنند؛ این ترتیب، کدگذاری اولیه را نزدیک به زبان و تجربه مشارکت‌کنندگان نگه می‌دارد، پیش از آنکه به مقوله‌های انتزاعی‌تری مانند طبقه‌بندی‌های زمانی یا سطحی ارتقا یابد</w:t>
      </w:r>
      <w:r>
        <w:rPr>
          <w:rtl/>
        </w:rPr>
        <w:t xml:space="preserve">. رعایت این ترتیب، از تحمیل زودهنگام طبقه‌بندی‌های نظری این بخش بر د</w:t>
      </w:r>
      <w:r>
        <w:rPr>
          <w:rtl/>
        </w:rPr>
        <w:t>اده خام دلفی در فصل چهارم جلوگیری می‌کند و اعتبار یافته‌های اکتشافی پژوهش حاضر را تقویت می‌کند.</w:t>
      </w:r>
    </w:p>
    <w:p>
      <w:pPr>
        <w:pStyle w:val="Heading4"/>
        <w:keepNext/>
        <w:bidi/>
        <w:spacing w:before="180" w:after="80"/>
      </w:pPr>
      <w:r>
        <w:t>۲ـ۲ـ۳ـ۲ عوامل درون‌سازمانی مؤثر بر بروز چالش‌های فروش</w:t>
      </w:r>
    </w:p>
    <w:p>
      <w:pPr>
        <w:bidi/>
        <w:spacing w:after="80" w:line="276" w:lineRule="auto"/>
        <w:ind w:firstLine="720"/>
        <w:jc w:val="both"/>
      </w:pPr>
      <w:r>
        <w:rPr>
          <w:rtl/>
        </w:rPr>
        <w:t xml:space="preserve">عوامل درون‌سازمانی به مجموعه‌ای از ویژگی‌ها و کاستی‌های ساختاری، فرایندی و مدیریتی بنگاه اشاره دارد که زمینه بروز چالش‌های فروش را فراهم می‌آورد. ضعف در برنامه‌ریزی فروش، </w:t>
      </w:r>
      <w:r>
        <w:rPr>
          <w:rtl/>
        </w:rPr>
        <w:t xml:space="preserve">که اسکندری و همکاران (۱۴۰۴) دقت پیش‌بینی تقاضا را در شمار مهم‌ترین موانع حوزه فروش یافتند</w:t>
      </w:r>
      <w:r>
        <w:rPr>
          <w:rtl/>
        </w:rPr>
        <w:t xml:space="preserve">، یکی از اصلی‌ترین این عوامل است. بنگاهی که پیش‌بینی دقیقی از تقاضا ندارد، نمی‌تواند موجودی را به درستی مدیریت کند و در نتیجه با هر دو خطر انباشت موجودی و کسری محصول روبه‌روست.</w:t>
      </w:r>
    </w:p>
    <w:p>
      <w:pPr>
        <w:bidi/>
        <w:spacing w:after="80" w:line="276" w:lineRule="auto"/>
        <w:ind w:firstLine="720"/>
        <w:jc w:val="both"/>
      </w:pPr>
      <w:r>
        <w:rPr>
          <w:rtl/>
        </w:rPr>
        <w:t xml:space="preserve">ضعف در برندسازی و تمایز محصول، دسته دیگری از عوامل درون‌سازمانی است. در صنعتی که محصولات رقبا از نظر کیفی مشابه به نظر می‌رسند، برند تنها دارایی‌ای است که مشتری را به انتخاب یک بنگاه خاص ترغیب می‌کند. </w:t>
      </w:r>
      <w:r>
        <w:rPr>
          <w:rtl/>
        </w:rPr>
        <w:t xml:space="preserve">صفری و اسماعیل‌نژاد (۱۴۰۳) در بررسی موانع فروش محصولات سبز، که انگیزه آن شکاف میان نگرش مثبت مصرف‌کننده و رفتار خرید واقعی او بود، از میان هفده مانع نخستین هشت مانع را به عنوان موانع نهایی اولویت‌بندی کردند و بی‌اعتمادی مشتریان به ادعاهای سبز را در رتبه نخست و ضعف برندسازی را در رتبه دوم یافتند؛ می‌توان استدلال کرد که این نتیجه، هرچند درباره محصولات سبز است، جایگاه برندسازی و اعتمادسازی را در فروش محصولات غذایی نیز برجسته می‌کند</w:t>
      </w:r>
      <w:r>
        <w:rPr>
          <w:rtl/>
        </w:rPr>
        <w:t xml:space="preserve">.</w:t>
      </w:r>
    </w:p>
    <w:p>
      <w:pPr>
        <w:bidi/>
        <w:spacing w:after="80" w:line="276" w:lineRule="auto"/>
        <w:ind w:firstLine="720"/>
        <w:jc w:val="both"/>
      </w:pPr>
      <w:r>
        <w:rPr>
          <w:rtl/>
        </w:rPr>
        <w:t>توماران و همکاران (۲۰۲۲)</w:t>
      </w:r>
      <w:r>
        <w:rPr>
          <w:rStyle w:val="FootnoteReference"/>
        </w:rPr>
        <w:footnoteReference w:id="27"/>
      </w:r>
      <w:r>
        <w:rPr>
          <w:rtl/>
        </w:rPr>
        <w:t xml:space="preserve"> در بررسی عوامل شکل‌دهنده مزیت رقابتی در بنگاه‌های کوچک و متوسط، پیوند مستحکمی </w:t>
      </w:r>
      <w:r>
        <w:rPr>
          <w:rtl/>
        </w:rPr>
        <w:t xml:space="preserve">میان مزیت تمایز</w:t>
      </w:r>
      <w:r>
        <w:rPr>
          <w:rtl/>
        </w:rPr>
        <w:t xml:space="preserve"> و سطح نوآوری، پیش‌قدمی و ریسک‌پذیری کارآفرینانه بنگاه یافتند. </w:t>
      </w:r>
      <w:r>
        <w:rPr>
          <w:rtl/>
        </w:rPr>
        <w:t xml:space="preserve">این یافته را می‌توان چنین خواند که ضعف برندسازی</w:t>
      </w:r>
      <w:r>
        <w:rPr>
          <w:rtl/>
        </w:rPr>
        <w:t xml:space="preserve"> در بنگاه کوچک تک‌محصولی، صرفاً یک کاستی بازاریابی مجزا نیست، بلکه اغلب بازتاب محدودیت گسترده‌تر در ذهنیت کارآفرینانه و توان ریسک‌پذیری مدیریت بنگاه است.</w:t>
      </w:r>
    </w:p>
    <w:p>
      <w:pPr>
        <w:bidi/>
        <w:spacing w:after="80" w:line="276" w:lineRule="auto"/>
        <w:ind w:firstLine="720"/>
        <w:jc w:val="both"/>
      </w:pPr>
      <w:r>
        <w:rPr>
          <w:rtl/>
        </w:rPr>
        <w:t xml:space="preserve">ناکارآمدی شبکه توزیع نیز از عوامل درون‌سازمانی مؤثر بر فروش است که در بنگاه تک‌محصولی شدت بیشتری می‌یابد. هزینه ثابت توزیع </w:t>
      </w:r>
      <w:r>
        <w:rPr>
          <w:rFonts/>
          <w:rtl/>
        </w:rPr>
        <w:t>وسیله</w:t>
      </w:r>
      <w:r>
        <w:rPr>
          <w:rtl/>
        </w:rPr>
        <w:t xml:space="preserve"> </w:t>
      </w:r>
      <w:r>
        <w:rPr>
          <w:rFonts/>
          <w:rtl/>
        </w:rPr>
        <w:t>نقلیه،</w:t>
      </w:r>
      <w:r>
        <w:rPr>
          <w:rtl/>
        </w:rPr>
        <w:t xml:space="preserve"> </w:t>
      </w:r>
      <w:r>
        <w:rPr>
          <w:rFonts/>
          <w:rtl/>
        </w:rPr>
        <w:t>نیروی</w:t>
      </w:r>
      <w:r>
        <w:rPr>
          <w:rtl/>
        </w:rPr>
        <w:t xml:space="preserve"> </w:t>
      </w:r>
      <w:r>
        <w:rPr>
          <w:rFonts/>
          <w:rtl/>
        </w:rPr>
        <w:t>پخش،</w:t>
      </w:r>
      <w:r>
        <w:rPr>
          <w:rtl/>
        </w:rPr>
        <w:t xml:space="preserve"> </w:t>
      </w:r>
      <w:r>
        <w:rPr>
          <w:rFonts/>
          <w:rtl/>
        </w:rPr>
        <w:t>فضای</w:t>
      </w:r>
      <w:r>
        <w:rPr>
          <w:rtl/>
        </w:rPr>
        <w:t xml:space="preserve"> </w:t>
      </w:r>
      <w:r>
        <w:rPr>
          <w:rFonts/>
          <w:rtl/>
        </w:rPr>
        <w:t>انبار</w:t>
      </w:r>
      <w:r>
        <w:rPr>
          <w:rtl/>
        </w:rPr>
        <w:t xml:space="preserve"> </w:t>
      </w:r>
      <w:r>
        <w:rPr>
          <w:rFonts/>
          <w:rtl/>
        </w:rPr>
        <w:t>باید</w:t>
      </w:r>
      <w:r>
        <w:rPr>
          <w:rtl/>
        </w:rPr>
        <w:t xml:space="preserve"> </w:t>
      </w:r>
      <w:r>
        <w:rPr>
          <w:rFonts/>
          <w:rtl/>
        </w:rPr>
        <w:t>روی</w:t>
      </w:r>
      <w:r>
        <w:rPr>
          <w:rtl/>
        </w:rPr>
        <w:t xml:space="preserve"> </w:t>
      </w:r>
      <w:r>
        <w:rPr>
          <w:rFonts/>
          <w:rtl/>
        </w:rPr>
        <w:t>حجم</w:t>
      </w:r>
      <w:r>
        <w:rPr>
          <w:rtl/>
        </w:rPr>
        <w:t xml:space="preserve"> </w:t>
      </w:r>
      <w:r>
        <w:rPr>
          <w:rFonts/>
          <w:rtl/>
        </w:rPr>
        <w:t>فروش</w:t>
      </w:r>
      <w:r>
        <w:rPr>
          <w:rtl/>
        </w:rPr>
        <w:t xml:space="preserve"> </w:t>
      </w:r>
      <w:r>
        <w:rPr>
          <w:rFonts/>
          <w:rtl/>
        </w:rPr>
        <w:t>یک</w:t>
      </w:r>
      <w:r>
        <w:rPr>
          <w:rtl/>
        </w:rPr>
        <w:t xml:space="preserve"> </w:t>
      </w:r>
      <w:r>
        <w:rPr>
          <w:rFonts/>
          <w:rtl/>
        </w:rPr>
        <w:t>قلم</w:t>
      </w:r>
      <w:r>
        <w:rPr>
          <w:rtl/>
        </w:rPr>
        <w:t xml:space="preserve"> </w:t>
      </w:r>
      <w:r>
        <w:rPr>
          <w:rFonts/>
          <w:rtl/>
        </w:rPr>
        <w:t>کالا</w:t>
      </w:r>
      <w:r>
        <w:rPr>
          <w:rtl/>
        </w:rPr>
        <w:t xml:space="preserve"> </w:t>
      </w:r>
      <w:r>
        <w:rPr>
          <w:rFonts/>
          <w:rtl/>
        </w:rPr>
        <w:t>سرشکن</w:t>
      </w:r>
      <w:r>
        <w:rPr>
          <w:rtl/>
        </w:rPr>
        <w:t xml:space="preserve"> </w:t>
      </w:r>
      <w:r>
        <w:rPr>
          <w:rFonts/>
          <w:rtl/>
        </w:rPr>
        <w:t>شود،</w:t>
      </w:r>
      <w:r>
        <w:rPr>
          <w:rtl/>
        </w:rPr>
        <w:t xml:space="preserve"> </w:t>
      </w:r>
      <w:r>
        <w:rPr>
          <w:rFonts/>
          <w:rtl/>
        </w:rPr>
        <w:t>در</w:t>
      </w:r>
      <w:r>
        <w:rPr>
          <w:rtl/>
        </w:rPr>
        <w:t xml:space="preserve"> </w:t>
      </w:r>
      <w:r>
        <w:rPr>
          <w:rFonts/>
          <w:rtl/>
        </w:rPr>
        <w:t>حالی</w:t>
      </w:r>
      <w:r>
        <w:rPr>
          <w:rtl/>
        </w:rPr>
        <w:t xml:space="preserve"> </w:t>
      </w:r>
      <w:r>
        <w:rPr>
          <w:rFonts/>
          <w:rtl/>
        </w:rPr>
        <w:t>که</w:t>
      </w:r>
      <w:r>
        <w:rPr>
          <w:rtl/>
        </w:rPr>
        <w:t xml:space="preserve"> </w:t>
      </w:r>
      <w:r>
        <w:rPr>
          <w:rFonts/>
          <w:rtl/>
        </w:rPr>
        <w:t>رقیب</w:t>
      </w:r>
      <w:r>
        <w:rPr>
          <w:rtl/>
        </w:rPr>
        <w:t xml:space="preserve"> </w:t>
      </w:r>
      <w:r>
        <w:rPr>
          <w:rFonts/>
          <w:rtl/>
        </w:rPr>
        <w:t>چندمحصولی</w:t>
      </w:r>
      <w:r>
        <w:rPr>
          <w:rtl/>
        </w:rPr>
        <w:t xml:space="preserve"> </w:t>
      </w:r>
      <w:r>
        <w:rPr>
          <w:rFonts/>
          <w:rtl/>
        </w:rPr>
        <w:t>همان</w:t>
      </w:r>
      <w:r>
        <w:rPr>
          <w:rtl/>
        </w:rPr>
        <w:t xml:space="preserve"> </w:t>
      </w:r>
      <w:r>
        <w:rPr>
          <w:rFonts/>
          <w:rtl/>
        </w:rPr>
        <w:t>هزینه</w:t>
      </w:r>
      <w:r>
        <w:rPr>
          <w:rtl/>
        </w:rPr>
        <w:t xml:space="preserve"> </w:t>
      </w:r>
      <w:r>
        <w:rPr>
          <w:rFonts/>
          <w:rtl/>
        </w:rPr>
        <w:t>را</w:t>
      </w:r>
      <w:r>
        <w:rPr>
          <w:rtl/>
        </w:rPr>
        <w:t xml:space="preserve"> </w:t>
      </w:r>
      <w:r>
        <w:rPr>
          <w:rFonts/>
          <w:rtl/>
        </w:rPr>
        <w:t>روی</w:t>
      </w:r>
      <w:r>
        <w:rPr>
          <w:rtl/>
        </w:rPr>
        <w:t xml:space="preserve"> </w:t>
      </w:r>
      <w:r>
        <w:rPr>
          <w:rFonts/>
          <w:rtl/>
        </w:rPr>
        <w:t>چندین</w:t>
      </w:r>
      <w:r>
        <w:rPr>
          <w:rtl/>
        </w:rPr>
        <w:t xml:space="preserve"> </w:t>
      </w:r>
      <w:r>
        <w:rPr>
          <w:rFonts/>
          <w:rtl/>
        </w:rPr>
        <w:t>قلم</w:t>
      </w:r>
      <w:r>
        <w:rPr>
          <w:rtl/>
        </w:rPr>
        <w:t xml:space="preserve"> </w:t>
      </w:r>
      <w:r>
        <w:rPr>
          <w:rFonts/>
          <w:rtl/>
        </w:rPr>
        <w:t>توزیع</w:t>
      </w:r>
      <w:r>
        <w:rPr>
          <w:rtl/>
        </w:rPr>
        <w:t xml:space="preserve"> </w:t>
      </w:r>
      <w:r>
        <w:rPr>
          <w:rFonts/>
          <w:rtl/>
        </w:rPr>
        <w:t>می‌کند</w:t>
      </w:r>
      <w:r>
        <w:rPr>
          <w:rtl/>
        </w:rPr>
        <w:t xml:space="preserve">. </w:t>
      </w:r>
      <w:r>
        <w:rPr>
          <w:rFonts/>
          <w:rtl/>
        </w:rPr>
        <w:t>پیامد</w:t>
      </w:r>
      <w:r>
        <w:rPr>
          <w:rtl/>
        </w:rPr>
        <w:t xml:space="preserve"> </w:t>
      </w:r>
      <w:r>
        <w:rPr>
          <w:rFonts/>
          <w:rtl/>
        </w:rPr>
        <w:t>این</w:t>
      </w:r>
      <w:r>
        <w:rPr>
          <w:rtl/>
        </w:rPr>
        <w:t xml:space="preserve"> </w:t>
      </w:r>
      <w:r>
        <w:rPr>
          <w:rFonts/>
          <w:rtl/>
        </w:rPr>
        <w:t>معادله،</w:t>
      </w:r>
      <w:r>
        <w:rPr>
          <w:rtl/>
        </w:rPr>
        <w:t xml:space="preserve"> </w:t>
      </w:r>
      <w:r>
        <w:rPr>
          <w:rFonts/>
          <w:rtl/>
        </w:rPr>
        <w:t>گران‌تر</w:t>
      </w:r>
      <w:r>
        <w:rPr>
          <w:rtl/>
        </w:rPr>
        <w:t xml:space="preserve"> </w:t>
      </w:r>
      <w:r>
        <w:rPr>
          <w:rFonts/>
          <w:rtl/>
        </w:rPr>
        <w:t>بودن</w:t>
      </w:r>
      <w:r>
        <w:rPr>
          <w:rtl/>
        </w:rPr>
        <w:t xml:space="preserve"> </w:t>
      </w:r>
      <w:r>
        <w:rPr>
          <w:rFonts/>
          <w:rtl/>
        </w:rPr>
        <w:t>پخش</w:t>
      </w:r>
      <w:r>
        <w:rPr>
          <w:rtl/>
        </w:rPr>
        <w:t xml:space="preserve"> </w:t>
      </w:r>
      <w:r>
        <w:rPr>
          <w:rFonts/>
          <w:rtl/>
        </w:rPr>
        <w:t>به</w:t>
      </w:r>
      <w:r>
        <w:rPr>
          <w:rtl/>
        </w:rPr>
        <w:t xml:space="preserve"> </w:t>
      </w:r>
      <w:r>
        <w:rPr>
          <w:rFonts/>
          <w:rtl/>
        </w:rPr>
        <w:t>از</w:t>
      </w:r>
      <w:r>
        <w:rPr>
          <w:rtl/>
        </w:rPr>
        <w:t>ای واحد فروش و در نتیجه، فشار بیشتر بر حاشیه سود است. سوریاتی و لوسیه (۲۰۲۲)</w:t>
      </w:r>
      <w:r>
        <w:rPr>
          <w:rStyle w:val="FootnoteReference"/>
        </w:rPr>
        <w:footnoteReference w:id="28"/>
      </w:r>
      <w:r>
        <w:rPr>
          <w:rtl/>
        </w:rPr>
        <w:t xml:space="preserve"> نیز </w:t>
      </w:r>
      <w:r>
        <w:rPr>
          <w:rtl/>
        </w:rPr>
        <w:t xml:space="preserve">با بررسی تجربی بر بیست هتل ستاره‌دار جاکارتا نشان دادند که کانال توزیع بر بهبود حجم فروش اثر مستقیم دارد</w:t>
      </w:r>
      <w:r>
        <w:rPr>
          <w:rtl/>
        </w:rPr>
        <w:t xml:space="preserve">؛ یافته‌ای که اهمیت مدیریت کارآمد توزیع را برای بنگاه تک‌محصولی دوچندان می‌کند.</w:t>
      </w:r>
    </w:p>
    <w:p>
      <w:pPr>
        <w:bidi/>
        <w:spacing w:after="80" w:line="276" w:lineRule="auto"/>
        <w:ind w:firstLine="720"/>
        <w:jc w:val="both"/>
      </w:pPr>
      <w:r>
        <w:rPr>
          <w:rtl/>
        </w:rPr>
        <w:t xml:space="preserve">کمبود نیروی فروش ماهر، دسته دیگری از عوامل درون‌سازمانی است که به‌ویژه در بنگاه‌های کوچک بروز بیشتری دارد. </w:t>
      </w:r>
      <w:r>
        <w:rPr>
          <w:rtl/>
        </w:rPr>
        <w:t xml:space="preserve">تانئو و همکاران (۲۰۲۲)</w:t>
      </w:r>
      <w:r>
        <w:rPr>
          <w:rStyle w:val="FootnoteReference"/>
        </w:rPr>
        <w:footnoteReference w:id="29"/>
      </w:r>
      <w:r>
        <w:rPr>
          <w:rtl/>
        </w:rPr>
        <w:t xml:space="preserve"> در بنگاه‌های کوچک صنعت غذایی نشان دادند که مدیران در موضوعات مدیریت منابع انسانی نیازمند آموزش‌اند. چنین محدودیتی در دانش و مهارت انسانی می‌تواند توان بنگاه را برای اجرای حرفه‌ای فرایند فروش، از مذاکره تا خدمات پس از فروش، کاهش دهد</w:t>
      </w:r>
      <w:r>
        <w:rPr>
          <w:rtl/>
        </w:rPr>
        <w:t xml:space="preserve">. </w:t>
      </w:r>
      <w:r>
        <w:rPr>
          <w:rFonts/>
          <w:rtl/>
        </w:rPr>
        <w:t>در</w:t>
      </w:r>
      <w:r>
        <w:rPr>
          <w:rtl/>
        </w:rPr>
        <w:t xml:space="preserve"> </w:t>
      </w:r>
      <w:r>
        <w:rPr>
          <w:rFonts/>
          <w:rtl/>
        </w:rPr>
        <w:t>بنگاه</w:t>
      </w:r>
      <w:r>
        <w:rPr>
          <w:rtl/>
        </w:rPr>
        <w:t xml:space="preserve"> </w:t>
      </w:r>
      <w:r>
        <w:rPr>
          <w:rFonts/>
          <w:rtl/>
        </w:rPr>
        <w:t>تک‌محصولی،</w:t>
      </w:r>
      <w:r>
        <w:rPr>
          <w:rtl/>
        </w:rPr>
        <w:t xml:space="preserve"> </w:t>
      </w:r>
      <w:r>
        <w:rPr>
          <w:rFonts/>
          <w:rtl/>
        </w:rPr>
        <w:t>چون</w:t>
      </w:r>
      <w:r>
        <w:rPr>
          <w:rtl/>
        </w:rPr>
        <w:t xml:space="preserve"> </w:t>
      </w:r>
      <w:r>
        <w:rPr>
          <w:rFonts/>
          <w:rtl/>
        </w:rPr>
        <w:t>معمولاً</w:t>
      </w:r>
      <w:r>
        <w:rPr>
          <w:rtl/>
        </w:rPr>
        <w:t xml:space="preserve"> </w:t>
      </w:r>
      <w:r>
        <w:rPr>
          <w:rFonts/>
          <w:rtl/>
        </w:rPr>
        <w:t>ساختار</w:t>
      </w:r>
      <w:r>
        <w:rPr>
          <w:rtl/>
        </w:rPr>
        <w:t xml:space="preserve"> </w:t>
      </w:r>
      <w:r>
        <w:rPr>
          <w:rFonts/>
          <w:rtl/>
        </w:rPr>
        <w:t>سازمانی</w:t>
      </w:r>
      <w:r>
        <w:rPr>
          <w:rtl/>
        </w:rPr>
        <w:t xml:space="preserve"> </w:t>
      </w:r>
      <w:r>
        <w:rPr>
          <w:rFonts/>
          <w:rtl/>
        </w:rPr>
        <w:t>ساده‌تر</w:t>
      </w:r>
      <w:r>
        <w:rPr>
          <w:rtl/>
        </w:rPr>
        <w:t xml:space="preserve"> </w:t>
      </w:r>
      <w:r>
        <w:rPr>
          <w:rFonts/>
          <w:rtl/>
        </w:rPr>
        <w:t>و</w:t>
      </w:r>
      <w:r>
        <w:rPr>
          <w:rtl/>
        </w:rPr>
        <w:t xml:space="preserve"> </w:t>
      </w:r>
      <w:r>
        <w:rPr>
          <w:rFonts/>
          <w:rtl/>
        </w:rPr>
        <w:t>کارکنان</w:t>
      </w:r>
      <w:r>
        <w:rPr>
          <w:rtl/>
        </w:rPr>
        <w:t xml:space="preserve"> </w:t>
      </w:r>
      <w:r>
        <w:rPr>
          <w:rFonts/>
          <w:rtl/>
        </w:rPr>
        <w:t>کمتری</w:t>
      </w:r>
      <w:r>
        <w:rPr>
          <w:rtl/>
        </w:rPr>
        <w:t xml:space="preserve"> </w:t>
      </w:r>
      <w:r>
        <w:rPr>
          <w:rFonts/>
          <w:rtl/>
        </w:rPr>
        <w:t>دارد،</w:t>
      </w:r>
      <w:r>
        <w:rPr>
          <w:rtl/>
        </w:rPr>
        <w:t xml:space="preserve"> </w:t>
      </w:r>
      <w:r>
        <w:rPr>
          <w:rFonts/>
          <w:rtl/>
        </w:rPr>
        <w:t>این</w:t>
      </w:r>
      <w:r>
        <w:rPr>
          <w:rtl/>
        </w:rPr>
        <w:t xml:space="preserve"> </w:t>
      </w:r>
      <w:r>
        <w:rPr>
          <w:rFonts/>
          <w:rtl/>
        </w:rPr>
        <w:t>کمبود</w:t>
      </w:r>
      <w:r>
        <w:rPr>
          <w:rtl/>
        </w:rPr>
        <w:t xml:space="preserve"> </w:t>
      </w:r>
      <w:r>
        <w:rPr>
          <w:rFonts/>
          <w:rtl/>
        </w:rPr>
        <w:t>اثر</w:t>
      </w:r>
      <w:r>
        <w:rPr>
          <w:rtl/>
        </w:rPr>
        <w:t xml:space="preserve"> </w:t>
      </w:r>
      <w:r>
        <w:rPr>
          <w:rFonts/>
          <w:rtl/>
        </w:rPr>
        <w:t>مستقیم‌تری</w:t>
      </w:r>
      <w:r>
        <w:rPr>
          <w:rtl/>
        </w:rPr>
        <w:t xml:space="preserve"> </w:t>
      </w:r>
      <w:r>
        <w:rPr>
          <w:rFonts/>
          <w:rtl/>
        </w:rPr>
        <w:t>بر</w:t>
      </w:r>
      <w:r>
        <w:rPr>
          <w:rtl/>
        </w:rPr>
        <w:t xml:space="preserve"> </w:t>
      </w:r>
      <w:r>
        <w:rPr>
          <w:rFonts/>
          <w:rtl/>
        </w:rPr>
        <w:t>عملکرد</w:t>
      </w:r>
      <w:r>
        <w:rPr>
          <w:rtl/>
        </w:rPr>
        <w:t xml:space="preserve"> </w:t>
      </w:r>
      <w:r>
        <w:rPr>
          <w:rFonts/>
          <w:rtl/>
        </w:rPr>
        <w:t>فروش</w:t>
      </w:r>
      <w:r>
        <w:rPr>
          <w:rtl/>
        </w:rPr>
        <w:t xml:space="preserve"> </w:t>
      </w:r>
      <w:r>
        <w:rPr>
          <w:rFonts/>
          <w:rtl/>
        </w:rPr>
        <w:t>می‌گذارد</w:t>
      </w:r>
      <w:r>
        <w:rPr>
          <w:rtl/>
        </w:rPr>
        <w:t>.</w:t>
      </w:r>
    </w:p>
    <w:p>
      <w:pPr>
        <w:bidi/>
        <w:spacing w:after="80" w:line="276" w:lineRule="auto"/>
        <w:ind w:firstLine="720"/>
        <w:jc w:val="both"/>
      </w:pPr>
      <w:r>
        <w:rPr>
          <w:rtl/>
        </w:rPr>
        <w:t>شکاف در قابلیت‌های دیجیتال و فروش آنلاین، دسته دیگری از عوامل درون‌سازمانی نوظهور است. شرابتی و همکاران (۲۰۲۴)</w:t>
      </w:r>
      <w:r>
        <w:rPr>
          <w:rStyle w:val="FootnoteReference"/>
        </w:rPr>
        <w:footnoteReference w:id="30"/>
      </w:r>
      <w:r>
        <w:rPr>
          <w:rtl/>
        </w:rPr>
        <w:t xml:space="preserve"> </w:t>
      </w:r>
      <w:r>
        <w:rPr>
          <w:rtl/>
        </w:rPr>
        <w:t xml:space="preserve">در پیمایشی از مدیران ۱۹۰ شرکت فعال در حوزه بازاریابی در اردن نشان دادند که بازاریابی دیجیتال، با نقش میانجی تحول دیجیتال، عملکرد بنگاه‌های کوچک و متوسط را بهبود می‌بخشد و به نتایج اقتصادی بهتر </w:t>
      </w:r>
      <w:r>
        <w:rPr>
          <w:rtl/>
        </w:rPr>
        <w:t xml:space="preserve">و گسترش حضور بنگاه در بازار می‌انجامد. لاندجوهو و کریستوفر (۲۰۲۶)</w:t>
      </w:r>
      <w:r>
        <w:rPr>
          <w:rStyle w:val="FootnoteReference"/>
        </w:rPr>
        <w:footnoteReference w:id="31"/>
      </w:r>
      <w:r>
        <w:rPr>
          <w:rtl/>
        </w:rPr>
        <w:t xml:space="preserve"> نیز در مرور نظام‌مند ۵۲ پژوهش تجربی </w:t>
      </w:r>
      <w:r>
        <w:rPr>
          <w:rtl/>
        </w:rPr>
        <w:t xml:space="preserve">(مطابق راهنمای گزارش‌دهی پریزما)</w:t>
      </w:r>
      <w:r>
        <w:rPr>
          <w:rStyle w:val="FootnoteReference"/>
        </w:rPr>
        <w:footnoteReference w:id="32"/>
      </w:r>
      <w:r>
        <w:rPr>
          <w:rtl/>
        </w:rPr>
        <w:t xml:space="preserve"> میان پذیرش بازاریابی دیجیتال و شاخص‌های رشد بنگاه‌های کوچک و متوسط، از جمله عملکرد فروش، گسترش بازار، حفظ مشتری و آگاهی از برند، رابطه مثبت گزارش کردند و شایستگی مدیریتی را از عوامل تعدیل‌گر این رابطه دانستند.</w:t>
      </w:r>
      <w:r>
        <w:rPr>
          <w:rtl/>
        </w:rPr>
        <w:t xml:space="preserve"> بنگاه تک‌محصولی که به دلیل محدودیت منابع، سرمایه‌گذاری کمتری در زیرساخت فروش آنلاین و بازاریابی دیجیتال انجام داده باشد، از این مسیر رشد جایگزین نیز محروم می‌ماند؛ محرومیتی که محدودیت ساختاری ناشی از تمرکز محصولی را تشدید می‌کند. ضعف در مدیریت ارتباط با مشتری نیز با این کاستی دیجیتال پیوند دارد: در صنعتی که تکرار خرید اهمیت بالایی دارد، ثبت و پیگیری نظام‌مند بازخورد مشتریان ابزاری است که بنگاه را از واکنش صرف به مشکلات، به پیش‌بینی و پیشگیری از آن‌ها می‌رساند. تانئو و همکاران (۲۰۲۲)</w:t>
      </w:r>
      <w:r>
        <w:rPr>
          <w:rStyle w:val="FootnoteReference"/>
        </w:rPr>
        <w:footnoteReference w:id="33"/>
      </w:r>
      <w:r>
        <w:rPr>
          <w:rtl/>
        </w:rPr>
        <w:t xml:space="preserve"> </w:t>
      </w:r>
      <w:r>
        <w:rPr>
          <w:rtl/>
        </w:rPr>
        <w:t xml:space="preserve">در یک مطالعه مقدماتی نشان دادند که آموزش هدفمند، دانش مدیران بنگاه‌های کوچک صنعت غذایی را در موضوعات مدیریت منابع انسانی به‌طور معناداری افزایش می‌دهد؛ می‌توان استنباط کرد که کاستی‌های دانش مدیریتی، از جمله در مدیریت رسمی ارتباط با مشتری، با آموزش هدفمند قابل کاهش است</w:t>
      </w:r>
      <w:r>
        <w:rPr>
          <w:rtl/>
        </w:rPr>
        <w:t>.</w:t>
      </w:r>
    </w:p>
    <w:p>
      <w:pPr>
        <w:bidi/>
        <w:spacing w:after="80" w:line="276" w:lineRule="auto"/>
        <w:ind w:firstLine="720"/>
        <w:jc w:val="both"/>
      </w:pPr>
      <w:r>
        <w:rPr>
          <w:rtl/>
        </w:rPr>
        <w:t>نوآوری در محصول و فرایند، آخرین لایه از عوامل درون‌سازمانی مورد بحث در این بخش است. دخیخ و النجری (۲۰۲۶)</w:t>
      </w:r>
      <w:r>
        <w:rPr>
          <w:rStyle w:val="FootnoteReference"/>
        </w:rPr>
        <w:footnoteReference w:id="34"/>
      </w:r>
      <w:r>
        <w:rPr>
          <w:rtl/>
        </w:rPr>
        <w:t xml:space="preserve"> </w:t>
      </w:r>
      <w:r>
        <w:rPr>
          <w:rtl/>
        </w:rPr>
        <w:t xml:space="preserve">نشان دادند که نوآوری رابطه قابلیت‌های پویا با مزیت رقابتی پایدار بنگاه‌های کوچک و متوسط را میانجی‌گری می‌کند؛ بر این پایه می‌توان استدلال کرد که بنگاه‌های کوچکی که ظرفیت نوآوری ضعیف‌تری دارند، در میان‌مدت با افت تدریجی مزیت رقابتی روبه‌رو می‌شوند، حتی اگر در کوتاه‌مدت عملکرد فروش رضایت‌بخشی داشته باشند</w:t>
      </w:r>
      <w:r>
        <w:rPr>
          <w:rtl/>
        </w:rPr>
        <w:t xml:space="preserve">. </w:t>
      </w:r>
      <w:r>
        <w:rPr>
          <w:rtl/>
        </w:rPr>
        <w:t xml:space="preserve">برای بنگاه تک‌محصولی، این استدلال اهمیت دوچندانی دارد</w:t>
      </w:r>
      <w:r>
        <w:rPr>
          <w:rtl/>
        </w:rPr>
        <w:t xml:space="preserve">: نوآوری محدود به همان یک محصول، تنها مسیر ممکن برای تجدید مزیت رقابتی است، در حالی که بنگاه چندمحصولی می‌تواند این نوآوری را میان چند خط محصول توزیع کند.</w:t>
      </w:r>
    </w:p>
    <w:p>
      <w:pPr>
        <w:bidi/>
        <w:spacing w:after="80" w:line="276" w:lineRule="auto"/>
        <w:ind w:firstLine="720"/>
        <w:jc w:val="both"/>
      </w:pPr>
      <w:r>
        <w:rPr>
          <w:rtl/>
        </w:rPr>
        <w:t>جمع‌بندی عوامل درون‌سازمانی این بخش نشان می‌دهد که ضعف برنامه‌ریزی، برندسازی، توزیع، نیروی انسانی، قابلیت دیجیتال، مدیریت ارتباط با مشتری و نوآوری، هرچند هر یک منشأ متفاوتی دارند، در نهایت از یک ریشه مشترک سرچشمه می‌گیرند: محدودیت منابع بنگاه کوچک. ویلیامز و آرون (۲۰۱۸)</w:t>
      </w:r>
      <w:r>
        <w:rPr>
          <w:rStyle w:val="FootnoteReference"/>
        </w:rPr>
        <w:footnoteReference w:id="35"/>
      </w:r>
      <w:r>
        <w:rPr>
          <w:rtl/>
        </w:rPr>
        <w:t xml:space="preserve"> </w:t>
      </w:r>
      <w:r>
        <w:rPr>
          <w:rtl/>
        </w:rPr>
        <w:t xml:space="preserve">تخصص‌گرایی را به عنوان رویکردی راهبردی برای کسب‌وکارهای کوچک بررسی کرده‌اند؛ رویکردی که دامنه محصولات و بازارهای بنگاه را محدود می‌کند و می‌توان آن را پاسخی احتمالی به محدودیت منابع دانست، نه راه‌حلی که این محدودیت را به‌طور کامل برطرف کند</w:t>
      </w:r>
      <w:r>
        <w:rPr>
          <w:rtl/>
        </w:rPr>
        <w:t xml:space="preserve">.</w:t>
      </w:r>
    </w:p>
    <w:p>
      <w:pPr>
        <w:pStyle w:val="Heading4"/>
        <w:keepNext/>
        <w:bidi/>
        <w:spacing w:before="180" w:after="80"/>
      </w:pPr>
      <w:r>
        <w:t>۲ـ۲ـ۳ـ۳ عوامل برون‌سازمانی و محیطی مؤثر بر بروز چالش‌های فروش</w:t>
      </w:r>
    </w:p>
    <w:p>
      <w:pPr>
        <w:bidi/>
        <w:spacing w:after="80" w:line="276" w:lineRule="auto"/>
        <w:ind w:firstLine="720"/>
        <w:jc w:val="both"/>
      </w:pPr>
      <w:r>
        <w:rPr>
          <w:rtl/>
        </w:rPr>
        <w:t xml:space="preserve">در مقابل عوامل درون‌سازمانی بخش پیشین که اصلاح آن‌ها عمدتاً در اختیار مدیریت بنگاه است، عوامل برون‌سازمانی ماهیتی متفاوت دارند: بنگاه نمی‌تواند آن‌ها را مستقیماً تغییر دهد، بلکه تنها می‌تواند واکنش خود به آن‌ها را مدیریت کند. رقابت یکی از قوی‌ترین این عوامل است. چارچوب نیروهای پنج‌گانه رقابتی نشان می‌دهد که در صنایع با موانع ورود پایین </w:t>
      </w:r>
      <w:r>
        <w:rPr>
          <w:rFonts/>
          <w:rtl/>
        </w:rPr>
        <w:t>که</w:t>
      </w:r>
      <w:r>
        <w:rPr>
          <w:rtl/>
        </w:rPr>
        <w:t xml:space="preserve"> </w:t>
      </w:r>
      <w:r>
        <w:rPr>
          <w:rFonts/>
          <w:rtl/>
        </w:rPr>
        <w:t>صنعت</w:t>
      </w:r>
      <w:r>
        <w:rPr>
          <w:rtl/>
        </w:rPr>
        <w:t xml:space="preserve"> </w:t>
      </w:r>
      <w:r>
        <w:rPr>
          <w:rFonts/>
          <w:rtl/>
        </w:rPr>
        <w:t>مواد</w:t>
      </w:r>
      <w:r>
        <w:rPr>
          <w:rtl/>
        </w:rPr>
        <w:t xml:space="preserve"> </w:t>
      </w:r>
      <w:r>
        <w:rPr>
          <w:rFonts/>
          <w:rtl/>
        </w:rPr>
        <w:t>غذایی</w:t>
      </w:r>
      <w:r>
        <w:rPr>
          <w:rtl/>
        </w:rPr>
        <w:t xml:space="preserve"> </w:t>
      </w:r>
      <w:r>
        <w:rPr>
          <w:rFonts/>
          <w:rtl/>
        </w:rPr>
        <w:t>در</w:t>
      </w:r>
      <w:r>
        <w:rPr>
          <w:rtl/>
        </w:rPr>
        <w:t xml:space="preserve"> </w:t>
      </w:r>
      <w:r>
        <w:rPr>
          <w:rFonts/>
          <w:rtl/>
        </w:rPr>
        <w:t>بسیاری</w:t>
      </w:r>
      <w:r>
        <w:rPr>
          <w:rtl/>
        </w:rPr>
        <w:t xml:space="preserve"> </w:t>
      </w:r>
      <w:r>
        <w:rPr>
          <w:rFonts/>
          <w:rtl/>
        </w:rPr>
        <w:t>از</w:t>
      </w:r>
      <w:r>
        <w:rPr>
          <w:rtl/>
        </w:rPr>
        <w:t xml:space="preserve"> </w:t>
      </w:r>
      <w:r>
        <w:rPr>
          <w:rFonts/>
          <w:rtl/>
        </w:rPr>
        <w:t>زیرشاخه‌هایش</w:t>
      </w:r>
      <w:r>
        <w:rPr>
          <w:rtl/>
        </w:rPr>
        <w:t xml:space="preserve"> </w:t>
      </w:r>
      <w:r>
        <w:rPr>
          <w:rFonts/>
          <w:rtl/>
        </w:rPr>
        <w:t>چنین</w:t>
      </w:r>
      <w:r>
        <w:rPr>
          <w:rtl/>
        </w:rPr>
        <w:t xml:space="preserve"> </w:t>
      </w:r>
      <w:r>
        <w:rPr>
          <w:rFonts/>
          <w:rtl/>
        </w:rPr>
        <w:t>است</w:t>
      </w:r>
      <w:r>
        <w:rPr>
          <w:rtl/>
        </w:rPr>
        <w:t xml:space="preserve"> </w:t>
      </w:r>
      <w:r>
        <w:rPr>
          <w:rFonts/>
          <w:rtl/>
        </w:rPr>
        <w:t>تهدید</w:t>
      </w:r>
      <w:r>
        <w:rPr>
          <w:rtl/>
        </w:rPr>
        <w:t xml:space="preserve"> </w:t>
      </w:r>
      <w:r>
        <w:rPr>
          <w:rFonts/>
          <w:rtl/>
        </w:rPr>
        <w:t>تازه‌واردان</w:t>
      </w:r>
      <w:r>
        <w:rPr>
          <w:rtl/>
        </w:rPr>
        <w:t xml:space="preserve"> </w:t>
      </w:r>
      <w:r>
        <w:rPr>
          <w:rFonts/>
          <w:rtl/>
        </w:rPr>
        <w:t>شدت</w:t>
      </w:r>
      <w:r>
        <w:rPr>
          <w:rtl/>
        </w:rPr>
        <w:t xml:space="preserve"> </w:t>
      </w:r>
      <w:r>
        <w:rPr>
          <w:rFonts/>
          <w:rtl/>
        </w:rPr>
        <w:t>رقابت</w:t>
      </w:r>
      <w:r>
        <w:rPr>
          <w:rtl/>
        </w:rPr>
        <w:t xml:space="preserve"> </w:t>
      </w:r>
      <w:r>
        <w:rPr>
          <w:rFonts/>
          <w:rtl/>
        </w:rPr>
        <w:t>را</w:t>
      </w:r>
      <w:r>
        <w:rPr>
          <w:rtl/>
        </w:rPr>
        <w:t xml:space="preserve"> </w:t>
      </w:r>
      <w:r>
        <w:rPr>
          <w:rFonts/>
          <w:rtl/>
        </w:rPr>
        <w:t>بالا</w:t>
      </w:r>
      <w:r>
        <w:rPr>
          <w:rtl/>
        </w:rPr>
        <w:t xml:space="preserve"> </w:t>
      </w:r>
      <w:r>
        <w:rPr>
          <w:rFonts/>
          <w:rtl/>
        </w:rPr>
        <w:t>می‌برد</w:t>
      </w:r>
      <w:r>
        <w:rPr>
          <w:rtl/>
        </w:rPr>
        <w:t xml:space="preserve"> </w:t>
      </w:r>
      <w:r>
        <w:rPr>
          <w:rFonts/>
          <w:rtl/>
        </w:rPr>
        <w:t>و</w:t>
      </w:r>
      <w:r>
        <w:rPr>
          <w:rtl/>
        </w:rPr>
        <w:t xml:space="preserve"> </w:t>
      </w:r>
      <w:r>
        <w:rPr>
          <w:rFonts/>
          <w:rtl/>
        </w:rPr>
        <w:t>حاشیه</w:t>
      </w:r>
      <w:r>
        <w:rPr>
          <w:rtl/>
        </w:rPr>
        <w:t xml:space="preserve"> </w:t>
      </w:r>
      <w:r>
        <w:rPr>
          <w:rFonts/>
          <w:rtl/>
        </w:rPr>
        <w:t>سود</w:t>
      </w:r>
      <w:r>
        <w:rPr>
          <w:rtl/>
        </w:rPr>
        <w:t xml:space="preserve"> </w:t>
      </w:r>
      <w:r>
        <w:rPr>
          <w:rFonts/>
          <w:rtl/>
        </w:rPr>
        <w:t>را</w:t>
      </w:r>
      <w:r>
        <w:rPr>
          <w:rtl/>
        </w:rPr>
        <w:t xml:space="preserve"> </w:t>
      </w:r>
      <w:r>
        <w:rPr>
          <w:rFonts/>
          <w:rtl/>
        </w:rPr>
        <w:t>تحت</w:t>
      </w:r>
      <w:r>
        <w:rPr>
          <w:rtl/>
        </w:rPr>
        <w:t xml:space="preserve"> </w:t>
      </w:r>
      <w:r>
        <w:rPr>
          <w:rFonts/>
          <w:rtl/>
        </w:rPr>
        <w:t>فشار</w:t>
      </w:r>
      <w:r>
        <w:rPr>
          <w:rtl/>
        </w:rPr>
        <w:t xml:space="preserve"> </w:t>
      </w:r>
      <w:r>
        <w:rPr>
          <w:rFonts/>
          <w:rtl/>
        </w:rPr>
        <w:t xml:space="preserve">می‌گذارد</w:t>
      </w:r>
      <w:r>
        <w:rPr>
          <w:rFonts/>
          <w:rtl/>
        </w:rPr>
        <w:t xml:space="preserve"> (پانگارکار و پرابهوداسای، ۲۰۲۴)</w:t>
      </w:r>
      <w:r>
        <w:rPr>
          <w:rStyle w:val="FootnoteReference"/>
        </w:rPr>
        <w:footnoteReference w:id="36"/>
      </w:r>
      <w:r>
        <w:rPr>
          <w:rtl/>
        </w:rPr>
        <w:t xml:space="preserve">. دسترسی محدود به اطلاعات رقابتی نیز از همین خانواده عوامل برون‌سازمانی است؛ بنگاه‌های بزرگ معمولاً واحدهای تخصصی یا مشاوران بیرونی برای رصد مستمر بازار و اقدامات رقبا دارند، امکانی که برای بنگاه کوچک تک‌محصولی، به دلیل هزینه آن، اغلب در دسترس نیست و بنگاه را در تصمیم‌گیری‌های قیمت‌گذاری و بازاریابی به واکنش دیرهنگام نسبت به تحولات بازار وامی‌دارد، نه اقدام پیشگیرانه.</w:t>
      </w:r>
    </w:p>
    <w:p>
      <w:pPr>
        <w:bidi/>
        <w:spacing w:after="80"/>
        <w:ind w:firstLine="720"/>
        <w:jc w:val="both"/>
      </w:pPr>
      <w:r>
        <w:rPr>
          <w:rtl/>
        </w:rPr>
        <w:t xml:space="preserve">تغییرات در ترجیحات مصرف‌کننده یکی دیگر از عوامل محیطی است. </w:t>
      </w:r>
      <w:r>
        <w:rPr>
          <w:rtl/>
        </w:rPr>
        <w:t xml:space="preserve">آسیابانی و همکاران (۱۴۰۴) پایداری ترجیحات مصرف‌کنندگان ایرانی را، در مورد برنج و با رویکرد ترجیح آشکارشده، ارزیابی کرده و ثبات ساختاری ترجیحات و تداوم وفاداری به برنج ایرانی را گزارش کرده‌اند؛ یافته‌ای که نشان می‌دهد ناپایداری ترجیحات را نمی‌توان به همه بازارهای غذایی تعمیم داد و باید آن را برای هر محصول جداگانه سنجید. با این حال، ترجیح مصرف‌کننده می‌تواند با تغییر کیفیت یا قیمت نسبی جابه‌جا شود، و برای بنگاه تک‌محصولی این جابه‌جایی به‌خصوص خطرناک است، چون تغییر سلیقه جمعی، بدون جایگزین درآمدی دیگری در سبد، می‌تواند کل درآمد را ناگهان تهدید کند</w:t>
      </w:r>
      <w:r>
        <w:rPr>
          <w:rtl/>
        </w:rPr>
        <w:t xml:space="preserve">.</w:t>
      </w:r>
    </w:p>
    <w:p>
      <w:pPr>
        <w:bidi/>
        <w:spacing w:after="80" w:line="276" w:lineRule="auto"/>
        <w:ind w:firstLine="720"/>
        <w:jc w:val="both"/>
      </w:pPr>
      <w:r>
        <w:rPr>
          <w:rtl/>
        </w:rPr>
        <w:t xml:space="preserve">نوسانات اقتصاد کلان، از جمله تغییرات نرخ تورم، نرخ ارز و قدرت خرید خانوارها، لایه دیگری از عوامل محیطی است. </w:t>
      </w:r>
      <w:r>
        <w:rPr>
          <w:rtl/>
        </w:rPr>
        <w:t xml:space="preserve">این نوسانات</w:t>
      </w:r>
      <w:r>
        <w:rPr>
          <w:rtl/>
        </w:rPr>
        <w:t xml:space="preserve">، همزمان بر بهای تمام‌شده و بر تقاضا اثر می‌گذارند؛ اثری که در بنگاه‌های کوچک با حاشیه سود کم، کشنده‌تر است. نوسان نرخ ارز و هزینه مواد اولیه وارداتی، در اقتصادهایی مانند ایران که بخشی از نهاده‌های صنعت غذایی از مسیر واردات تأمین می‌شود، نمونه بارز این فشار است: بنگاهی که توان چانه‌زنی محدودی با تأمین‌کنندگان خارجی دارد، معمولاً افزایش هزینه را سریع‌تر و با تأخیر کمتری نسبت به بنگاه‌های بزرگ‌تر جذب می‌کند؛ در حالی که به دلیل حجم تولید پایین‌تر، امکان کمتری نیز برای سرشکن‌کردن هزینه‌های ثابت بر واحد محصول دارد. این دوگانگی، فشار هم‌زمان از سمت هزینه و از سمت قیمت‌گذاری رقابتی را برای بنگاه تک‌محصولی تشدید می‌کند.</w:t>
      </w:r>
    </w:p>
    <w:p>
      <w:pPr>
        <w:bidi/>
        <w:spacing w:after="80" w:line="276" w:lineRule="auto"/>
        <w:ind w:firstLine="720"/>
        <w:jc w:val="both"/>
      </w:pPr>
      <w:r>
        <w:rPr>
          <w:rtl/>
        </w:rPr>
        <w:t>نوسان در اجرای مقررات و استانداردهای صنفی، لایه دیگری از عوامل برون‌سازمانی است. در صنعتی که الزامات بهداشتی و ایمنی به‌طور مستمر به‌روزرسانی می‌شوند، بنگاه‌های کوچک‌تر معمولاً منابع کمتری برای همگامی سریع با این الزامات دارند. مانگلا و همکاران (۲۰۲۱)</w:t>
      </w:r>
      <w:r>
        <w:rPr>
          <w:rStyle w:val="FootnoteReference"/>
        </w:rPr>
        <w:footnoteReference w:id="37"/>
      </w:r>
      <w:r>
        <w:rPr>
          <w:rtl/>
        </w:rPr>
        <w:t xml:space="preserve"> </w:t>
      </w:r>
      <w:r>
        <w:rPr>
          <w:rtl/>
        </w:rPr>
        <w:t xml:space="preserve">در بررسی چالش‌های ابتکارات ایمنی مواد غذایی در یک اقتصاد نوظهور، چالش‌های مربوط به دولت و سیاست‌گذاری را در جایگاه نخست قرار دادند و چالش‌های دانشی و مالی را نیز از گروه‌های اصلی چالش‌ها یافتند؛ همگامی با الزامات نظارتی برای بنگاه‌های کوچک‌تر، که منابع مالی و دانشی کمتری دارند، دشوارتر است</w:t>
      </w:r>
      <w:r>
        <w:rPr>
          <w:rtl/>
        </w:rPr>
        <w:t xml:space="preserve">.</w:t>
      </w:r>
    </w:p>
    <w:p>
      <w:pPr>
        <w:bidi/>
        <w:spacing w:after="80" w:line="276" w:lineRule="auto"/>
        <w:ind w:firstLine="720"/>
        <w:jc w:val="both"/>
      </w:pPr>
      <w:r>
        <w:rPr>
          <w:rtl/>
        </w:rPr>
        <w:t xml:space="preserve">تغییرات فناورانه در سطح صنعت، عامل برون‌سازمانی دیگری است که به‌ویژه در دهه اخیر اهمیت یافته است. </w:t>
      </w:r>
      <w:r>
        <w:rPr>
          <w:rtl/>
        </w:rPr>
        <w:t xml:space="preserve">ظهور ابزارهای بازاریابی دیجیتال، رقابت در بسیاری از صنایع، از جمله صنعت مواد غذایی، را به سمت بنگاه‌هایی سوق می‌دهد که سریع‌تر این ابزارها را به کار می‌گیرند؛ شرابتی و همکاران (۲۰۲۴)</w:t>
      </w:r>
      <w:r>
        <w:rPr>
          <w:rStyle w:val="FootnoteReference"/>
        </w:rPr>
        <w:footnoteReference w:id="38"/>
      </w:r>
      <w:r>
        <w:rPr>
          <w:rtl/>
        </w:rPr>
        <w:t xml:space="preserve"> نیز بازاریابی دیجیتال را عاملی مؤثر بر عملکرد و حضور بنگاه‌های کوچک و متوسط در بازار یافته‌اند</w:t>
      </w:r>
      <w:r>
        <w:rPr>
          <w:rtl/>
        </w:rPr>
        <w:t xml:space="preserve">. بنگاه تک‌محصولی که منابع محدودی برای همگامی با این تحولات فناورانه دارد، در برابر رقبایی که توزیع منابع خود را میان چند محصول دیجیتالی‌تر مدیریت می‌کنند، در موضع ضعف قرار می‌گیرد.</w:t>
      </w:r>
    </w:p>
    <w:p>
      <w:pPr>
        <w:bidi/>
        <w:spacing w:after="80" w:line="276" w:lineRule="auto"/>
        <w:ind w:firstLine="720"/>
        <w:jc w:val="both"/>
      </w:pPr>
      <w:r>
        <w:rPr>
          <w:rtl/>
        </w:rPr>
        <w:t xml:space="preserve">نیروی کار و بازار اشتغال نیز لایه کمتر بررسی‌شده‌ای از عوامل برون‌سازمانی است. </w:t>
      </w:r>
      <w:r>
        <w:rPr>
          <w:rtl/>
        </w:rPr>
        <w:t xml:space="preserve">دسترسی بنگاه‌های کوچک صنعت غذایی به نیروی کار ماهر، تا حد زیادی به شرایط بازار کار محلی بستگی دارد و بیرون از کنترل مستقیم بنگاه است؛ آموزش داخلی تنها می‌تواند بخشی از این کمبود را جبران کند. تانئو و همکاران (۲۰۲۲)</w:t>
      </w:r>
      <w:r>
        <w:rPr>
          <w:rStyle w:val="FootnoteReference"/>
        </w:rPr>
        <w:footnoteReference w:id="39"/>
      </w:r>
      <w:r>
        <w:rPr>
          <w:rtl/>
        </w:rPr>
        <w:t xml:space="preserve"> نشان داده‌اند که آموزش هدفمند، دانش مدیران بنگاه‌های کوچک غذایی را در موضوعات مدیریت منابع انسانی به‌طور معناداری افزایش می‌دهد</w:t>
      </w:r>
      <w:r>
        <w:rPr>
          <w:rtl/>
        </w:rPr>
        <w:t xml:space="preserve">. برای بنگاه تک‌محصولی که منابع مالی محدودتری برای چنین سرمایه‌گذاری‌هایی دارد، این کمبود بیرونی به یک محدودیت ساختاری پایدار بدل می‌شود.</w:t>
      </w:r>
    </w:p>
    <w:p>
      <w:pPr>
        <w:bidi/>
        <w:spacing w:after="80" w:line="276" w:lineRule="auto"/>
        <w:ind w:firstLine="720"/>
        <w:jc w:val="both"/>
      </w:pPr>
      <w:r>
        <w:rPr>
          <w:rtl/>
        </w:rPr>
        <w:t xml:space="preserve">جمع‌بندی عوامل برون‌سازمانی این بخش نشان می‌دهد که رقابت، تغییر ترجیحات مصرف‌کننده، نوسانات کلان اقتصادی، الزامات نظارتی، تحولات فناورانه و کمبود نیروی کار بازار، هرچند هر یک منشأ متفاوتی دارند، وجه مشترکی دارند: بنگاه نمی‌تواند آن‌ها را مستقیماً کنترل کند. </w:t>
      </w:r>
      <w:r>
        <w:rPr>
          <w:rtl/>
        </w:rPr>
        <w:t xml:space="preserve">این عوامل در عمل جدا از هم عمل نمی‌کنند و اثر آن‌ها بر یکدیگر انباشته می‌شود؛ از این رو نگاه یکپارچه به آن‌ها، به‌جای تحلیل جداگانه هر یک، برای پژوهش حاضر ضروری است</w:t>
      </w:r>
      <w:r>
        <w:rPr>
          <w:rtl/>
        </w:rPr>
        <w:t>.</w:t>
      </w:r>
    </w:p>
    <w:p>
      <w:pPr>
        <w:pStyle w:val="Heading4"/>
        <w:keepNext/>
        <w:bidi/>
        <w:spacing w:before="180" w:after="80"/>
      </w:pPr>
      <w:r>
        <w:t>۲ـ۲ـ۳ـ۴ پیامدهای چالش‌های فروش بر عملکرد، سودآوری و بقای بنگاه</w:t>
      </w:r>
    </w:p>
    <w:p>
      <w:pPr>
        <w:bidi/>
        <w:spacing w:after="80" w:line="276" w:lineRule="auto"/>
        <w:ind w:firstLine="720"/>
        <w:jc w:val="both"/>
      </w:pPr>
      <w:r>
        <w:rPr>
          <w:rtl/>
        </w:rPr>
        <w:t xml:space="preserve">پیامدهای تداوم چالش‌های فروش را می‌توان در قالب یک افق زمانی سه‌گانه </w:t>
      </w:r>
      <w:r>
        <w:rPr>
          <w:rFonts/>
          <w:rtl/>
        </w:rPr>
        <w:t>کوتاه‌مدت،</w:t>
      </w:r>
      <w:r>
        <w:rPr>
          <w:rtl/>
        </w:rPr>
        <w:t xml:space="preserve"> </w:t>
      </w:r>
      <w:r>
        <w:rPr>
          <w:rFonts/>
          <w:rtl/>
        </w:rPr>
        <w:t>میان‌مدت</w:t>
      </w:r>
      <w:r>
        <w:rPr>
          <w:rtl/>
        </w:rPr>
        <w:t xml:space="preserve"> </w:t>
      </w:r>
      <w:r>
        <w:rPr>
          <w:rFonts/>
          <w:rtl/>
        </w:rPr>
        <w:t>و</w:t>
      </w:r>
      <w:r>
        <w:rPr>
          <w:rtl/>
        </w:rPr>
        <w:t xml:space="preserve"> </w:t>
      </w:r>
      <w:r>
        <w:rPr>
          <w:rFonts/>
          <w:rtl/>
        </w:rPr>
        <w:t>بلندمدت</w:t>
      </w:r>
      <w:r>
        <w:rPr>
          <w:rtl/>
        </w:rPr>
        <w:t xml:space="preserve"> </w:t>
      </w:r>
      <w:r>
        <w:rPr>
          <w:rFonts/>
          <w:rtl/>
        </w:rPr>
        <w:t>سازمان</w:t>
      </w:r>
      <w:r>
        <w:rPr>
          <w:rtl/>
        </w:rPr>
        <w:t xml:space="preserve"> </w:t>
      </w:r>
      <w:r>
        <w:rPr>
          <w:rFonts/>
          <w:rtl/>
        </w:rPr>
        <w:t>داد</w:t>
      </w:r>
      <w:r>
        <w:rPr>
          <w:rtl/>
        </w:rPr>
        <w:t xml:space="preserve">. </w:t>
      </w:r>
      <w:r>
        <w:rPr>
          <w:rFonts/>
          <w:rtl/>
        </w:rPr>
        <w:t xml:space="preserve">در کوتاه‌مدت، بنگاه‌های کوچک معمولاً نخست با فشردگی حاشیه سود و کاهش توان پوشش هزینه‌های ثابت روبه‌رو می‌شوند، پیش از آنکه آثار ساختاری‌تر این چالش‌ها آشکار شود</w:t>
      </w:r>
      <w:r>
        <w:rPr>
          <w:rtl/>
        </w:rPr>
        <w:t xml:space="preserve">. در بنگاه تک‌محصولی این اثر مستقیم‌تر است زیرا درآمد جایگزینی برای پوشش این فشردگی وجود ندارد.</w:t>
      </w:r>
    </w:p>
    <w:p>
      <w:pPr>
        <w:bidi/>
        <w:spacing w:after="80" w:line="276" w:lineRule="auto"/>
        <w:ind w:firstLine="720"/>
        <w:jc w:val="both"/>
      </w:pPr>
      <w:r>
        <w:rPr>
          <w:rtl/>
        </w:rPr>
        <w:t xml:space="preserve">در میان‌مدت، تداوم چالش‌ها به از دست رفتن سهم بازار می‌انجامد. مشتریانی که به دلیل کسری محصول، نوسان کیفیت یا قیمت بالاتر به رقیب روی می‌آورند، اغلب به این سادگی بازنمی‌گردند. </w:t>
      </w:r>
      <w:r>
        <w:rPr>
          <w:rtl/>
        </w:rPr>
        <w:t xml:space="preserve">بازیابی سهم ازدست‌رفته پرهزینه است و از این رو انتخاب راهبرد بازاریابی متناسب با مرحله چرخه عمر محصول، که محمدی، ثانی‌حیدری و شهرکی (۱۴۰۱) عوامل مؤثر بر آن را بررسی کرده‌اند، اهمیت می‌یابد</w:t>
      </w:r>
      <w:r>
        <w:rPr>
          <w:rtl/>
        </w:rPr>
        <w:t xml:space="preserve">.</w:t>
      </w:r>
    </w:p>
    <w:p>
      <w:pPr>
        <w:bidi/>
        <w:spacing w:after="80" w:line="276" w:lineRule="auto"/>
        <w:ind w:firstLine="720"/>
        <w:jc w:val="both"/>
      </w:pPr>
      <w:r>
        <w:rPr>
          <w:rtl/>
        </w:rPr>
        <w:t>در بلندمدت، تداوم چالش‌های فروش می‌تواند بقای بنگاه را با تهدید مواجه سازد، به‌ویژه در بنگاه‌هایی که تنها یک خط درآمدی دارند. مامن و همکاران (۲۰۲۱)</w:t>
      </w:r>
      <w:r>
        <w:rPr>
          <w:rStyle w:val="FootnoteReference"/>
        </w:rPr>
        <w:footnoteReference w:id="40"/>
      </w:r>
      <w:r>
        <w:rPr>
          <w:rtl/>
        </w:rPr>
        <w:t xml:space="preserve"> </w:t>
      </w:r>
      <w:r>
        <w:rPr>
          <w:rtl/>
        </w:rPr>
        <w:t xml:space="preserve">نشان داده‌اند که تنوع محصولی ریسک بنگاه را کاهش می‌دهد؛ بر این پایه، بنگاه متمرکز در معرض ریسک بالاتری قرار دارد که در شرایط تداوم افت فروش می‌تواند به تهدید بقا بینجامد</w:t>
      </w:r>
      <w:r>
        <w:rPr>
          <w:rtl/>
        </w:rPr>
        <w:t xml:space="preserve">. </w:t>
      </w:r>
      <w:r>
        <w:rPr>
          <w:rtl/>
        </w:rPr>
        <w:t xml:space="preserve">در صنعت مواد غذایی ایران نیز، می‌توان انتظار داشت بنگاه‌های کوچک در دوره‌های نوسان اقتصادی بیش از دیگران در معرض تعطیلی باشند</w:t>
      </w:r>
      <w:r>
        <w:rPr>
          <w:rtl/>
        </w:rPr>
        <w:t xml:space="preserve">. پیامدهای این چالش‌ها به سطح مالی و بازار محدود نمی‌ماند؛ آسیب به اعتبار و شهرت بنگاه نیز یکی از پیامدهای کمتر دیده‌شده اما پایدار آن است. </w:t>
      </w:r>
      <w:r>
        <w:rPr>
          <w:rtl/>
        </w:rPr>
        <w:t xml:space="preserve">بنگاهی که</w:t>
      </w:r>
      <w:r>
        <w:rPr>
          <w:rtl/>
        </w:rPr>
        <w:t xml:space="preserve"> به دلیل کسری مکرر محصول یا ناپایداری کیفیت نتواند تعهدات خود را به‌طور مستمر ایفا کند، در ذهن خرده‌فروش و مصرف‌کننده به‌عنوان تأمین‌کننده‌ای غیرقابل‌اتکا شناخته می‌شود؛ برچسبی که اصلاح آن زمان و هزینه بسیار بیشتری نسبت به پیشگیری از آن می‌طلبد.</w:t>
      </w:r>
    </w:p>
    <w:p>
      <w:pPr>
        <w:bidi/>
        <w:spacing w:after="80" w:line="276" w:lineRule="auto"/>
        <w:ind w:firstLine="720"/>
        <w:jc w:val="both"/>
      </w:pPr>
      <w:r>
        <w:rPr>
          <w:rtl/>
        </w:rPr>
        <w:t xml:space="preserve">نگاهی کلی به این زنجیره پیامدها نشان می‌دهد که افت حجم فروش کوتاه‌مدت، اگر بدون واکنش مدیریتی باقی بماند، به‌تدریج به از دست رفتن سهم بازار در میان‌مدت و در نهایت به تهدید بقای بنگاه در بلندمدت می‌انجامد. </w:t>
      </w:r>
      <w:r>
        <w:rPr>
          <w:rtl/>
        </w:rPr>
        <w:t xml:space="preserve">این توالی</w:t>
      </w:r>
      <w:r>
        <w:rPr>
          <w:rtl/>
        </w:rPr>
        <w:t xml:space="preserve"> برای بنگاه تک‌محصولی با سرعت بیشتری طی می‌شود، زیرا در هر مرحله، نبود منبع درآمدی جایگزین، فرصت اصلاح مسیر را کاهش می‌دهد؛ ویژگی‌ای که چالش‌های فروش را از مفهومی ایستا به فرایندی پویا بدل می‌کند که از عوامل درون‌سازمانی و برون‌سازمانی سرچشمه می‌گیرد و در نهایت در عملکرد، سودآوری و بقای بنگاه بازتاب می‌یابد.</w:t>
      </w:r>
    </w:p>
    <w:p>
      <w:pPr>
        <w:bidi/>
        <w:spacing w:after="80" w:line="276" w:lineRule="auto"/>
        <w:ind w:firstLine="720"/>
        <w:jc w:val="both"/>
      </w:pPr>
      <w:r>
        <w:rPr>
          <w:rtl/>
        </w:rPr>
        <w:t>سرانجام، پیامدهای تداوم چالش‌های فروش را می‌توان از منظر قابلیت‌های سازمانی نیز بازخوانی کرد. دخیخ و النجری (۲۰۲۶)</w:t>
      </w:r>
      <w:r>
        <w:rPr>
          <w:rStyle w:val="FootnoteReference"/>
        </w:rPr>
        <w:footnoteReference w:id="41"/>
      </w:r>
      <w:r>
        <w:rPr>
          <w:rtl/>
        </w:rPr>
        <w:t xml:space="preserve"> </w:t>
      </w:r>
      <w:r>
        <w:rPr>
          <w:rtl/>
        </w:rPr>
        <w:t xml:space="preserve">نشان دادند که قابلیت‌های پویا از مسیر نوآوری بر مزیت رقابتی پایدار اثر می‌گذارند و یادگیری سازمانی این اثر را تقویت می‌کند. بر این پایه می‌توان استدلال کرد که بنگاه‌هایی با قابلیت پویای ضعیف‌تر، نه‌تنها در برابر چالش‌های فروش آسیب‌پذیرترند، بلکه توان کمتری نیز برای یادگیری از این چالش‌ها و بازسازی منابع خود دارند؛ چرخه‌ای که در بلندمدت می‌تواند به کاهش فزاینده مزیت رقابتی بینجامد</w:t>
      </w:r>
      <w:r>
        <w:rPr>
          <w:rtl/>
        </w:rPr>
        <w:t xml:space="preserve">. </w:t>
      </w:r>
      <w:r>
        <w:rPr>
          <w:rtl/>
        </w:rPr>
        <w:t xml:space="preserve">این استدلال، پیوند میان مباحث این بخش</w:t>
      </w:r>
      <w:r>
        <w:rPr>
          <w:rtl/>
        </w:rPr>
        <w:t xml:space="preserve"> و مباحث نظری بخش ۲-۲-۲ درباره قابلیت‌های پویا را تقویت می‌کند.</w:t>
      </w:r>
    </w:p>
    <w:p>
      <w:pPr>
        <w:pStyle w:val="Heading3"/>
        <w:keepNext/>
        <w:bidi/>
        <w:spacing w:before="180" w:after="80"/>
      </w:pPr>
      <w:bookmarkStart w:id="20" w:name="_Toc200000020"/>
      <w:r>
        <w:t>۲ـ۲ـ۴ شرکت‌های تک‌محصولی و جایگاه آن‌ها در ادبیات مدیریت استراتژیک</w:t>
      </w:r>
      <w:bookmarkEnd w:id="20"/>
    </w:p>
    <w:p>
      <w:pPr>
        <w:bidi/>
        <w:spacing w:after="80" w:line="276" w:lineRule="auto"/>
        <w:ind w:firstLine="720"/>
        <w:jc w:val="both"/>
      </w:pPr>
      <w:r>
        <w:rPr>
          <w:rtl/>
        </w:rPr>
        <w:t>پس از مرور چارچوب عمومی چالش‌های فروش در بخش پیشین، این بخش بر واحد تحلیل اختصاصی پژوهش حاضر متمرکز می‌شود: شرکت تک‌محصولی. آرته و لاریمو (۲۰۲۲)</w:t>
      </w:r>
      <w:r>
        <w:rPr>
          <w:rStyle w:val="FootnoteReference"/>
        </w:rPr>
        <w:footnoteReference w:id="42"/>
      </w:r>
      <w:r>
        <w:rPr>
          <w:rtl/>
        </w:rPr>
        <w:t xml:space="preserve"> در فراتحلیل خود </w:t>
      </w:r>
      <w:r>
        <w:rPr>
          <w:rtl/>
        </w:rPr>
        <w:t xml:space="preserve">نشان داده‌اند که سطح و نوع تنوع محصولی بنگاه، رابطه تنوع بین‌المللی با عملکرد را تعدیل می‌کند؛ از این رو تعریف روشن سطح تمرکز یا تنوع محصولی بنگاه، پیش‌شرط تفسیر یافته‌های این ادبیات است و یافته‌های مبتنی بر بنگاه‌های بزرگ را نمی‌توان بدون احتیاط به بنگاه‌های کوچک تعمیم داد</w:t>
      </w:r>
      <w:r>
        <w:rPr>
          <w:rtl/>
        </w:rPr>
        <w:t xml:space="preserve">. بر همین اساس، این بخش نخست پیشینه نظری مناقشه تمرکز در برابر تنوع را مرور می‌کند؛ سپس تعریف و ویژگی‌های ساختاری این دسته از بنگاه‌ها را ارائه می‌دهد؛ در ادامه مزایا و محدودیت‌های راهبرد تمرکز را بررسی می‌کند؛ و سرانجام آسیب‌پذیری این بنگاه‌ها در برابر نوسانات بازار را تحلیل می‌کند.</w:t>
      </w:r>
    </w:p>
    <w:p>
      <w:pPr>
        <w:pStyle w:val="Heading4"/>
        <w:keepNext/>
        <w:bidi/>
        <w:spacing w:before="180" w:after="80"/>
      </w:pPr>
      <w:r>
        <w:t>۲ـ۲ـ۴ـ۱ پیشینه نظری بحث تمرکز در برابر تنوع</w:t>
      </w:r>
    </w:p>
    <w:p>
      <w:pPr>
        <w:bidi/>
        <w:spacing w:after="80" w:line="276" w:lineRule="auto"/>
        <w:ind w:firstLine="720"/>
        <w:jc w:val="both"/>
      </w:pPr>
      <w:r>
        <w:rPr>
          <w:rtl/>
        </w:rPr>
        <w:t>بحث درباره اینکه بنگاه باید بر یک محصول متمرکز بماند یا سبد خود را متنوع کند، یکی از دیرپاترین مناقشه‌های مدیریت استراتژیک است؛ مناقشه‌ای که از دهه ۱۹۷۰ میلادی با طبقه‌بندی بنگاه‌ها بر پایه میزان و نوع تنوع آغاز شد و نشان داد رابطه تنوع و عملکرد خطی نیست. آرته و لاریمو (۲۰۲۲)</w:t>
      </w:r>
      <w:r>
        <w:rPr>
          <w:rStyle w:val="FootnoteReference"/>
        </w:rPr>
        <w:footnoteReference w:id="43"/>
      </w:r>
      <w:r>
        <w:rPr>
          <w:rtl/>
        </w:rPr>
        <w:t xml:space="preserve"> در فراتحلیلی که ۲۶۳ اندازه اثر از ۱۸۷ پژوهش اولیه میان سال‌های ۱۹۷۴ تا ۲۰۲۱ را پوشش می‌دهد، نشان دادند که رابطه میان تنوع بین‌المللی و عملکرد بنگاه غیرخطی و به‌شکل </w:t>
      </w:r>
      <w:r>
        <w:rPr>
          <w:rFonts w:ascii="Times New Roman" w:hAnsi="Times New Roman" w:cs="Times New Roman" w:eastAsia="Times New Roman"/>
          <w:sz w:val="26"/>
          <w:szCs w:val="26"/>
        </w:rPr>
        <w:t xml:space="preserve">U</w:t>
      </w:r>
      <w:r>
        <w:rPr>
          <w:rtl/>
        </w:rPr>
        <w:t xml:space="preserve"> معکوس است و عملکرد در سطوح پایین یا مرتبط تنوع محصولی بالاتر از سطوح بالای تنوع نامرتبط است.</w:t>
      </w:r>
    </w:p>
    <w:p>
      <w:pPr>
        <w:bidi/>
        <w:spacing w:after="80" w:line="276" w:lineRule="auto"/>
        <w:ind w:firstLine="720"/>
        <w:jc w:val="both"/>
      </w:pPr>
      <w:r>
        <w:rPr>
          <w:rtl/>
        </w:rPr>
        <w:t xml:space="preserve">نتیجه فراتحلیل آرته و لاریمو همچنین نشان می‌دهد که ترکیب هم‌زمان تنوع محصولی و تنوع جغرافیایی بالا </w:t>
      </w:r>
      <w:r>
        <w:rPr>
          <w:rFonts/>
          <w:rtl/>
        </w:rPr>
        <w:t>یعنی</w:t>
      </w:r>
      <w:r>
        <w:rPr>
          <w:rtl/>
        </w:rPr>
        <w:t xml:space="preserve"> </w:t>
      </w:r>
      <w:r>
        <w:rPr>
          <w:rFonts/>
          <w:rtl/>
        </w:rPr>
        <w:t>دوگانه‌تنوعی</w:t>
      </w:r>
      <w:r>
        <w:rPr>
          <w:rtl/>
        </w:rPr>
        <w:t xml:space="preserve"> </w:t>
      </w:r>
      <w:r>
        <w:rPr>
          <w:rFonts/>
          <w:rtl/>
        </w:rPr>
        <w:t>برای</w:t>
      </w:r>
      <w:r>
        <w:rPr>
          <w:rtl/>
        </w:rPr>
        <w:t xml:space="preserve"> </w:t>
      </w:r>
      <w:r>
        <w:rPr>
          <w:rFonts/>
          <w:rtl/>
        </w:rPr>
        <w:t>عملکرد</w:t>
      </w:r>
      <w:r>
        <w:rPr>
          <w:rtl/>
        </w:rPr>
        <w:t xml:space="preserve"> </w:t>
      </w:r>
      <w:r>
        <w:rPr>
          <w:rFonts/>
          <w:rtl/>
        </w:rPr>
        <w:t>بنگاه</w:t>
      </w:r>
      <w:r>
        <w:rPr>
          <w:rtl/>
        </w:rPr>
        <w:t xml:space="preserve"> </w:t>
      </w:r>
      <w:r>
        <w:rPr>
          <w:rFonts/>
          <w:rtl/>
        </w:rPr>
        <w:t>زیان‌بار</w:t>
      </w:r>
      <w:r>
        <w:rPr>
          <w:rtl/>
        </w:rPr>
        <w:t xml:space="preserve"> </w:t>
      </w:r>
      <w:r>
        <w:rPr>
          <w:rFonts/>
          <w:rtl/>
        </w:rPr>
        <w:t>است،</w:t>
      </w:r>
      <w:r>
        <w:rPr>
          <w:rtl/>
        </w:rPr>
        <w:t xml:space="preserve"> </w:t>
      </w:r>
      <w:r>
        <w:rPr>
          <w:rFonts/>
          <w:rtl/>
        </w:rPr>
        <w:t>یافته‌ای</w:t>
      </w:r>
      <w:r>
        <w:rPr>
          <w:rtl/>
        </w:rPr>
        <w:t xml:space="preserve"> </w:t>
      </w:r>
      <w:r>
        <w:rPr>
          <w:rFonts/>
          <w:rtl/>
        </w:rPr>
        <w:t>که</w:t>
      </w:r>
      <w:r>
        <w:rPr>
          <w:rtl/>
        </w:rPr>
        <w:t xml:space="preserve"> </w:t>
      </w:r>
      <w:r>
        <w:rPr>
          <w:rFonts/>
          <w:rtl/>
        </w:rPr>
        <w:t>به‌طور</w:t>
      </w:r>
      <w:r>
        <w:rPr>
          <w:rtl/>
        </w:rPr>
        <w:t xml:space="preserve"> </w:t>
      </w:r>
      <w:r>
        <w:rPr>
          <w:rFonts/>
          <w:rtl/>
        </w:rPr>
        <w:t>ضمنی</w:t>
      </w:r>
      <w:r>
        <w:rPr>
          <w:rtl/>
        </w:rPr>
        <w:t xml:space="preserve"> </w:t>
      </w:r>
      <w:r>
        <w:rPr>
          <w:rFonts/>
          <w:rtl/>
        </w:rPr>
        <w:t>از</w:t>
      </w:r>
      <w:r>
        <w:rPr>
          <w:rtl/>
        </w:rPr>
        <w:t xml:space="preserve"> </w:t>
      </w:r>
      <w:r>
        <w:rPr>
          <w:rFonts/>
          <w:rtl/>
        </w:rPr>
        <w:t>مزیت</w:t>
      </w:r>
      <w:r>
        <w:rPr>
          <w:rtl/>
        </w:rPr>
        <w:t xml:space="preserve"> </w:t>
      </w:r>
      <w:r>
        <w:rPr>
          <w:rFonts/>
          <w:rtl/>
        </w:rPr>
        <w:t>نسبی</w:t>
      </w:r>
      <w:r>
        <w:rPr>
          <w:rtl/>
        </w:rPr>
        <w:t xml:space="preserve"> </w:t>
      </w:r>
      <w:r>
        <w:rPr>
          <w:rFonts/>
          <w:rtl/>
        </w:rPr>
        <w:t>راهبرد</w:t>
      </w:r>
      <w:r>
        <w:rPr>
          <w:rtl/>
        </w:rPr>
        <w:t xml:space="preserve"> </w:t>
      </w:r>
      <w:r>
        <w:rPr>
          <w:rFonts/>
          <w:rtl/>
        </w:rPr>
        <w:t>تمرکز</w:t>
      </w:r>
      <w:r>
        <w:rPr>
          <w:rtl/>
        </w:rPr>
        <w:t xml:space="preserve"> </w:t>
      </w:r>
      <w:r>
        <w:rPr>
          <w:rFonts/>
          <w:rtl/>
        </w:rPr>
        <w:t>حمایت</w:t>
      </w:r>
      <w:r>
        <w:rPr>
          <w:rtl/>
        </w:rPr>
        <w:t xml:space="preserve"> </w:t>
      </w:r>
      <w:r>
        <w:rPr>
          <w:rFonts/>
          <w:rtl/>
        </w:rPr>
        <w:t>می‌کند</w:t>
      </w:r>
      <w:r>
        <w:rPr>
          <w:rtl/>
        </w:rPr>
        <w:t xml:space="preserve">. </w:t>
      </w:r>
      <w:r>
        <w:rPr>
          <w:rFonts/>
          <w:rtl/>
        </w:rPr>
        <w:t>شومر،</w:t>
      </w:r>
      <w:r>
        <w:rPr>
          <w:rtl/>
        </w:rPr>
        <w:t xml:space="preserve"> </w:t>
      </w:r>
      <w:r>
        <w:rPr>
          <w:rFonts/>
          <w:rtl/>
        </w:rPr>
        <w:t>ریشتر</w:t>
      </w:r>
      <w:r>
        <w:rPr>
          <w:rtl/>
        </w:rPr>
        <w:t xml:space="preserve"> </w:t>
      </w:r>
      <w:r>
        <w:rPr>
          <w:rFonts/>
          <w:rtl/>
        </w:rPr>
        <w:t>و</w:t>
      </w:r>
      <w:r>
        <w:rPr>
          <w:rtl/>
        </w:rPr>
        <w:t xml:space="preserve"> </w:t>
      </w:r>
      <w:r>
        <w:rPr>
          <w:rFonts/>
          <w:rtl/>
        </w:rPr>
        <w:t>کارنا</w:t>
      </w:r>
      <w:r>
        <w:rPr>
          <w:rtl/>
        </w:rPr>
        <w:t xml:space="preserve"> (</w:t>
      </w:r>
      <w:r>
        <w:rPr>
          <w:rFonts/>
          <w:rtl/>
        </w:rPr>
        <w:t>۲۰۱۹</w:t>
      </w:r>
      <w:r>
        <w:rPr>
          <w:rtl/>
        </w:rPr>
        <w:t>)</w:t>
      </w:r>
      <w:r>
        <w:rPr>
          <w:rStyle w:val="FootnoteReference"/>
        </w:rPr>
        <w:footnoteReference w:id="44"/>
      </w:r>
      <w:r>
        <w:rPr>
          <w:rtl/>
        </w:rPr>
        <w:t xml:space="preserve"> </w:t>
      </w:r>
      <w:r>
        <w:rPr>
          <w:rtl/>
        </w:rPr>
        <w:t xml:space="preserve">نیز در فراتحلیل گسترده دیگری، که بیش از شصت سال پژوهش تجربی را در بر می‌گیرد، نشان دادند که رابطه تنوع نامرتبط با عملکرد بنگاه در طول زمان به‌طور معناداری بهبود یافته، در حالی که رابطه تنوع مرتبط با عملکرد نسبتاً پایدار مانده است. بر این پایه، برتری نسبی راهبرد تمرکز در طول زمان ثابت نبوده و داوری درباره آن بدون توجه به بافت زمانی و صنعتی احتیاط می‌طلبد</w:t>
      </w:r>
      <w:r>
        <w:rPr>
          <w:rtl/>
        </w:rPr>
        <w:t xml:space="preserve">.</w:t>
      </w:r>
    </w:p>
    <w:p>
      <w:pPr>
        <w:bidi/>
        <w:spacing w:after="80" w:line="276" w:lineRule="auto"/>
        <w:ind w:firstLine="720"/>
        <w:jc w:val="both"/>
      </w:pPr>
      <w:r>
        <w:rPr>
          <w:rtl/>
        </w:rPr>
        <w:t>مامن و همکاران (۲۰۲۱)</w:t>
      </w:r>
      <w:r>
        <w:rPr>
          <w:rStyle w:val="FootnoteReference"/>
        </w:rPr>
        <w:footnoteReference w:id="45"/>
      </w:r>
      <w:r>
        <w:rPr>
          <w:rtl/>
        </w:rPr>
        <w:t xml:space="preserve"> با تفکیک دو نوع تنوع محصولی و جغرافیایی </w:t>
      </w:r>
      <w:r>
        <w:rPr>
          <w:rtl/>
        </w:rPr>
        <w:t xml:space="preserve">نشان دادند که تنوع محصولی و تنوع مرتبط ریسک بنگاه را کاهش می‌دهند، در حالی که تنوع جغرافیایی آن را افزایش می‌دهد. بر این پایه، بنگاه متکی به یک محصول از اثر کاهنده تنوع محصولی بر ریسک بی‌بهره است و در برابر تکانه‌های بازار بی‌پناه‌تر می‌ماند</w:t>
      </w:r>
      <w:r>
        <w:rPr>
          <w:rtl/>
        </w:rPr>
        <w:t xml:space="preserve">. این تبیین نظری، پایه درک ما از چالش‌های فروش شرکت‌های تک‌محصولی است. این یافته‌ها در بافت اقتصادهای نوظهور، از جمله ایران، اهمیت ویژه‌ای می‌یابند؛ در این اقتصادها، نوسانات کلان نرخ ارز، تورم و محدودیت دسترسی به سرمایه، اثر ریسک ساختاری </w:t>
      </w:r>
      <w:r>
        <w:rPr>
          <w:rtl/>
        </w:rPr>
        <w:t>تمرکز محصولی را تشدید می‌کنند، زیرا بنگاه تک‌محصولی نه‌تنها فاقد سازوکار جبران درون‌سازمانی است، بلکه امکان محدودتری نیز برای تأمین مالی اضطراری در دوره‌های افت فروش دارد.</w:t>
      </w:r>
    </w:p>
    <w:p>
      <w:pPr>
        <w:bidi/>
        <w:spacing w:after="80" w:line="276" w:lineRule="auto"/>
        <w:ind w:firstLine="720"/>
        <w:jc w:val="both"/>
      </w:pPr>
      <w:r>
        <w:rPr>
          <w:rtl/>
        </w:rPr>
        <w:t>آرته و لاریمو (۲۰۲۲)</w:t>
      </w:r>
      <w:r>
        <w:rPr>
          <w:rStyle w:val="FootnoteReference"/>
        </w:rPr>
        <w:footnoteReference w:id="46"/>
      </w:r>
      <w:r>
        <w:rPr>
          <w:rtl/>
        </w:rPr>
        <w:t xml:space="preserve"> </w:t>
      </w:r>
      <w:r>
        <w:rPr>
          <w:rtl/>
        </w:rPr>
        <w:t xml:space="preserve">همچنین نشان دادند که بنگاه‌هایی با تنوع محصولی پایین یا مرتبط، عملکرد بهتری از بنگاه‌های دارای تنوع بالا یا نامرتبط دارند؛ تمایزی که نکته ظریف دیگری در این ادبیات است</w:t>
      </w:r>
      <w:r>
        <w:rPr>
          <w:rtl/>
        </w:rPr>
        <w:t xml:space="preserve">. </w:t>
      </w:r>
      <w:r>
        <w:rPr>
          <w:rtl/>
        </w:rPr>
        <w:t xml:space="preserve">بر پایه این تمایز، و نیز یافته مامن و همکاران (۲۰۲۱)</w:t>
      </w:r>
      <w:r>
        <w:rPr>
          <w:rStyle w:val="FootnoteReference"/>
        </w:rPr>
        <w:footnoteReference w:id="47"/>
      </w:r>
      <w:r>
        <w:rPr>
          <w:rtl/>
        </w:rPr>
        <w:t xml:space="preserve"> مبنی بر اینکه تنوع مرتبط ریسک بنگاه را کاهش می‌دهد، می‌توان استدلال کرد که گسترش محصولی</w:t>
      </w:r>
      <w:r>
        <w:rPr>
          <w:rtl/>
        </w:rPr>
        <w:t xml:space="preserve"> در حوزه‌ای نزدیک به شایستگی اصلی بنگاه </w:t>
      </w:r>
      <w:r>
        <w:rPr>
          <w:rFonts/>
          <w:rtl/>
        </w:rPr>
        <w:t>برای</w:t>
      </w:r>
      <w:r>
        <w:rPr>
          <w:rtl/>
        </w:rPr>
        <w:t xml:space="preserve"> </w:t>
      </w:r>
      <w:r>
        <w:rPr>
          <w:rFonts/>
          <w:rtl/>
        </w:rPr>
        <w:t>نمونه،</w:t>
      </w:r>
      <w:r>
        <w:rPr>
          <w:rtl/>
        </w:rPr>
        <w:t xml:space="preserve"> </w:t>
      </w:r>
      <w:r>
        <w:rPr>
          <w:rFonts/>
          <w:rtl/>
        </w:rPr>
        <w:t>افزود</w:t>
      </w:r>
      <w:r>
        <w:rPr>
          <w:rtl/>
        </w:rPr>
        <w:t xml:space="preserve">ن یک طعم یا بسته‌بندی جدید به همان خط تولید </w:t>
      </w:r>
      <w:r>
        <w:rPr>
          <w:rFonts/>
          <w:rtl/>
        </w:rPr>
        <w:t>می‌تواند</w:t>
      </w:r>
      <w:r>
        <w:rPr>
          <w:rtl/>
        </w:rPr>
        <w:t xml:space="preserve"> </w:t>
      </w:r>
      <w:r>
        <w:rPr>
          <w:rFonts/>
          <w:rtl/>
        </w:rPr>
        <w:t>بدون</w:t>
      </w:r>
      <w:r>
        <w:rPr>
          <w:rtl/>
        </w:rPr>
        <w:t xml:space="preserve"> </w:t>
      </w:r>
      <w:r>
        <w:rPr>
          <w:rFonts/>
          <w:rtl/>
        </w:rPr>
        <w:t>از</w:t>
      </w:r>
      <w:r>
        <w:rPr>
          <w:rtl/>
        </w:rPr>
        <w:t xml:space="preserve"> </w:t>
      </w:r>
      <w:r>
        <w:rPr>
          <w:rFonts/>
          <w:rtl/>
        </w:rPr>
        <w:t>دست</w:t>
      </w:r>
      <w:r>
        <w:rPr>
          <w:rtl/>
        </w:rPr>
        <w:t xml:space="preserve"> </w:t>
      </w:r>
      <w:r>
        <w:rPr>
          <w:rFonts/>
          <w:rtl/>
        </w:rPr>
        <w:t>رفتن</w:t>
      </w:r>
      <w:r>
        <w:rPr>
          <w:rtl/>
        </w:rPr>
        <w:t xml:space="preserve"> </w:t>
      </w:r>
      <w:r>
        <w:rPr>
          <w:rFonts/>
          <w:rtl/>
        </w:rPr>
        <w:t>مزایای</w:t>
      </w:r>
      <w:r>
        <w:rPr>
          <w:rtl/>
        </w:rPr>
        <w:t xml:space="preserve"> </w:t>
      </w:r>
      <w:r>
        <w:rPr>
          <w:rFonts/>
          <w:rtl/>
        </w:rPr>
        <w:t>تخصص‌گرایی،</w:t>
      </w:r>
      <w:r>
        <w:rPr>
          <w:rtl/>
        </w:rPr>
        <w:t xml:space="preserve"> </w:t>
      </w:r>
      <w:r>
        <w:rPr>
          <w:rFonts/>
          <w:rtl/>
        </w:rPr>
        <w:t>بخشی</w:t>
      </w:r>
      <w:r>
        <w:rPr>
          <w:rtl/>
        </w:rPr>
        <w:t xml:space="preserve"> </w:t>
      </w:r>
      <w:r>
        <w:rPr>
          <w:rFonts/>
          <w:rtl/>
        </w:rPr>
        <w:t>از</w:t>
      </w:r>
      <w:r>
        <w:rPr>
          <w:rtl/>
        </w:rPr>
        <w:t xml:space="preserve"> </w:t>
      </w:r>
      <w:r>
        <w:rPr>
          <w:rFonts/>
          <w:rtl/>
        </w:rPr>
        <w:t>ریسک</w:t>
      </w:r>
      <w:r>
        <w:rPr>
          <w:rtl/>
        </w:rPr>
        <w:t xml:space="preserve"> </w:t>
      </w:r>
      <w:r>
        <w:rPr>
          <w:rFonts/>
          <w:rtl/>
        </w:rPr>
        <w:t>ساختاری</w:t>
      </w:r>
      <w:r>
        <w:rPr>
          <w:rtl/>
        </w:rPr>
        <w:t xml:space="preserve"> </w:t>
      </w:r>
      <w:r>
        <w:rPr>
          <w:rFonts/>
          <w:rtl/>
        </w:rPr>
        <w:t>تمرکز</w:t>
      </w:r>
      <w:r>
        <w:rPr>
          <w:rtl/>
        </w:rPr>
        <w:t xml:space="preserve"> </w:t>
      </w:r>
      <w:r>
        <w:rPr>
          <w:rFonts/>
          <w:rtl/>
        </w:rPr>
        <w:t>کامل</w:t>
      </w:r>
      <w:r>
        <w:rPr>
          <w:rtl/>
        </w:rPr>
        <w:t xml:space="preserve"> </w:t>
      </w:r>
      <w:r>
        <w:rPr>
          <w:rFonts/>
          <w:rtl/>
        </w:rPr>
        <w:t>را</w:t>
      </w:r>
      <w:r>
        <w:rPr>
          <w:rtl/>
        </w:rPr>
        <w:t xml:space="preserve"> </w:t>
      </w:r>
      <w:r>
        <w:rPr>
          <w:rFonts/>
          <w:rtl/>
        </w:rPr>
        <w:t>کاهش</w:t>
      </w:r>
      <w:r>
        <w:rPr>
          <w:rtl/>
        </w:rPr>
        <w:t xml:space="preserve"> </w:t>
      </w:r>
      <w:r>
        <w:rPr>
          <w:rFonts/>
          <w:rtl/>
        </w:rPr>
        <w:t>دهد</w:t>
      </w:r>
      <w:r>
        <w:rPr>
          <w:rtl/>
        </w:rPr>
        <w:t xml:space="preserve">. </w:t>
      </w:r>
      <w:r>
        <w:rPr>
          <w:rFonts/>
          <w:rtl/>
        </w:rPr>
        <w:t>این</w:t>
      </w:r>
      <w:r>
        <w:rPr>
          <w:rtl/>
        </w:rPr>
        <w:t xml:space="preserve"> </w:t>
      </w:r>
      <w:r>
        <w:rPr>
          <w:rFonts/>
          <w:rtl/>
        </w:rPr>
        <w:t>نکته،</w:t>
      </w:r>
      <w:r>
        <w:rPr>
          <w:rtl/>
        </w:rPr>
        <w:t xml:space="preserve"> </w:t>
      </w:r>
      <w:r>
        <w:rPr>
          <w:rFonts/>
          <w:rtl/>
        </w:rPr>
        <w:t>زمینه</w:t>
      </w:r>
      <w:r>
        <w:rPr>
          <w:rtl/>
        </w:rPr>
        <w:t xml:space="preserve"> </w:t>
      </w:r>
      <w:r>
        <w:rPr>
          <w:rFonts/>
          <w:rtl/>
        </w:rPr>
        <w:t>نظری</w:t>
      </w:r>
      <w:r>
        <w:rPr>
          <w:rtl/>
        </w:rPr>
        <w:t xml:space="preserve"> </w:t>
      </w:r>
      <w:r>
        <w:rPr>
          <w:rFonts/>
          <w:rtl/>
        </w:rPr>
        <w:t>برای</w:t>
      </w:r>
      <w:r>
        <w:rPr>
          <w:rtl/>
        </w:rPr>
        <w:t xml:space="preserve"> </w:t>
      </w:r>
      <w:r>
        <w:rPr>
          <w:rFonts/>
          <w:rtl/>
        </w:rPr>
        <w:t>بحث‌های</w:t>
      </w:r>
      <w:r>
        <w:rPr>
          <w:rtl/>
        </w:rPr>
        <w:t xml:space="preserve"> </w:t>
      </w:r>
      <w:r>
        <w:rPr>
          <w:rFonts/>
          <w:rtl/>
        </w:rPr>
        <w:t>راهبردی</w:t>
      </w:r>
      <w:r>
        <w:rPr>
          <w:rtl/>
        </w:rPr>
        <w:t xml:space="preserve"> </w:t>
      </w:r>
      <w:r>
        <w:rPr>
          <w:rFonts/>
          <w:rtl/>
        </w:rPr>
        <w:t>فصل</w:t>
      </w:r>
      <w:r>
        <w:rPr>
          <w:rtl/>
        </w:rPr>
        <w:t xml:space="preserve"> </w:t>
      </w:r>
      <w:r>
        <w:rPr>
          <w:rFonts/>
          <w:rtl/>
        </w:rPr>
        <w:t>پنجم</w:t>
      </w:r>
      <w:r>
        <w:rPr>
          <w:rtl/>
        </w:rPr>
        <w:t xml:space="preserve"> </w:t>
      </w:r>
      <w:r>
        <w:rPr>
          <w:rFonts/>
          <w:rtl/>
        </w:rPr>
        <w:t>درباره</w:t>
      </w:r>
      <w:r>
        <w:rPr>
          <w:rtl/>
        </w:rPr>
        <w:t xml:space="preserve"> </w:t>
      </w:r>
      <w:r>
        <w:rPr>
          <w:rFonts/>
          <w:rtl/>
        </w:rPr>
        <w:t>مسیرهای</w:t>
      </w:r>
      <w:r>
        <w:rPr>
          <w:rtl/>
        </w:rPr>
        <w:t xml:space="preserve"> </w:t>
      </w:r>
      <w:r>
        <w:rPr>
          <w:rFonts/>
          <w:rtl/>
        </w:rPr>
        <w:t>ممکن</w:t>
      </w:r>
      <w:r>
        <w:rPr>
          <w:rtl/>
        </w:rPr>
        <w:t xml:space="preserve"> </w:t>
      </w:r>
      <w:r>
        <w:rPr>
          <w:rFonts/>
          <w:rtl/>
        </w:rPr>
        <w:t>کاهش</w:t>
      </w:r>
      <w:r>
        <w:rPr>
          <w:rtl/>
        </w:rPr>
        <w:t xml:space="preserve"> </w:t>
      </w:r>
      <w:r>
        <w:rPr>
          <w:rFonts/>
          <w:rtl/>
        </w:rPr>
        <w:t>آسیب‌پذیری</w:t>
      </w:r>
      <w:r>
        <w:rPr>
          <w:rtl/>
        </w:rPr>
        <w:t xml:space="preserve"> </w:t>
      </w:r>
      <w:r>
        <w:rPr>
          <w:rFonts/>
          <w:rtl/>
        </w:rPr>
        <w:t>بنگاه</w:t>
      </w:r>
      <w:r>
        <w:rPr>
          <w:rtl/>
        </w:rPr>
        <w:t xml:space="preserve"> </w:t>
      </w:r>
      <w:r>
        <w:rPr>
          <w:rFonts/>
          <w:rtl/>
        </w:rPr>
        <w:t>تک‌محصولی</w:t>
      </w:r>
      <w:r>
        <w:rPr>
          <w:rtl/>
        </w:rPr>
        <w:t xml:space="preserve"> </w:t>
      </w:r>
      <w:r>
        <w:rPr>
          <w:rFonts/>
          <w:rtl/>
        </w:rPr>
        <w:t>فراهم</w:t>
      </w:r>
      <w:r>
        <w:rPr>
          <w:rtl/>
        </w:rPr>
        <w:t xml:space="preserve"> </w:t>
      </w:r>
      <w:r>
        <w:rPr>
          <w:rFonts/>
          <w:rtl/>
        </w:rPr>
        <w:t>می‌آورد،</w:t>
      </w:r>
      <w:r>
        <w:rPr>
          <w:rtl/>
        </w:rPr>
        <w:t xml:space="preserve"> </w:t>
      </w:r>
      <w:r>
        <w:rPr>
          <w:rFonts/>
          <w:rtl/>
        </w:rPr>
        <w:t>بد</w:t>
      </w:r>
      <w:r>
        <w:rPr>
          <w:rtl/>
        </w:rPr>
        <w:t>ون آنکه از قلمرو پژوهش حاضر که بر شناسایی چالش‌هاست خارج شود.</w:t>
      </w:r>
    </w:p>
    <w:p>
      <w:pPr>
        <w:bidi/>
        <w:spacing w:after="80" w:line="276" w:lineRule="auto"/>
        <w:ind w:firstLine="720"/>
        <w:jc w:val="both"/>
      </w:pPr>
      <w:r>
        <w:rPr>
          <w:rtl/>
        </w:rPr>
        <w:t xml:space="preserve">از منظر تاریخی نیز، الگوی تنوع‌یابی بنگاه‌ها در طول زمان دستخوش تغییر شده است. شومر و همکاران (۲۰۱۹)</w:t>
      </w:r>
      <w:r>
        <w:rPr>
          <w:rStyle w:val="FootnoteReference"/>
        </w:rPr>
        <w:footnoteReference w:id="48"/>
      </w:r>
      <w:r>
        <w:rPr>
          <w:rtl/>
        </w:rPr>
        <w:t xml:space="preserve"> نشان دادند که سطح تنوع نامرتبط در بنگاه‌ها در طول دهه‌ها کاهش یافته و تنوع مرتبط، پس از کاهش در دهه‌های ۱۹۷۰ و ۱۹۸۰ میلادی، از اواسط دهه نود میلادی افزایش یافته است؛ روندی که نشان می‌دهد بنگاه‌ها به‌تدریج به حوزه‌های نزدیک‌تر به فعالیت اصلی خود گرایش یافته‌اند. این روند تاریخی، زمینه نظری اضافی برای توجه پژوهش حاضر به بنگاه تک‌محصولی، به‌عنوان قطب نهایی این طیف، فراهم می‌آورد</w:t>
      </w:r>
      <w:r>
        <w:rPr>
          <w:rtl/>
        </w:rPr>
        <w:t xml:space="preserve">.</w:t>
      </w:r>
    </w:p>
    <w:p>
      <w:pPr>
        <w:pStyle w:val="Heading4"/>
        <w:keepNext/>
        <w:bidi/>
        <w:spacing w:before="180" w:after="80"/>
      </w:pPr>
      <w:r>
        <w:t>۲ـ۲ـ۴ـ۲ تعریف و ویژگی‌های ساختاری شرکت‌های تک‌محصولی</w:t>
      </w:r>
    </w:p>
    <w:p>
      <w:pPr>
        <w:bidi/>
        <w:spacing w:after="80" w:line="276" w:lineRule="auto"/>
        <w:ind w:firstLine="720"/>
        <w:jc w:val="both"/>
      </w:pPr>
      <w:r>
        <w:rPr>
          <w:rtl/>
        </w:rPr>
        <w:t>شرکت تک‌محصولی به بنگاهی گفته می‌شود که فعالیت تولیدی و تجاری خود را به طور اختصاصی بر یک قلم کالا یا خدمت متمرکز کرده است. ویلیامز و آرون (۲۰۱۸)</w:t>
      </w:r>
      <w:r>
        <w:rPr>
          <w:rStyle w:val="FootnoteReference"/>
        </w:rPr>
        <w:footnoteReference w:id="49"/>
      </w:r>
      <w:r>
        <w:rPr>
          <w:rtl/>
        </w:rPr>
        <w:t xml:space="preserve"> این راهبرد را تحت عنوان «تخصص‌گرایی» صورت‌بندی کرده و آن را یکی از گزینه‌های راهبردی مشخص پیش‌روی بنگاه‌های کوچک دانسته‌اند که در آن، بنگاه به‌جای گستردن دامنه فعالیت، منابع محدود خود را بر یک حوزه باریک متمرکز می‌کند. ویژگی ساختاری اصلی این شرکت‌ها، فقدان تنوع در منابع درآمدی است؛ ویژگی‌ای که تمام تصمیمات مالی، تولیدی و بازاریابی را در خدمت یک محصول قرار می‌دهد. از منظر عملیاتی نیز، پژوهش‌های تجربی معمولاً شرکت تک‌محصولی را بر پایه سهم درآمد یک قلم کالا از کل فروش بنگاه تعریف می‌کنند؛ هرچه این سهم به یک نزدیک‌تر باشد، بنگاه در قطب تمرکز کامل قرار می‌گیرد. این تعریف عملیاتی، امکان تفکیک روشنی میان بنگاه تک‌محصولی و بنگاهی با </w:t>
      </w:r>
      <w:r>
        <w:rPr>
          <w:rtl/>
        </w:rPr>
        <w:t>سبد محصول محدود اما متنوع فراهم می‌آورد و مبنای انتخاب جامعه مطالعه در پژوهش حاضر نیز بر همین تعریف استوار است.</w:t>
      </w:r>
    </w:p>
    <w:p>
      <w:pPr>
        <w:bidi/>
        <w:spacing w:after="80" w:line="276" w:lineRule="auto"/>
        <w:ind w:firstLine="720"/>
        <w:jc w:val="both"/>
      </w:pPr>
      <w:r>
        <w:rPr>
          <w:rtl/>
        </w:rPr>
        <w:t>این تمرکز پیامدهای مدیریتی مشخصی دارد. از یک سو، بنگاه می‌تواند تمام منابع یادگیری و بهبود خود را روی یک فرایند متمرکز کند و در آن به سطح بالایی از کارایی دست یابد. از سوی دیگر، این بنگاه در برابر تحولات بازار هیچ سپری ندارد. همان‌طور که مامن و همکاران (۲۰۲۱)</w:t>
      </w:r>
      <w:r>
        <w:rPr>
          <w:rStyle w:val="FootnoteReference"/>
        </w:rPr>
        <w:footnoteReference w:id="50"/>
      </w:r>
      <w:r>
        <w:rPr>
          <w:rtl/>
        </w:rPr>
        <w:t xml:space="preserve"> نشان دادند، </w:t>
      </w:r>
      <w:r>
        <w:rPr>
          <w:rtl/>
        </w:rPr>
        <w:t xml:space="preserve">تنوع محصولی ریسک بنگاه را کاهش می‌دهد؛ بنابراین بنگاهی که فاقد آن است، از این سپر محروم می‌ماند</w:t>
      </w:r>
      <w:r>
        <w:rPr>
          <w:rtl/>
        </w:rPr>
        <w:t xml:space="preserve">.</w:t>
      </w:r>
    </w:p>
    <w:p>
      <w:pPr>
        <w:bidi/>
        <w:spacing w:after="80" w:line="276" w:lineRule="auto"/>
        <w:ind w:firstLine="720"/>
        <w:jc w:val="both"/>
      </w:pPr>
      <w:r>
        <w:rPr>
          <w:rtl/>
        </w:rPr>
        <w:t xml:space="preserve">در بسیاری</w:t>
      </w:r>
      <w:r>
        <w:rPr>
          <w:rtl/>
        </w:rPr>
        <w:t xml:space="preserve"> از اقتصادهای در حال توسعه، از جمله ایران، بنگاه تک‌محصولی اغلب با بنگاه خانوادگی نیز همپوشانی دارد؛ بنگاه‌هایی که مالکیت و مدیریت آن‌ها در دست یک خانواده متمرکز است و تصمیم تمرکز بر یک محصول، نه‌تنها انتخابی راهبردی بلکه گاه بازتاب محدودیت سرمایه و دانش تخصصی خانواده مالک نیز هست. اندازه بنگاه نیز متغیری است که تعریف تک‌محصولی‌بودن را تعدیل می‌کند: تمرکز بر یک محصول در بنگاهی بسیار کوچک با چند نفر پرسنل، پیامدهای متفاوتی نسبت به تمرکز بر یک محصول در بنگاهی با ده‌ها یا صدها کارمند دارد، هرچند هر دو از منظر تعریف ساختاری، در دسته شرکت تک‌محصولی قرار می‌گیرند. این تمایز، یادآور این نکته است که تعریف شرکت تک‌محصولی، معیاری ساختاری است، نه معیاری مبتنی بر اندازه بنگاه؛ نکته‌ای که در تعیین معیارهای انتخاب نمونه در فصل سوم این پژوهش نیز باید مورد توجه قرار گیرد.</w:t>
      </w:r>
    </w:p>
    <w:p>
      <w:pPr>
        <w:bidi/>
        <w:spacing w:after="80" w:line="276" w:lineRule="auto"/>
        <w:ind w:firstLine="720"/>
        <w:jc w:val="both"/>
      </w:pPr>
      <w:r>
        <w:rPr>
          <w:rtl/>
        </w:rPr>
        <w:t>از منظر قابلیت‌های سازمانی، تعریف ساختاری شرکت تک‌محصولی را می‌توان با مفهوم قابلیت پویا نیز پیوند داد. دخیخ و النجری (۲۰۲۶)</w:t>
      </w:r>
      <w:r>
        <w:rPr>
          <w:rStyle w:val="FootnoteReference"/>
        </w:rPr>
        <w:footnoteReference w:id="51"/>
      </w:r>
      <w:r>
        <w:rPr>
          <w:rtl/>
        </w:rPr>
        <w:t xml:space="preserve"> </w:t>
      </w:r>
      <w:r>
        <w:rPr>
          <w:rtl/>
        </w:rPr>
        <w:t xml:space="preserve">در مطالعه بنگاه‌های کوچک و متوسط نشان دادند که بنگاه‌هایی با ظرفیت یادگیری سازمانی بالاتر، پیامدهای نوآورانه قوی‌تری از قابلیت‌های پویای خود به دست می‌آورند. این یافته را می‌توان چنین تفسیر کرد که اندازه کوچک بنگاه لزوماً به معنای قابلیت پویای ضعیف نیست و ظرفیت یادگیری می‌تواند بخشی از محدودیت منابع را جبران کند</w:t>
      </w:r>
      <w:r>
        <w:rPr>
          <w:rtl/>
        </w:rPr>
        <w:t xml:space="preserve">. </w:t>
      </w:r>
      <w:r>
        <w:rPr>
          <w:rtl/>
        </w:rPr>
        <w:t xml:space="preserve">این تفسیر برای شرکت تک‌محصولی اهمیت دارد</w:t>
      </w:r>
      <w:r>
        <w:rPr>
          <w:rtl/>
        </w:rPr>
        <w:t xml:space="preserve">، زیرا نشان می‌دهد آسیب‌پذیری ساختاری ناشی از تمرکز، امری مطلق نیست و تا حدی به ظرفیت یادگیری و قابلیت پویای هر بنگاه بستگی دارد.</w:t>
      </w:r>
    </w:p>
    <w:p>
      <w:pPr>
        <w:bidi/>
        <w:spacing w:after="80" w:line="276" w:lineRule="auto"/>
        <w:ind w:firstLine="720"/>
        <w:jc w:val="both"/>
      </w:pPr>
      <w:r>
        <w:rPr>
          <w:rtl/>
        </w:rPr>
        <w:t xml:space="preserve">شناسایی مرز دقیق شرکت تک‌محصولی در عمل نیز با چالش‌های تجربی همراه است. </w:t>
      </w:r>
      <w:r>
        <w:rPr>
          <w:rtl/>
        </w:rPr>
        <w:t xml:space="preserve">آستانه تمرکز محصولی در پژوهش‌های تجربی به یک شکل تعریف نمی‌شود و این تفاوت، مقایسه نتایج میان مطالعات مختلف را دشوار می‌کند</w:t>
      </w:r>
      <w:r>
        <w:rPr>
          <w:rtl/>
        </w:rPr>
        <w:t xml:space="preserve">. پژوهش حاضر، با پذیرش معیار عملیاتی سهم درآمد یک محصول از کل فروش، تلاش می‌کند این ابهام را تا حد ممکن برای جامعه مطالعه خود برطرف سازد.</w:t>
      </w:r>
    </w:p>
    <w:p>
      <w:pPr>
        <w:pStyle w:val="Heading4"/>
        <w:keepNext/>
        <w:bidi/>
        <w:spacing w:before="180" w:after="80"/>
      </w:pPr>
      <w:r>
        <w:t>۲ـ۲ـ۴ـ۳ مزایا و محدودیت‌های راهبرد تمرکز بر محصول واحد</w:t>
      </w:r>
    </w:p>
    <w:p>
      <w:pPr>
        <w:bidi/>
        <w:spacing w:after="80" w:line="276" w:lineRule="auto"/>
        <w:ind w:firstLine="720"/>
        <w:jc w:val="both"/>
      </w:pPr>
      <w:r>
        <w:rPr>
          <w:rtl/>
        </w:rPr>
        <w:t xml:space="preserve">راهبرد تمرکز بر محصول واحد، مزایای مشخصی برای بنگاه‌های اقتصادی به همراه دارد. مهم‌ترین آن‌ها امکان توسعه شایستگی محوری در تولید همان محصول است، </w:t>
      </w:r>
      <w:r>
        <w:rPr>
          <w:rtl/>
        </w:rPr>
        <w:t xml:space="preserve">شایستگی‌ای که در کنار قابلیت‌های پویا، از مفاهیم محوری ادبیات دیدگاه مبتنی بر منابع به شمار می‌رود (کرو و بوگاله، ۲۰۲۳)</w:t>
      </w:r>
      <w:r>
        <w:rPr>
          <w:rStyle w:val="FootnoteReference"/>
        </w:rPr>
        <w:footnoteReference w:id="52"/>
      </w:r>
      <w:r>
        <w:rPr>
          <w:rtl/>
        </w:rPr>
        <w:t xml:space="preserve">. کاهش پیچیدگی عملیاتی، امکان صرفه‌جویی در مقیاس، تمرکز ذهنی و مدیریتی، و هویت برند قوی‌تر از دیگر مزایای این راهبرد به شمار می‌روند. در کنار این مزایا، راهبرد تمرکز، محدودیت‌های ساختاری قابل توجهی نیز به همراه دارد. مهم‌ترین محدودیت، آسیب‌پذیری بالا در برابر هر تغییری در محیط است. کاهش تقاضا، تغییر ذائقه مصرف‌کننده، ورود رقیب تازه یا اختلال در تأمین مواد اولیه، در بنگاه تک‌محصولی بدون واسطه به کل درآمد آسیب می‌زند. توازن میان این مزایا و محدودیت‌ها به عواملی همچون ثبات محیط رقابتی، نرخ نوآوری محصول در صنعت و ماهیت مزیت رقابتی بنگاه بستگی دارد.</w:t>
      </w:r>
    </w:p>
    <w:p>
      <w:pPr>
        <w:bidi/>
        <w:spacing w:after="80" w:line="276" w:lineRule="auto"/>
        <w:ind w:firstLine="720"/>
        <w:jc w:val="both"/>
      </w:pPr>
      <w:r>
        <w:rPr>
          <w:rtl/>
        </w:rPr>
        <w:t xml:space="preserve">این توازن همچنین با مرحله بلوغ صنعت تغییر می‌کند، زیرا شدت رقابت و جذابیت صنعت در طول چرخه عمر آن یکسان نیست</w:t>
      </w:r>
      <w:r>
        <w:rPr>
          <w:rtl/>
        </w:rPr>
        <w:t xml:space="preserve">. در صنایع نوپا یا در حال رشد سریع، تمرکز بر یک محصول می‌تواند بنگاه را در جایگاه پیشرو آن محصول تثبیت کند و از صرفه‌جویی ناشی از یادگیری زودهنگام بهره‌مند سازد. اما در صنایع بالغ و اشباع‌شده </w:t>
      </w:r>
      <w:r>
        <w:rPr>
          <w:rFonts/>
          <w:rtl/>
        </w:rPr>
        <w:t>که</w:t>
      </w:r>
      <w:r>
        <w:rPr>
          <w:rtl/>
        </w:rPr>
        <w:t xml:space="preserve"> </w:t>
      </w:r>
      <w:r>
        <w:rPr>
          <w:rFonts/>
          <w:rtl/>
        </w:rPr>
        <w:t>بخش</w:t>
      </w:r>
      <w:r>
        <w:rPr>
          <w:rtl/>
        </w:rPr>
        <w:t xml:space="preserve"> </w:t>
      </w:r>
      <w:r>
        <w:rPr>
          <w:rFonts/>
          <w:rtl/>
        </w:rPr>
        <w:t>قابل‌توجهی</w:t>
      </w:r>
      <w:r>
        <w:rPr>
          <w:rtl/>
        </w:rPr>
        <w:t xml:space="preserve"> </w:t>
      </w:r>
      <w:r>
        <w:rPr>
          <w:rFonts/>
          <w:rtl/>
        </w:rPr>
        <w:t>از</w:t>
      </w:r>
      <w:r>
        <w:rPr>
          <w:rtl/>
        </w:rPr>
        <w:t xml:space="preserve"> </w:t>
      </w:r>
      <w:r>
        <w:rPr>
          <w:rFonts/>
          <w:rtl/>
        </w:rPr>
        <w:t>صنعت</w:t>
      </w:r>
      <w:r>
        <w:rPr>
          <w:rtl/>
        </w:rPr>
        <w:t xml:space="preserve"> </w:t>
      </w:r>
      <w:r>
        <w:rPr>
          <w:rFonts/>
          <w:rtl/>
        </w:rPr>
        <w:t>مواد</w:t>
      </w:r>
      <w:r>
        <w:rPr>
          <w:rtl/>
        </w:rPr>
        <w:t xml:space="preserve"> </w:t>
      </w:r>
      <w:r>
        <w:rPr>
          <w:rFonts/>
          <w:rtl/>
        </w:rPr>
        <w:t>غذایی</w:t>
      </w:r>
      <w:r>
        <w:rPr>
          <w:rtl/>
        </w:rPr>
        <w:t xml:space="preserve"> </w:t>
      </w:r>
      <w:r>
        <w:rPr>
          <w:rFonts/>
          <w:rtl/>
        </w:rPr>
        <w:t>ایران</w:t>
      </w:r>
      <w:r>
        <w:rPr>
          <w:rtl/>
        </w:rPr>
        <w:t xml:space="preserve"> </w:t>
      </w:r>
      <w:r>
        <w:rPr>
          <w:rFonts/>
          <w:rtl/>
        </w:rPr>
        <w:t>در</w:t>
      </w:r>
      <w:r>
        <w:rPr>
          <w:rtl/>
        </w:rPr>
        <w:t xml:space="preserve"> </w:t>
      </w:r>
      <w:r>
        <w:rPr>
          <w:rFonts/>
          <w:rtl/>
        </w:rPr>
        <w:t>چنین</w:t>
      </w:r>
      <w:r>
        <w:rPr>
          <w:rtl/>
        </w:rPr>
        <w:t xml:space="preserve"> </w:t>
      </w:r>
      <w:r>
        <w:rPr>
          <w:rFonts/>
          <w:rtl/>
        </w:rPr>
        <w:t>وضعیتی</w:t>
      </w:r>
      <w:r>
        <w:rPr>
          <w:rtl/>
        </w:rPr>
        <w:t xml:space="preserve"> </w:t>
      </w:r>
      <w:r>
        <w:rPr>
          <w:rFonts/>
          <w:rtl/>
        </w:rPr>
        <w:t>قرار</w:t>
      </w:r>
      <w:r>
        <w:rPr>
          <w:rtl/>
        </w:rPr>
        <w:t xml:space="preserve"> </w:t>
      </w:r>
      <w:r>
        <w:rPr>
          <w:rFonts/>
          <w:rtl/>
        </w:rPr>
        <w:t>دارد</w:t>
      </w:r>
      <w:r>
        <w:rPr>
          <w:rtl/>
        </w:rPr>
        <w:t xml:space="preserve"> </w:t>
      </w:r>
      <w:r>
        <w:rPr>
          <w:rFonts/>
          <w:rtl/>
        </w:rPr>
        <w:t>همان</w:t>
      </w:r>
      <w:r>
        <w:rPr>
          <w:rtl/>
        </w:rPr>
        <w:t xml:space="preserve"> </w:t>
      </w:r>
      <w:r>
        <w:rPr>
          <w:rFonts/>
          <w:rtl/>
        </w:rPr>
        <w:t>تمرکز،</w:t>
      </w:r>
      <w:r>
        <w:rPr>
          <w:rtl/>
        </w:rPr>
        <w:t xml:space="preserve"> </w:t>
      </w:r>
      <w:r>
        <w:rPr>
          <w:rFonts/>
          <w:rtl/>
        </w:rPr>
        <w:t>بنگاه</w:t>
      </w:r>
      <w:r>
        <w:rPr>
          <w:rtl/>
        </w:rPr>
        <w:t xml:space="preserve"> </w:t>
      </w:r>
      <w:r>
        <w:rPr>
          <w:rFonts/>
          <w:rtl/>
        </w:rPr>
        <w:t>را</w:t>
      </w:r>
      <w:r>
        <w:rPr>
          <w:rtl/>
        </w:rPr>
        <w:t xml:space="preserve"> </w:t>
      </w:r>
      <w:r>
        <w:rPr>
          <w:rFonts/>
          <w:rtl/>
        </w:rPr>
        <w:t>در</w:t>
      </w:r>
      <w:r>
        <w:rPr>
          <w:rtl/>
        </w:rPr>
        <w:t xml:space="preserve"> </w:t>
      </w:r>
      <w:r>
        <w:rPr>
          <w:rFonts/>
          <w:rtl/>
        </w:rPr>
        <w:t>برابر</w:t>
      </w:r>
      <w:r>
        <w:rPr>
          <w:rtl/>
        </w:rPr>
        <w:t xml:space="preserve"> </w:t>
      </w:r>
      <w:r>
        <w:rPr>
          <w:rFonts/>
          <w:rtl/>
        </w:rPr>
        <w:t>رقابت</w:t>
      </w:r>
      <w:r>
        <w:rPr>
          <w:rtl/>
        </w:rPr>
        <w:t xml:space="preserve"> </w:t>
      </w:r>
      <w:r>
        <w:rPr>
          <w:rFonts/>
          <w:rtl/>
        </w:rPr>
        <w:t>فزاینده</w:t>
      </w:r>
      <w:r>
        <w:rPr>
          <w:rtl/>
        </w:rPr>
        <w:t xml:space="preserve"> </w:t>
      </w:r>
      <w:r>
        <w:rPr>
          <w:rFonts/>
          <w:rtl/>
        </w:rPr>
        <w:t>بر</w:t>
      </w:r>
      <w:r>
        <w:rPr>
          <w:rtl/>
        </w:rPr>
        <w:t xml:space="preserve"> </w:t>
      </w:r>
      <w:r>
        <w:rPr>
          <w:rFonts/>
          <w:rtl/>
        </w:rPr>
        <w:t>سر</w:t>
      </w:r>
      <w:r>
        <w:rPr>
          <w:rtl/>
        </w:rPr>
        <w:t xml:space="preserve"> </w:t>
      </w:r>
      <w:r>
        <w:rPr>
          <w:rFonts/>
          <w:rtl/>
        </w:rPr>
        <w:t>سهم</w:t>
      </w:r>
      <w:r>
        <w:rPr>
          <w:rtl/>
        </w:rPr>
        <w:t xml:space="preserve"> </w:t>
      </w:r>
      <w:r>
        <w:rPr>
          <w:rFonts/>
          <w:rtl/>
        </w:rPr>
        <w:t>بازار</w:t>
      </w:r>
      <w:r>
        <w:rPr>
          <w:rtl/>
        </w:rPr>
        <w:t xml:space="preserve"> </w:t>
      </w:r>
      <w:r>
        <w:rPr>
          <w:rFonts/>
          <w:rtl/>
        </w:rPr>
        <w:t>ثابت،</w:t>
      </w:r>
      <w:r>
        <w:rPr>
          <w:rtl/>
        </w:rPr>
        <w:t xml:space="preserve"> </w:t>
      </w:r>
      <w:r>
        <w:rPr>
          <w:rFonts/>
          <w:rtl/>
        </w:rPr>
        <w:t>آسیب‌پذیرتر</w:t>
      </w:r>
      <w:r>
        <w:rPr>
          <w:rtl/>
        </w:rPr>
        <w:t xml:space="preserve"> </w:t>
      </w:r>
      <w:r>
        <w:rPr>
          <w:rFonts/>
          <w:rtl/>
        </w:rPr>
        <w:t>می‌کند؛</w:t>
      </w:r>
      <w:r>
        <w:rPr>
          <w:rtl/>
        </w:rPr>
        <w:t xml:space="preserve"> </w:t>
      </w:r>
      <w:r>
        <w:rPr>
          <w:rFonts/>
          <w:rtl/>
        </w:rPr>
        <w:t>زیرا</w:t>
      </w:r>
      <w:r>
        <w:rPr>
          <w:rtl/>
        </w:rPr>
        <w:t xml:space="preserve"> </w:t>
      </w:r>
      <w:r>
        <w:rPr>
          <w:rFonts/>
          <w:rtl/>
        </w:rPr>
        <w:t>فرصت</w:t>
      </w:r>
      <w:r>
        <w:rPr>
          <w:rtl/>
        </w:rPr>
        <w:t xml:space="preserve"> </w:t>
      </w:r>
      <w:r>
        <w:rPr>
          <w:rFonts/>
          <w:rtl/>
        </w:rPr>
        <w:t>رشد</w:t>
      </w:r>
      <w:r>
        <w:rPr>
          <w:rtl/>
        </w:rPr>
        <w:t xml:space="preserve"> </w:t>
      </w:r>
      <w:r>
        <w:rPr>
          <w:rFonts/>
          <w:rtl/>
        </w:rPr>
        <w:t>از</w:t>
      </w:r>
      <w:r>
        <w:rPr>
          <w:rtl/>
        </w:rPr>
        <w:t xml:space="preserve"> </w:t>
      </w:r>
      <w:r>
        <w:rPr>
          <w:rFonts/>
          <w:rtl/>
        </w:rPr>
        <w:t>طریق</w:t>
      </w:r>
      <w:r>
        <w:rPr>
          <w:rtl/>
        </w:rPr>
        <w:t xml:space="preserve"> </w:t>
      </w:r>
      <w:r>
        <w:rPr>
          <w:rFonts/>
          <w:rtl/>
        </w:rPr>
        <w:t>توسعه</w:t>
      </w:r>
      <w:r>
        <w:rPr>
          <w:rtl/>
        </w:rPr>
        <w:t xml:space="preserve"> </w:t>
      </w:r>
      <w:r>
        <w:rPr>
          <w:rFonts/>
          <w:rtl/>
        </w:rPr>
        <w:t>بازار</w:t>
      </w:r>
      <w:r>
        <w:rPr>
          <w:rtl/>
        </w:rPr>
        <w:t xml:space="preserve"> </w:t>
      </w:r>
      <w:r>
        <w:rPr>
          <w:rFonts/>
          <w:rtl/>
        </w:rPr>
        <w:t>جدید</w:t>
      </w:r>
      <w:r>
        <w:rPr>
          <w:rtl/>
        </w:rPr>
        <w:t xml:space="preserve"> </w:t>
      </w:r>
      <w:r>
        <w:rPr>
          <w:rFonts/>
          <w:rtl/>
        </w:rPr>
        <w:t>محدودتر</w:t>
      </w:r>
      <w:r>
        <w:rPr>
          <w:rtl/>
        </w:rPr>
        <w:t xml:space="preserve"> </w:t>
      </w:r>
      <w:r>
        <w:rPr>
          <w:rFonts/>
          <w:rtl/>
        </w:rPr>
        <w:t>است</w:t>
      </w:r>
      <w:r>
        <w:rPr>
          <w:rtl/>
        </w:rPr>
        <w:t>.</w:t>
      </w:r>
    </w:p>
    <w:p>
      <w:pPr>
        <w:bidi/>
        <w:spacing w:after="80" w:line="276" w:lineRule="auto"/>
        <w:ind w:firstLine="720"/>
        <w:jc w:val="both"/>
      </w:pPr>
      <w:r>
        <w:rPr>
          <w:rtl/>
        </w:rPr>
        <w:t>مدیریت این توازن میان مزیت و محدودیت، در عمل به توان مدیریتی بنگاه برای شناسایی به‌موقع نشانه‌های هشدار بستگی دارد. تانئو و همکاران (۲۰۲۲)</w:t>
      </w:r>
      <w:r>
        <w:rPr>
          <w:rStyle w:val="FootnoteReference"/>
        </w:rPr>
        <w:footnoteReference w:id="53"/>
      </w:r>
      <w:r>
        <w:rPr>
          <w:rtl/>
        </w:rPr>
        <w:t xml:space="preserve"> </w:t>
      </w:r>
      <w:r>
        <w:rPr>
          <w:rtl/>
        </w:rPr>
        <w:t xml:space="preserve">در یک مطالعه مقدماتی نشان دادند که آموزش هدفمند، دانش مدیران بنگاه‌های کوچک صنعت غذایی را به‌طور معناداری افزایش می‌دهد؛ می‌توان استنباط کرد که توان مدیریتی لازم برای تشخیص زودهنگام نشانه‌های هشدار نیز با آموزش قابل ارتقاست</w:t>
      </w:r>
      <w:r>
        <w:rPr>
          <w:rtl/>
        </w:rPr>
        <w:t xml:space="preserve">. بنگاهی که افت تدریجی تقاضا یا </w:t>
      </w:r>
      <w:r>
        <w:rPr>
          <w:rtl/>
        </w:rPr>
        <w:t xml:space="preserve">کاهش تدریجی حاشیه سود را زودتر تشخیص دهد، فرصت بیشتری برای واکنش از تعدیل قیمت تا جست‌وجوی بازار جدید برای همان محصول </w:t>
      </w:r>
      <w:r>
        <w:rPr>
          <w:rtl/>
        </w:rPr>
        <w:t>—</w:t>
      </w:r>
      <w:r>
        <w:rPr>
          <w:rtl/>
        </w:rPr>
        <w:t xml:space="preserve"> </w:t>
      </w:r>
      <w:r>
        <w:rPr>
          <w:rFonts/>
          <w:rtl/>
        </w:rPr>
        <w:t>خواهد</w:t>
      </w:r>
      <w:r>
        <w:rPr>
          <w:rtl/>
        </w:rPr>
        <w:t xml:space="preserve"> </w:t>
      </w:r>
      <w:r>
        <w:rPr>
          <w:rFonts/>
          <w:rtl/>
        </w:rPr>
        <w:t>داشت</w:t>
      </w:r>
      <w:r>
        <w:rPr>
          <w:rtl/>
        </w:rPr>
        <w:t xml:space="preserve">. </w:t>
      </w:r>
      <w:r>
        <w:rPr>
          <w:rFonts/>
          <w:rtl/>
        </w:rPr>
        <w:t>جمع‌بندی</w:t>
      </w:r>
      <w:r>
        <w:rPr>
          <w:rtl/>
        </w:rPr>
        <w:t xml:space="preserve"> </w:t>
      </w:r>
      <w:r>
        <w:rPr>
          <w:rFonts/>
          <w:rtl/>
        </w:rPr>
        <w:t>این</w:t>
      </w:r>
      <w:r>
        <w:rPr>
          <w:rtl/>
        </w:rPr>
        <w:t xml:space="preserve"> </w:t>
      </w:r>
      <w:r>
        <w:rPr>
          <w:rFonts/>
          <w:rtl/>
        </w:rPr>
        <w:t>بخش</w:t>
      </w:r>
      <w:r>
        <w:rPr>
          <w:rtl/>
        </w:rPr>
        <w:t xml:space="preserve"> </w:t>
      </w:r>
      <w:r>
        <w:rPr>
          <w:rFonts/>
          <w:rtl/>
        </w:rPr>
        <w:t>آن</w:t>
      </w:r>
      <w:r>
        <w:rPr>
          <w:rtl/>
        </w:rPr>
        <w:t xml:space="preserve"> </w:t>
      </w:r>
      <w:r>
        <w:rPr>
          <w:rFonts/>
          <w:rtl/>
        </w:rPr>
        <w:t>است</w:t>
      </w:r>
      <w:r>
        <w:rPr>
          <w:rtl/>
        </w:rPr>
        <w:t xml:space="preserve"> </w:t>
      </w:r>
      <w:r>
        <w:rPr>
          <w:rFonts/>
          <w:rtl/>
        </w:rPr>
        <w:t>که</w:t>
      </w:r>
      <w:r>
        <w:rPr>
          <w:rtl/>
        </w:rPr>
        <w:t xml:space="preserve"> </w:t>
      </w:r>
      <w:r>
        <w:rPr>
          <w:rFonts/>
          <w:rtl/>
        </w:rPr>
        <w:t>تصمیم</w:t>
      </w:r>
      <w:r>
        <w:rPr>
          <w:rtl/>
        </w:rPr>
        <w:t xml:space="preserve"> </w:t>
      </w:r>
      <w:r>
        <w:rPr>
          <w:rFonts/>
          <w:rtl/>
        </w:rPr>
        <w:t>تمرکز</w:t>
      </w:r>
      <w:r>
        <w:rPr>
          <w:rtl/>
        </w:rPr>
        <w:t xml:space="preserve"> </w:t>
      </w:r>
      <w:r>
        <w:rPr>
          <w:rFonts/>
          <w:rtl/>
        </w:rPr>
        <w:t>بر</w:t>
      </w:r>
      <w:r>
        <w:rPr>
          <w:rtl/>
        </w:rPr>
        <w:t xml:space="preserve"> </w:t>
      </w:r>
      <w:r>
        <w:rPr>
          <w:rFonts/>
          <w:rtl/>
        </w:rPr>
        <w:t>محصول</w:t>
      </w:r>
      <w:r>
        <w:rPr>
          <w:rtl/>
        </w:rPr>
        <w:t xml:space="preserve"> </w:t>
      </w:r>
      <w:r>
        <w:rPr>
          <w:rFonts/>
          <w:rtl/>
        </w:rPr>
        <w:t>واحد،</w:t>
      </w:r>
      <w:r>
        <w:rPr>
          <w:rtl/>
        </w:rPr>
        <w:t xml:space="preserve"> </w:t>
      </w:r>
      <w:r>
        <w:rPr>
          <w:rFonts/>
          <w:rtl/>
        </w:rPr>
        <w:t>نه</w:t>
      </w:r>
      <w:r>
        <w:rPr>
          <w:rtl/>
        </w:rPr>
        <w:t xml:space="preserve"> </w:t>
      </w:r>
      <w:r>
        <w:rPr>
          <w:rFonts/>
          <w:rtl/>
        </w:rPr>
        <w:t>ذاتاً</w:t>
      </w:r>
      <w:r>
        <w:rPr>
          <w:rtl/>
        </w:rPr>
        <w:t xml:space="preserve"> </w:t>
      </w:r>
      <w:r>
        <w:rPr>
          <w:rFonts/>
          <w:rtl/>
        </w:rPr>
        <w:t>تصمیمی</w:t>
      </w:r>
      <w:r>
        <w:rPr>
          <w:rtl/>
        </w:rPr>
        <w:t xml:space="preserve"> </w:t>
      </w:r>
      <w:r>
        <w:rPr>
          <w:rFonts/>
          <w:rtl/>
        </w:rPr>
        <w:t>نادرست</w:t>
      </w:r>
      <w:r>
        <w:rPr>
          <w:rtl/>
        </w:rPr>
        <w:t xml:space="preserve"> </w:t>
      </w:r>
      <w:r>
        <w:rPr>
          <w:rFonts/>
          <w:rtl/>
        </w:rPr>
        <w:t>است</w:t>
      </w:r>
      <w:r>
        <w:rPr>
          <w:rtl/>
        </w:rPr>
        <w:t xml:space="preserve"> </w:t>
      </w:r>
      <w:r>
        <w:rPr>
          <w:rFonts/>
          <w:rtl/>
        </w:rPr>
        <w:t>و</w:t>
      </w:r>
      <w:r>
        <w:rPr>
          <w:rtl/>
        </w:rPr>
        <w:t xml:space="preserve"> </w:t>
      </w:r>
      <w:r>
        <w:rPr>
          <w:rFonts/>
          <w:rtl/>
        </w:rPr>
        <w:t>نه</w:t>
      </w:r>
      <w:r>
        <w:rPr>
          <w:rtl/>
        </w:rPr>
        <w:t xml:space="preserve"> </w:t>
      </w:r>
      <w:r>
        <w:rPr>
          <w:rFonts/>
          <w:rtl/>
        </w:rPr>
        <w:t>ذاتاً</w:t>
      </w:r>
      <w:r>
        <w:rPr>
          <w:rtl/>
        </w:rPr>
        <w:t xml:space="preserve"> </w:t>
      </w:r>
      <w:r>
        <w:rPr>
          <w:rFonts/>
          <w:rtl/>
        </w:rPr>
        <w:t>تصمیمی</w:t>
      </w:r>
      <w:r>
        <w:rPr>
          <w:rtl/>
        </w:rPr>
        <w:t xml:space="preserve"> </w:t>
      </w:r>
      <w:r>
        <w:rPr>
          <w:rFonts/>
          <w:rtl/>
        </w:rPr>
        <w:t>بهینه؛</w:t>
      </w:r>
      <w:r>
        <w:rPr>
          <w:rtl/>
        </w:rPr>
        <w:t xml:space="preserve"> </w:t>
      </w:r>
      <w:r>
        <w:rPr>
          <w:rFonts/>
          <w:rtl/>
        </w:rPr>
        <w:t>بلکه</w:t>
      </w:r>
      <w:r>
        <w:rPr>
          <w:rtl/>
        </w:rPr>
        <w:t xml:space="preserve"> </w:t>
      </w:r>
      <w:r>
        <w:rPr>
          <w:rFonts/>
          <w:rtl/>
        </w:rPr>
        <w:t>نتیجه</w:t>
      </w:r>
      <w:r>
        <w:rPr>
          <w:rtl/>
        </w:rPr>
        <w:t xml:space="preserve"> </w:t>
      </w:r>
      <w:r>
        <w:rPr>
          <w:rFonts/>
          <w:rtl/>
        </w:rPr>
        <w:t>آن</w:t>
      </w:r>
      <w:r>
        <w:rPr>
          <w:rtl/>
        </w:rPr>
        <w:t xml:space="preserve"> </w:t>
      </w:r>
      <w:r>
        <w:rPr>
          <w:rFonts/>
          <w:rtl/>
        </w:rPr>
        <w:t>به</w:t>
      </w:r>
      <w:r>
        <w:rPr>
          <w:rtl/>
        </w:rPr>
        <w:t xml:space="preserve"> </w:t>
      </w:r>
      <w:r>
        <w:rPr>
          <w:rFonts/>
          <w:rtl/>
        </w:rPr>
        <w:t>تع</w:t>
      </w:r>
      <w:r>
        <w:rPr>
          <w:rtl/>
        </w:rPr>
        <w:t>امل میان ویژگی‌های درونی بنگاه از جمله توان مدیریتی و منابع در دسترس و شرایط بیرونی صنعت و بازار بستگی دارد.</w:t>
      </w:r>
    </w:p>
    <w:p>
      <w:pPr>
        <w:bidi/>
        <w:spacing w:after="80" w:line="276" w:lineRule="auto"/>
        <w:ind w:firstLine="720"/>
        <w:jc w:val="both"/>
      </w:pPr>
      <w:r>
        <w:rPr>
          <w:rtl/>
        </w:rPr>
        <w:t>از منظر نوآوری نیز، راهبرد تمرکز بر محصول واحد پیامدهای دوگانه‌ای دارد. دخیخ و النجری (۲۰۲۶)</w:t>
      </w:r>
      <w:r>
        <w:rPr>
          <w:rStyle w:val="FootnoteReference"/>
        </w:rPr>
        <w:footnoteReference w:id="54"/>
      </w:r>
      <w:r>
        <w:rPr>
          <w:rtl/>
        </w:rPr>
        <w:t xml:space="preserve"> </w:t>
      </w:r>
      <w:r>
        <w:rPr>
          <w:rtl/>
        </w:rPr>
        <w:t xml:space="preserve">نشان دادند که تأثیر قابلیت‌های پویا بر مزیت رقابتی پایدار از مسیر نوآوری می‌گذرد و ظرفیت یادگیری سازمانی آن را تقویت می‌کند. تمرکز منابع نوآوری بر یک حوزه محدود می‌تواند در کوتاه‌مدت به بهبود کیفیت و تمایز محصول بینجامد، اما در بلندمدت بدون تزریق مستمر منابع یادگیری، به رکود نوآورانه ختم می‌شود</w:t>
      </w:r>
      <w:r>
        <w:rPr>
          <w:rtl/>
        </w:rPr>
        <w:t xml:space="preserve">. </w:t>
      </w:r>
      <w:r>
        <w:rPr>
          <w:rtl/>
        </w:rPr>
        <w:t xml:space="preserve">این نکته، بار دیگر تأکید می‌کند</w:t>
      </w:r>
      <w:r>
        <w:rPr>
          <w:rtl/>
        </w:rPr>
        <w:t xml:space="preserve"> که مزیت راهبرد تمرکز، مشروط به سرمایه‌گذاری مستمر در قابلیت‌های یادگیری بنگاه است، نه ویژگی‌ای خودکار و تضمین‌شده.</w:t>
      </w:r>
    </w:p>
    <w:p>
      <w:pPr>
        <w:bidi/>
        <w:spacing w:after="80" w:line="276" w:lineRule="auto"/>
        <w:ind w:firstLine="720"/>
        <w:jc w:val="both"/>
      </w:pPr>
      <w:r>
        <w:rPr>
          <w:rtl/>
        </w:rPr>
        <w:t xml:space="preserve">نکته پایانی درباره مزایا و محدودیت‌های راهبرد تمرکز، به افق زمانی تصمیم‌گیری مدیریتی بازمی‌گردد. </w:t>
      </w:r>
      <w:r>
        <w:rPr>
          <w:rtl/>
        </w:rPr>
        <w:t xml:space="preserve">تصمیمات انطباقی کوتاه‌مدت و بازآرایی راهبردی بلندمدت منابع بنگاه، دو سطح متمایز تصمیم‌گیری مدیریتی‌اند</w:t>
      </w:r>
      <w:r>
        <w:rPr>
          <w:rtl/>
        </w:rPr>
        <w:t xml:space="preserve">. برای بنگاه تک‌محصولی، این تمایز به این معناست که مدیریت روزمره چالش‌های فروش </w:t>
      </w:r>
      <w:r>
        <w:rPr>
          <w:rFonts/>
          <w:rtl/>
        </w:rPr>
        <w:t>مانند</w:t>
      </w:r>
      <w:r>
        <w:rPr>
          <w:rtl/>
        </w:rPr>
        <w:t xml:space="preserve"> </w:t>
      </w:r>
      <w:r>
        <w:rPr>
          <w:rFonts/>
          <w:rtl/>
        </w:rPr>
        <w:t>تعدیل</w:t>
      </w:r>
      <w:r>
        <w:rPr>
          <w:rtl/>
        </w:rPr>
        <w:t xml:space="preserve"> </w:t>
      </w:r>
      <w:r>
        <w:rPr>
          <w:rFonts/>
          <w:rtl/>
        </w:rPr>
        <w:t>قیمت</w:t>
      </w:r>
      <w:r>
        <w:rPr>
          <w:rtl/>
        </w:rPr>
        <w:t xml:space="preserve"> </w:t>
      </w:r>
      <w:r>
        <w:rPr>
          <w:rFonts/>
          <w:rtl/>
        </w:rPr>
        <w:t>یا</w:t>
      </w:r>
      <w:r>
        <w:rPr>
          <w:rtl/>
        </w:rPr>
        <w:t xml:space="preserve"> </w:t>
      </w:r>
      <w:r>
        <w:rPr>
          <w:rFonts/>
          <w:rtl/>
        </w:rPr>
        <w:t>تغییر</w:t>
      </w:r>
      <w:r>
        <w:rPr>
          <w:rtl/>
        </w:rPr>
        <w:t xml:space="preserve"> </w:t>
      </w:r>
      <w:r>
        <w:rPr>
          <w:rFonts/>
          <w:rtl/>
        </w:rPr>
        <w:t>کانال</w:t>
      </w:r>
      <w:r>
        <w:rPr>
          <w:rtl/>
        </w:rPr>
        <w:t xml:space="preserve"> </w:t>
      </w:r>
      <w:r>
        <w:rPr>
          <w:rFonts/>
          <w:rtl/>
        </w:rPr>
        <w:t>توزیع</w:t>
      </w:r>
      <w:r>
        <w:rPr>
          <w:rtl/>
        </w:rPr>
        <w:t xml:space="preserve"> </w:t>
      </w:r>
      <w:r>
        <w:rPr>
          <w:rFonts/>
          <w:rtl/>
        </w:rPr>
        <w:t>کافی</w:t>
      </w:r>
      <w:r>
        <w:rPr>
          <w:rtl/>
        </w:rPr>
        <w:t xml:space="preserve"> </w:t>
      </w:r>
      <w:r>
        <w:rPr>
          <w:rFonts/>
          <w:rtl/>
        </w:rPr>
        <w:t>نیست؛</w:t>
      </w:r>
      <w:r>
        <w:rPr>
          <w:rtl/>
        </w:rPr>
        <w:t xml:space="preserve"> </w:t>
      </w:r>
      <w:r>
        <w:rPr>
          <w:rFonts/>
          <w:rtl/>
        </w:rPr>
        <w:t>بلکه</w:t>
      </w:r>
      <w:r>
        <w:rPr>
          <w:rtl/>
        </w:rPr>
        <w:t xml:space="preserve"> </w:t>
      </w:r>
      <w:r>
        <w:rPr>
          <w:rFonts/>
          <w:rtl/>
        </w:rPr>
        <w:t>در</w:t>
      </w:r>
      <w:r>
        <w:rPr>
          <w:rtl/>
        </w:rPr>
        <w:t xml:space="preserve"> </w:t>
      </w:r>
      <w:r>
        <w:rPr>
          <w:rFonts/>
          <w:rtl/>
        </w:rPr>
        <w:t>کنار</w:t>
      </w:r>
      <w:r>
        <w:rPr>
          <w:rtl/>
        </w:rPr>
        <w:t xml:space="preserve"> </w:t>
      </w:r>
      <w:r>
        <w:rPr>
          <w:rFonts/>
          <w:rtl/>
        </w:rPr>
        <w:t>آن،</w:t>
      </w:r>
      <w:r>
        <w:rPr>
          <w:rtl/>
        </w:rPr>
        <w:t xml:space="preserve"> </w:t>
      </w:r>
      <w:r>
        <w:rPr>
          <w:rFonts/>
          <w:rtl/>
        </w:rPr>
        <w:t>بازنگری</w:t>
      </w:r>
      <w:r>
        <w:rPr>
          <w:rtl/>
        </w:rPr>
        <w:t xml:space="preserve"> </w:t>
      </w:r>
      <w:r>
        <w:rPr>
          <w:rFonts/>
          <w:rtl/>
        </w:rPr>
        <w:t>دوره‌ای</w:t>
      </w:r>
      <w:r>
        <w:rPr>
          <w:rtl/>
        </w:rPr>
        <w:t xml:space="preserve"> </w:t>
      </w:r>
      <w:r>
        <w:rPr>
          <w:rFonts/>
          <w:rtl/>
        </w:rPr>
        <w:t>در</w:t>
      </w:r>
      <w:r>
        <w:rPr>
          <w:rtl/>
        </w:rPr>
        <w:t xml:space="preserve"> </w:t>
      </w:r>
      <w:r>
        <w:rPr>
          <w:rFonts/>
          <w:rtl/>
        </w:rPr>
        <w:t>همان</w:t>
      </w:r>
      <w:r>
        <w:rPr>
          <w:rtl/>
        </w:rPr>
        <w:t xml:space="preserve"> </w:t>
      </w:r>
      <w:r>
        <w:rPr>
          <w:rFonts/>
          <w:rtl/>
        </w:rPr>
        <w:t>تصمیم</w:t>
      </w:r>
      <w:r>
        <w:rPr>
          <w:rtl/>
        </w:rPr>
        <w:t xml:space="preserve"> </w:t>
      </w:r>
      <w:r>
        <w:rPr>
          <w:rFonts/>
          <w:rtl/>
        </w:rPr>
        <w:t>بنیادین</w:t>
      </w:r>
      <w:r>
        <w:rPr>
          <w:rtl/>
        </w:rPr>
        <w:t xml:space="preserve"> </w:t>
      </w:r>
      <w:r>
        <w:rPr>
          <w:rFonts/>
          <w:rtl/>
        </w:rPr>
        <w:t>تمرکز</w:t>
      </w:r>
      <w:r>
        <w:rPr>
          <w:rtl/>
        </w:rPr>
        <w:t xml:space="preserve"> </w:t>
      </w:r>
      <w:r>
        <w:rPr>
          <w:rFonts/>
          <w:rtl/>
        </w:rPr>
        <w:t>بر</w:t>
      </w:r>
      <w:r>
        <w:rPr>
          <w:rtl/>
        </w:rPr>
        <w:t xml:space="preserve"> </w:t>
      </w:r>
      <w:r>
        <w:rPr>
          <w:rFonts/>
          <w:rtl/>
        </w:rPr>
        <w:t>یک</w:t>
      </w:r>
      <w:r>
        <w:rPr>
          <w:rtl/>
        </w:rPr>
        <w:t xml:space="preserve"> </w:t>
      </w:r>
      <w:r>
        <w:rPr>
          <w:rFonts/>
          <w:rtl/>
        </w:rPr>
        <w:t>محصول</w:t>
      </w:r>
      <w:r>
        <w:rPr>
          <w:rtl/>
        </w:rPr>
        <w:t xml:space="preserve"> </w:t>
      </w:r>
      <w:r>
        <w:rPr>
          <w:rFonts/>
          <w:rtl/>
        </w:rPr>
        <w:t>نیز</w:t>
      </w:r>
      <w:r>
        <w:rPr>
          <w:rtl/>
        </w:rPr>
        <w:t xml:space="preserve"> </w:t>
      </w:r>
      <w:r>
        <w:rPr>
          <w:rFonts/>
          <w:rtl/>
        </w:rPr>
        <w:t>باید</w:t>
      </w:r>
      <w:r>
        <w:rPr>
          <w:rtl/>
        </w:rPr>
        <w:t xml:space="preserve"> </w:t>
      </w:r>
      <w:r>
        <w:rPr>
          <w:rFonts/>
          <w:rtl/>
        </w:rPr>
        <w:t>در</w:t>
      </w:r>
      <w:r>
        <w:rPr>
          <w:rtl/>
        </w:rPr>
        <w:t xml:space="preserve"> </w:t>
      </w:r>
      <w:r>
        <w:rPr>
          <w:rFonts/>
          <w:rtl/>
        </w:rPr>
        <w:t>دستور</w:t>
      </w:r>
      <w:r>
        <w:rPr>
          <w:rtl/>
        </w:rPr>
        <w:t xml:space="preserve"> </w:t>
      </w:r>
      <w:r>
        <w:rPr>
          <w:rFonts/>
          <w:rtl/>
        </w:rPr>
        <w:t>کار</w:t>
      </w:r>
      <w:r>
        <w:rPr>
          <w:rtl/>
        </w:rPr>
        <w:t xml:space="preserve"> </w:t>
      </w:r>
      <w:r>
        <w:rPr>
          <w:rFonts/>
          <w:rtl/>
        </w:rPr>
        <w:t>مدیریت</w:t>
      </w:r>
      <w:r>
        <w:rPr>
          <w:rtl/>
        </w:rPr>
        <w:t xml:space="preserve"> </w:t>
      </w:r>
      <w:r>
        <w:rPr>
          <w:rFonts/>
          <w:rtl/>
        </w:rPr>
        <w:t>راهب</w:t>
      </w:r>
      <w:r>
        <w:rPr>
          <w:rtl/>
        </w:rPr>
        <w:t>ردی بنگاه قرار گیرد.</w:t>
      </w:r>
    </w:p>
    <w:p>
      <w:pPr>
        <w:pStyle w:val="Heading4"/>
        <w:keepNext/>
        <w:bidi/>
        <w:spacing w:before="180" w:after="80"/>
      </w:pPr>
      <w:r>
        <w:t>۲ـ۲ـ۴ـ۴ آسیب‌پذیری شرکت‌های تک‌محصولی در برابر نوسانات بازار</w:t>
      </w:r>
    </w:p>
    <w:p>
      <w:pPr>
        <w:bidi/>
        <w:spacing w:after="80" w:line="276" w:lineRule="auto"/>
        <w:ind w:firstLine="720"/>
        <w:jc w:val="both"/>
      </w:pPr>
      <w:r>
        <w:rPr>
          <w:rtl/>
        </w:rPr>
        <w:t>این بخش پایانی از زیربخش‌های مربوط به شرکت تک‌محصولی، مباحث نظری پیشین را در یک نتیجه‌گیری عملی تلفیق می‌کند. میکلیان و هولشر (۲۰۲۲)</w:t>
      </w:r>
      <w:r>
        <w:rPr>
          <w:rStyle w:val="FootnoteReference"/>
        </w:rPr>
        <w:footnoteReference w:id="55"/>
      </w:r>
      <w:r>
        <w:rPr>
          <w:rtl/>
        </w:rPr>
        <w:t xml:space="preserve"> </w:t>
      </w:r>
      <w:r>
        <w:rPr>
          <w:rtl/>
        </w:rPr>
        <w:t xml:space="preserve">در مرور مفهومی خود بر ادبیات شوک‌های برون‌زا، بنگاه، شوک و پاسخ بنگاه را در پیوند با یکدیگر و در بستر خود بنگاه بررسی می‌کنند؛ از این منظر، آسیب‌پذیری بنگاه کوچک در برابر نوسانات بازار را نمی‌توان به‌طور مجزا از ویژگی‌ها و ساختار منابع آن تحلیل کرد</w:t>
      </w:r>
      <w:r>
        <w:rPr>
          <w:rtl/>
        </w:rPr>
        <w:t xml:space="preserve">؛ ارتباطی که در این بخش، به‌طور اختصاصی برای بنگاه تک‌محصولی بررسی می‌شود. این تحلیل، حلقه اتصال مستقیم میان مبانی نظری این فصل و پرسش اصلی پژوهش حاضر درباره چالش‌های فروش است.</w:t>
      </w:r>
    </w:p>
    <w:p>
      <w:pPr>
        <w:bidi/>
        <w:spacing w:after="80" w:line="276" w:lineRule="auto"/>
        <w:ind w:firstLine="720"/>
        <w:jc w:val="both"/>
      </w:pPr>
      <w:r>
        <w:rPr>
          <w:rtl/>
        </w:rPr>
        <w:t xml:space="preserve">آسیب‌پذیری شرکت‌های تک‌محصولی در برابر نوسانات بازار، پیامد مستقیم ساختار متمرکز منابع در این دسته از بنگاه‌هاست. این آسیب‌پذیری در چند لایه قابل تحلیل است. در لایه نخست، هر تکانه در تقاضا </w:t>
      </w:r>
      <w:r>
        <w:rPr>
          <w:rFonts/>
          <w:rtl/>
        </w:rPr>
        <w:t>چه</w:t>
      </w:r>
      <w:r>
        <w:rPr>
          <w:rtl/>
        </w:rPr>
        <w:t xml:space="preserve"> </w:t>
      </w:r>
      <w:r>
        <w:rPr>
          <w:rFonts/>
          <w:rtl/>
        </w:rPr>
        <w:t>به</w:t>
      </w:r>
      <w:r>
        <w:rPr>
          <w:rtl/>
        </w:rPr>
        <w:t xml:space="preserve"> </w:t>
      </w:r>
      <w:r>
        <w:rPr>
          <w:rFonts/>
          <w:rtl/>
        </w:rPr>
        <w:t>دلیل</w:t>
      </w:r>
      <w:r>
        <w:rPr>
          <w:rtl/>
        </w:rPr>
        <w:t xml:space="preserve"> </w:t>
      </w:r>
      <w:r>
        <w:rPr>
          <w:rFonts/>
          <w:rtl/>
        </w:rPr>
        <w:t>تغییر</w:t>
      </w:r>
      <w:r>
        <w:rPr>
          <w:rtl/>
        </w:rPr>
        <w:t xml:space="preserve"> </w:t>
      </w:r>
      <w:r>
        <w:rPr>
          <w:rFonts/>
          <w:rtl/>
        </w:rPr>
        <w:t>ذائقه،</w:t>
      </w:r>
      <w:r>
        <w:rPr>
          <w:rtl/>
        </w:rPr>
        <w:t xml:space="preserve"> </w:t>
      </w:r>
      <w:r>
        <w:rPr>
          <w:rFonts/>
          <w:rtl/>
        </w:rPr>
        <w:t>چه</w:t>
      </w:r>
      <w:r>
        <w:rPr>
          <w:rtl/>
        </w:rPr>
        <w:t xml:space="preserve"> </w:t>
      </w:r>
      <w:r>
        <w:rPr>
          <w:rFonts/>
          <w:rtl/>
        </w:rPr>
        <w:t>به</w:t>
      </w:r>
      <w:r>
        <w:rPr>
          <w:rtl/>
        </w:rPr>
        <w:t xml:space="preserve"> </w:t>
      </w:r>
      <w:r>
        <w:rPr>
          <w:rFonts/>
          <w:rtl/>
        </w:rPr>
        <w:t>دلیل</w:t>
      </w:r>
      <w:r>
        <w:rPr>
          <w:rtl/>
        </w:rPr>
        <w:t xml:space="preserve"> </w:t>
      </w:r>
      <w:r>
        <w:rPr>
          <w:rFonts/>
          <w:rtl/>
        </w:rPr>
        <w:t>کاهش</w:t>
      </w:r>
      <w:r>
        <w:rPr>
          <w:rtl/>
        </w:rPr>
        <w:t xml:space="preserve"> </w:t>
      </w:r>
      <w:r>
        <w:rPr>
          <w:rFonts/>
          <w:rtl/>
        </w:rPr>
        <w:t>قدرت</w:t>
      </w:r>
      <w:r>
        <w:rPr>
          <w:rtl/>
        </w:rPr>
        <w:t xml:space="preserve"> </w:t>
      </w:r>
      <w:r>
        <w:rPr>
          <w:rFonts/>
          <w:rtl/>
        </w:rPr>
        <w:t>خرید</w:t>
      </w:r>
      <w:r>
        <w:rPr>
          <w:rtl/>
        </w:rPr>
        <w:t xml:space="preserve"> </w:t>
      </w:r>
      <w:r>
        <w:rPr>
          <w:rFonts/>
          <w:rtl/>
        </w:rPr>
        <w:t>یا</w:t>
      </w:r>
      <w:r>
        <w:rPr>
          <w:rtl/>
        </w:rPr>
        <w:t xml:space="preserve"> </w:t>
      </w:r>
      <w:r>
        <w:rPr>
          <w:rFonts/>
          <w:rtl/>
        </w:rPr>
        <w:t>چه</w:t>
      </w:r>
      <w:r>
        <w:rPr>
          <w:rtl/>
        </w:rPr>
        <w:t xml:space="preserve"> </w:t>
      </w:r>
      <w:r>
        <w:rPr>
          <w:rFonts/>
          <w:rtl/>
        </w:rPr>
        <w:t>به</w:t>
      </w:r>
      <w:r>
        <w:rPr>
          <w:rtl/>
        </w:rPr>
        <w:t xml:space="preserve"> </w:t>
      </w:r>
      <w:r>
        <w:rPr>
          <w:rFonts/>
          <w:rtl/>
        </w:rPr>
        <w:t>دلیل</w:t>
      </w:r>
      <w:r>
        <w:rPr>
          <w:rtl/>
        </w:rPr>
        <w:t xml:space="preserve"> </w:t>
      </w:r>
      <w:r>
        <w:rPr>
          <w:rFonts/>
          <w:rtl/>
        </w:rPr>
        <w:t>ورود</w:t>
      </w:r>
      <w:r>
        <w:rPr>
          <w:rtl/>
        </w:rPr>
        <w:t xml:space="preserve"> جایگزین </w:t>
      </w:r>
      <w:r>
        <w:rPr>
          <w:rFonts/>
          <w:rtl/>
        </w:rPr>
        <w:t>مستقیماً</w:t>
      </w:r>
      <w:r>
        <w:rPr>
          <w:rtl/>
        </w:rPr>
        <w:t xml:space="preserve"> </w:t>
      </w:r>
      <w:r>
        <w:rPr>
          <w:rFonts/>
          <w:rtl/>
        </w:rPr>
        <w:t>کل</w:t>
      </w:r>
      <w:r>
        <w:rPr>
          <w:rtl/>
        </w:rPr>
        <w:t xml:space="preserve"> </w:t>
      </w:r>
      <w:r>
        <w:rPr>
          <w:rFonts/>
          <w:rtl/>
        </w:rPr>
        <w:t>درآمد</w:t>
      </w:r>
      <w:r>
        <w:rPr>
          <w:rtl/>
        </w:rPr>
        <w:t xml:space="preserve"> </w:t>
      </w:r>
      <w:r>
        <w:rPr>
          <w:rFonts/>
          <w:rtl/>
        </w:rPr>
        <w:t>بنگاه</w:t>
      </w:r>
      <w:r>
        <w:rPr>
          <w:rtl/>
        </w:rPr>
        <w:t xml:space="preserve"> </w:t>
      </w:r>
      <w:r>
        <w:rPr>
          <w:rFonts/>
          <w:rtl/>
        </w:rPr>
        <w:t>را</w:t>
      </w:r>
      <w:r>
        <w:rPr>
          <w:rtl/>
        </w:rPr>
        <w:t xml:space="preserve"> </w:t>
      </w:r>
      <w:r>
        <w:rPr>
          <w:rFonts/>
          <w:rtl/>
        </w:rPr>
        <w:t>هدف</w:t>
      </w:r>
      <w:r>
        <w:rPr>
          <w:rtl/>
        </w:rPr>
        <w:t xml:space="preserve"> </w:t>
      </w:r>
      <w:r>
        <w:rPr>
          <w:rFonts/>
          <w:rtl/>
        </w:rPr>
        <w:t>می‌گیرد</w:t>
      </w:r>
      <w:r>
        <w:rPr>
          <w:rtl/>
        </w:rPr>
        <w:t xml:space="preserve">. </w:t>
      </w:r>
      <w:r>
        <w:rPr>
          <w:rFonts/>
          <w:rtl/>
        </w:rPr>
        <w:t>در</w:t>
      </w:r>
      <w:r>
        <w:rPr>
          <w:rtl/>
        </w:rPr>
        <w:t xml:space="preserve"> </w:t>
      </w:r>
      <w:r>
        <w:rPr>
          <w:rFonts/>
          <w:rtl/>
        </w:rPr>
        <w:t>لایه</w:t>
      </w:r>
      <w:r>
        <w:rPr>
          <w:rtl/>
        </w:rPr>
        <w:t xml:space="preserve"> </w:t>
      </w:r>
      <w:r>
        <w:rPr>
          <w:rFonts/>
          <w:rtl/>
        </w:rPr>
        <w:t>دوم،</w:t>
      </w:r>
      <w:r>
        <w:rPr>
          <w:rtl/>
        </w:rPr>
        <w:t xml:space="preserve"> </w:t>
      </w:r>
      <w:r>
        <w:rPr>
          <w:rFonts/>
          <w:rtl/>
        </w:rPr>
        <w:t>آسیب‌پذیری</w:t>
      </w:r>
      <w:r>
        <w:rPr>
          <w:rtl/>
        </w:rPr>
        <w:t xml:space="preserve"> </w:t>
      </w:r>
      <w:r>
        <w:rPr>
          <w:rFonts/>
          <w:rtl/>
        </w:rPr>
        <w:t>به</w:t>
      </w:r>
      <w:r>
        <w:rPr>
          <w:rtl/>
        </w:rPr>
        <w:t xml:space="preserve"> </w:t>
      </w:r>
      <w:r>
        <w:rPr>
          <w:rFonts/>
          <w:rtl/>
        </w:rPr>
        <w:t>سمت</w:t>
      </w:r>
      <w:r>
        <w:rPr>
          <w:rtl/>
        </w:rPr>
        <w:t xml:space="preserve"> </w:t>
      </w:r>
      <w:r>
        <w:rPr>
          <w:rFonts/>
          <w:rtl/>
        </w:rPr>
        <w:t>تأمین</w:t>
      </w:r>
      <w:r>
        <w:rPr>
          <w:rtl/>
        </w:rPr>
        <w:t xml:space="preserve"> </w:t>
      </w:r>
      <w:r>
        <w:rPr>
          <w:rFonts/>
          <w:rtl/>
        </w:rPr>
        <w:t>نیز</w:t>
      </w:r>
      <w:r>
        <w:rPr>
          <w:rtl/>
        </w:rPr>
        <w:t xml:space="preserve"> </w:t>
      </w:r>
      <w:r>
        <w:rPr>
          <w:rFonts/>
          <w:rtl/>
        </w:rPr>
        <w:t>تشدید</w:t>
      </w:r>
      <w:r>
        <w:rPr>
          <w:rtl/>
        </w:rPr>
        <w:t xml:space="preserve"> </w:t>
      </w:r>
      <w:r>
        <w:rPr>
          <w:rFonts/>
          <w:rtl/>
        </w:rPr>
        <w:t>می‌شود</w:t>
      </w:r>
      <w:r>
        <w:rPr>
          <w:rtl/>
        </w:rPr>
        <w:t xml:space="preserve">. </w:t>
      </w:r>
      <w:r>
        <w:rPr>
          <w:rFonts/>
          <w:rtl/>
        </w:rPr>
        <w:t>بنگاه</w:t>
      </w:r>
      <w:r>
        <w:rPr>
          <w:rtl/>
        </w:rPr>
        <w:t xml:space="preserve"> </w:t>
      </w:r>
      <w:r>
        <w:rPr>
          <w:rFonts/>
          <w:rtl/>
        </w:rPr>
        <w:t>تک‌محصولی</w:t>
      </w:r>
      <w:r>
        <w:rPr>
          <w:rtl/>
        </w:rPr>
        <w:t xml:space="preserve"> </w:t>
      </w:r>
      <w:r>
        <w:rPr>
          <w:rFonts/>
          <w:rtl/>
        </w:rPr>
        <w:t>وابسته</w:t>
      </w:r>
      <w:r>
        <w:rPr>
          <w:rtl/>
        </w:rPr>
        <w:t xml:space="preserve"> </w:t>
      </w:r>
      <w:r>
        <w:rPr>
          <w:rFonts/>
          <w:rtl/>
        </w:rPr>
        <w:t>به</w:t>
      </w:r>
      <w:r>
        <w:rPr>
          <w:rtl/>
        </w:rPr>
        <w:t xml:space="preserve"> </w:t>
      </w:r>
      <w:r>
        <w:rPr>
          <w:rFonts/>
          <w:rtl/>
        </w:rPr>
        <w:t>زنجیره</w:t>
      </w:r>
      <w:r>
        <w:rPr>
          <w:rtl/>
        </w:rPr>
        <w:t xml:space="preserve"> </w:t>
      </w:r>
      <w:r>
        <w:rPr>
          <w:rFonts/>
          <w:rtl/>
        </w:rPr>
        <w:t>تأمین</w:t>
      </w:r>
      <w:r>
        <w:rPr>
          <w:rtl/>
        </w:rPr>
        <w:t xml:space="preserve"> </w:t>
      </w:r>
      <w:r>
        <w:rPr>
          <w:rFonts/>
          <w:rtl/>
        </w:rPr>
        <w:t>خاصی</w:t>
      </w:r>
      <w:r>
        <w:rPr>
          <w:rtl/>
        </w:rPr>
        <w:t xml:space="preserve"> </w:t>
      </w:r>
      <w:r>
        <w:rPr>
          <w:rFonts/>
          <w:rtl/>
        </w:rPr>
        <w:t>است</w:t>
      </w:r>
      <w:r>
        <w:rPr>
          <w:rtl/>
        </w:rPr>
        <w:t xml:space="preserve"> </w:t>
      </w:r>
      <w:r>
        <w:rPr>
          <w:rFonts/>
          <w:rtl/>
        </w:rPr>
        <w:t>که</w:t>
      </w:r>
      <w:r>
        <w:rPr>
          <w:rtl/>
        </w:rPr>
        <w:t xml:space="preserve"> </w:t>
      </w:r>
      <w:r>
        <w:rPr>
          <w:rFonts/>
          <w:rtl/>
        </w:rPr>
        <w:t>هر</w:t>
      </w:r>
      <w:r>
        <w:rPr>
          <w:rtl/>
        </w:rPr>
        <w:t xml:space="preserve"> </w:t>
      </w:r>
      <w:r>
        <w:rPr>
          <w:rFonts/>
          <w:rtl/>
        </w:rPr>
        <w:t>اختلال</w:t>
      </w:r>
      <w:r>
        <w:rPr>
          <w:rtl/>
        </w:rPr>
        <w:t xml:space="preserve"> </w:t>
      </w:r>
      <w:r>
        <w:rPr>
          <w:rFonts/>
          <w:rtl/>
        </w:rPr>
        <w:t>در</w:t>
      </w:r>
      <w:r>
        <w:rPr>
          <w:rtl/>
        </w:rPr>
        <w:t xml:space="preserve"> </w:t>
      </w:r>
      <w:r>
        <w:rPr>
          <w:rFonts/>
          <w:rtl/>
        </w:rPr>
        <w:t>آن،</w:t>
      </w:r>
      <w:r>
        <w:rPr>
          <w:rtl/>
        </w:rPr>
        <w:t xml:space="preserve"> </w:t>
      </w:r>
      <w:r>
        <w:rPr>
          <w:rFonts/>
          <w:rtl/>
        </w:rPr>
        <w:t>توانایی</w:t>
      </w:r>
      <w:r>
        <w:rPr>
          <w:rtl/>
        </w:rPr>
        <w:t xml:space="preserve"> </w:t>
      </w:r>
      <w:r>
        <w:rPr>
          <w:rFonts/>
          <w:rtl/>
        </w:rPr>
        <w:t>تأمین</w:t>
      </w:r>
      <w:r>
        <w:rPr>
          <w:rtl/>
        </w:rPr>
        <w:t xml:space="preserve"> </w:t>
      </w:r>
      <w:r>
        <w:rPr>
          <w:rFonts/>
          <w:rtl/>
        </w:rPr>
        <w:t>مشتریان</w:t>
      </w:r>
      <w:r>
        <w:rPr>
          <w:rtl/>
        </w:rPr>
        <w:t xml:space="preserve"> </w:t>
      </w:r>
      <w:r>
        <w:rPr>
          <w:rFonts/>
          <w:rtl/>
        </w:rPr>
        <w:t>را</w:t>
      </w:r>
      <w:r>
        <w:rPr>
          <w:rtl/>
        </w:rPr>
        <w:t xml:space="preserve"> </w:t>
      </w:r>
      <w:r>
        <w:rPr>
          <w:rFonts/>
          <w:rtl/>
        </w:rPr>
        <w:t>مختل</w:t>
      </w:r>
      <w:r>
        <w:rPr>
          <w:rtl/>
        </w:rPr>
        <w:t xml:space="preserve"> </w:t>
      </w:r>
      <w:r>
        <w:rPr>
          <w:rFonts/>
          <w:rtl/>
        </w:rPr>
        <w:t>می‌کند</w:t>
      </w:r>
      <w:r>
        <w:rPr>
          <w:rtl/>
        </w:rPr>
        <w:t xml:space="preserve">. </w:t>
      </w:r>
      <w:r>
        <w:rPr>
          <w:rFonts/>
          <w:rtl/>
        </w:rPr>
        <w:t>کریمی</w:t>
      </w:r>
      <w:r>
        <w:rPr>
          <w:rtl/>
        </w:rPr>
        <w:t xml:space="preserve"> </w:t>
      </w:r>
      <w:r>
        <w:rPr>
          <w:rFonts/>
          <w:rtl/>
        </w:rPr>
        <w:t>و</w:t>
      </w:r>
      <w:r>
        <w:rPr>
          <w:rtl/>
        </w:rPr>
        <w:t xml:space="preserve"> </w:t>
      </w:r>
      <w:r>
        <w:rPr>
          <w:rFonts/>
          <w:rtl/>
        </w:rPr>
        <w:t>همکاران</w:t>
      </w:r>
      <w:r>
        <w:rPr>
          <w:rtl/>
        </w:rPr>
        <w:t xml:space="preserve"> (</w:t>
      </w:r>
      <w:r>
        <w:rPr>
          <w:rFonts/>
          <w:rtl/>
        </w:rPr>
        <w:t>۱۴۰۳</w:t>
      </w:r>
      <w:r>
        <w:rPr>
          <w:rtl/>
        </w:rPr>
        <w:t xml:space="preserve">) </w:t>
      </w:r>
      <w:r>
        <w:rPr>
          <w:rFonts/>
          <w:rtl/>
        </w:rPr>
        <w:t xml:space="preserve">در الگوی تحلیل اختلالات خود، رابطه‌ای زنجیره‌ای میان انواع اختلال، ویژگی‌های تاب‌آوری و موقعیت بازاری زنجیره تأمین مواد غذایی ترسیم کردند</w:t>
      </w:r>
      <w:r>
        <w:rPr>
          <w:rtl/>
        </w:rPr>
        <w:t xml:space="preserve">. این ارتباط نظری، اهمیت شناسایی و اولویت‌بندی چالش‌های فروش در بستر بنگاه‌های تک‌محصولی را بیشتر روشن می‌سازد.</w:t>
      </w:r>
    </w:p>
    <w:p>
      <w:pPr>
        <w:bidi/>
        <w:spacing w:after="80" w:line="276" w:lineRule="auto"/>
        <w:ind w:firstLine="720"/>
        <w:jc w:val="both"/>
      </w:pPr>
      <w:r>
        <w:rPr>
          <w:rtl/>
        </w:rPr>
        <w:t>میکلیان و هولشر (۲۰۲۲)</w:t>
      </w:r>
      <w:r>
        <w:rPr>
          <w:rStyle w:val="FootnoteReference"/>
        </w:rPr>
        <w:footnoteReference w:id="56"/>
      </w:r>
      <w:r>
        <w:rPr>
          <w:rtl/>
        </w:rPr>
        <w:t xml:space="preserve"> در مروری مفهومی بر پژوهش‌های مربوط به شوک‌های برون‌زا، </w:t>
      </w:r>
      <w:r>
        <w:rPr>
          <w:rtl/>
        </w:rPr>
        <w:t xml:space="preserve">تفاوت واکنش بنگاه‌های کوچک و بزرگ به این شوک‌ها و اثر انواع بحران بر آن‌ها را بررسی کردند. در بنگاه‌های کوچک، که منابع مالی و انسانی محدودتری دارند، آسیب‌پذیری در برابر شوک‌های بیرونی، از بحران‌های اقتصادی تا اختلالات زنجیره تأمین، معمولاً بیشتر است و در نبود تنوع درآمدی تشدید می‌شود</w:t>
      </w:r>
      <w:r>
        <w:rPr>
          <w:rtl/>
        </w:rPr>
        <w:t xml:space="preserve">. </w:t>
      </w:r>
      <w:r>
        <w:rPr>
          <w:rFonts/>
          <w:rtl/>
        </w:rPr>
        <w:t>در</w:t>
      </w:r>
      <w:r>
        <w:rPr>
          <w:rtl/>
        </w:rPr>
        <w:t xml:space="preserve"> </w:t>
      </w:r>
      <w:r>
        <w:rPr>
          <w:rFonts/>
          <w:rtl/>
        </w:rPr>
        <w:t>بافت</w:t>
      </w:r>
      <w:r>
        <w:rPr>
          <w:rtl/>
        </w:rPr>
        <w:t xml:space="preserve"> </w:t>
      </w:r>
      <w:r>
        <w:rPr>
          <w:rFonts/>
          <w:rtl/>
        </w:rPr>
        <w:t>ایران</w:t>
      </w:r>
      <w:r>
        <w:rPr>
          <w:rtl/>
        </w:rPr>
        <w:t xml:space="preserve"> </w:t>
      </w:r>
      <w:r>
        <w:rPr>
          <w:rFonts/>
          <w:rtl/>
        </w:rPr>
        <w:t>نیز،</w:t>
      </w:r>
      <w:r>
        <w:rPr>
          <w:rtl/>
        </w:rPr>
        <w:t xml:space="preserve"> </w:t>
      </w:r>
      <w:r>
        <w:rPr>
          <w:rFonts/>
          <w:rtl/>
        </w:rPr>
        <w:t>محسنی‌کبیر،</w:t>
      </w:r>
      <w:r>
        <w:rPr>
          <w:rtl/>
        </w:rPr>
        <w:t xml:space="preserve"> </w:t>
      </w:r>
      <w:r>
        <w:rPr>
          <w:rFonts/>
          <w:rtl/>
        </w:rPr>
        <w:t>موسوی‌کاشی</w:t>
      </w:r>
      <w:r>
        <w:rPr>
          <w:rtl/>
        </w:rPr>
        <w:t xml:space="preserve"> </w:t>
      </w:r>
      <w:r>
        <w:rPr>
          <w:rFonts/>
          <w:rtl/>
        </w:rPr>
        <w:t>و</w:t>
      </w:r>
      <w:r>
        <w:rPr>
          <w:rtl/>
        </w:rPr>
        <w:t xml:space="preserve"> </w:t>
      </w:r>
      <w:r>
        <w:rPr>
          <w:rFonts/>
          <w:rtl/>
        </w:rPr>
        <w:t>سید</w:t>
      </w:r>
      <w:r>
        <w:rPr>
          <w:rtl/>
        </w:rPr>
        <w:t xml:space="preserve">حسینی‌نیا (۱۴۰۳) در تبیین مدل تاب‌آوری کسب‌وکارهای کوچک و متوسط ایرانی دریافتند که عوامل راهبردی، منابع اقتصادی، </w:t>
      </w:r>
      <w:r>
        <w:rPr>
          <w:rtl/>
        </w:rPr>
        <w:t xml:space="preserve">منابع انسانی، ویژگی‌های مدیریتی و توان تحقیق و توسعه، مهم‌ترین عوامل مؤثر بر تاب‌آوری این بنگاه‌ها هستند و عواملی بیرونی مانند تحریم و ثبات سیاسی در گروه عوامل علّی جای می‌گیرند</w:t>
      </w:r>
      <w:r>
        <w:rPr>
          <w:rtl/>
        </w:rPr>
        <w:t xml:space="preserve">؛ یافته‌ای که ضرورت توجه هم‌زمان به منابع درونی و فشارهای بیرونی را در تحلیل آسیب‌پذیری بنگاه تک‌محصولی تأیید می‌کند.</w:t>
      </w:r>
    </w:p>
    <w:p>
      <w:pPr>
        <w:bidi/>
        <w:spacing w:after="80" w:line="276" w:lineRule="auto"/>
        <w:ind w:firstLine="720"/>
        <w:jc w:val="both"/>
      </w:pPr>
      <w:r>
        <w:rPr>
          <w:rtl/>
        </w:rPr>
        <w:t>در لایه سوم، آسیب‌پذیری تک‌محصولی اغلب با تمرکز جغرافیایی نیز همراه است؛ بسیاری از بنگاه‌های کوچک تک‌محصولی، فروش خود را در یک یا چند بازار محلی محدود متمرکز می‌کنند. مامن و همکاران (۲۰۲۱)</w:t>
      </w:r>
      <w:r>
        <w:rPr>
          <w:rStyle w:val="FootnoteReference"/>
        </w:rPr>
        <w:footnoteReference w:id="57"/>
      </w:r>
      <w:r>
        <w:rPr>
          <w:rtl/>
        </w:rPr>
        <w:t xml:space="preserve"> </w:t>
      </w:r>
      <w:r>
        <w:rPr>
          <w:rtl/>
        </w:rPr>
        <w:t xml:space="preserve">با تفکیک دو نوع تنوع محصولی و جغرافیایی نشان دادند که تنوع جغرافیایی، برخلاف تنوع محصولی، ریسک بنگاه را افزایش می‌دهد؛ از این رو گسترش جغرافیایی نیز راه‌حل بی‌هزینه‌ای نیست و باید با احتیاط ارزیابی شود. بنگاه تک‌محصولی با تمرکز جغرافیایی، در برابر یک رکود موضعی یا تغییر رفتار خریداران یک منطقه خاص بی‌پناه‌تر است</w:t>
      </w:r>
      <w:r>
        <w:rPr>
          <w:rtl/>
        </w:rPr>
        <w:t xml:space="preserve">. این آسیب‌پذیری، ذاتی و تغییرناپذیر نیست، بلکه تابع تصمیمات مدیریتی نیز هست؛ بنگاهی که آگاهانه برای نوسانات محتمل برنامه‌ریزی می‌کند </w:t>
      </w:r>
      <w:r>
        <w:rPr>
          <w:rFonts/>
          <w:rtl/>
        </w:rPr>
        <w:t>از</w:t>
      </w:r>
      <w:r>
        <w:rPr>
          <w:rtl/>
        </w:rPr>
        <w:t xml:space="preserve"> </w:t>
      </w:r>
      <w:r>
        <w:rPr>
          <w:rFonts/>
          <w:rtl/>
        </w:rPr>
        <w:t>طریق</w:t>
      </w:r>
      <w:r>
        <w:rPr>
          <w:rtl/>
        </w:rPr>
        <w:t xml:space="preserve"> </w:t>
      </w:r>
      <w:r>
        <w:rPr>
          <w:rFonts/>
          <w:rtl/>
        </w:rPr>
        <w:t>ذخیره</w:t>
      </w:r>
      <w:r>
        <w:rPr>
          <w:rtl/>
        </w:rPr>
        <w:t xml:space="preserve"> </w:t>
      </w:r>
      <w:r>
        <w:rPr>
          <w:rFonts/>
          <w:rtl/>
        </w:rPr>
        <w:t>احتیاطی</w:t>
      </w:r>
      <w:r>
        <w:rPr>
          <w:rtl/>
        </w:rPr>
        <w:t xml:space="preserve"> </w:t>
      </w:r>
      <w:r>
        <w:rPr>
          <w:rFonts/>
          <w:rtl/>
        </w:rPr>
        <w:t>نقدینگی،</w:t>
      </w:r>
      <w:r>
        <w:rPr>
          <w:rtl/>
        </w:rPr>
        <w:t xml:space="preserve"> </w:t>
      </w:r>
      <w:r>
        <w:rPr>
          <w:rFonts/>
          <w:rtl/>
        </w:rPr>
        <w:t>تنوع‌بخشی</w:t>
      </w:r>
      <w:r>
        <w:rPr>
          <w:rtl/>
        </w:rPr>
        <w:t xml:space="preserve"> </w:t>
      </w:r>
      <w:r>
        <w:rPr>
          <w:rFonts/>
          <w:rtl/>
        </w:rPr>
        <w:t>تدریجی</w:t>
      </w:r>
      <w:r>
        <w:rPr>
          <w:rtl/>
        </w:rPr>
        <w:t xml:space="preserve"> </w:t>
      </w:r>
      <w:r>
        <w:rPr>
          <w:rFonts/>
          <w:rtl/>
        </w:rPr>
        <w:t>به</w:t>
      </w:r>
      <w:r>
        <w:rPr>
          <w:rtl/>
        </w:rPr>
        <w:t xml:space="preserve"> </w:t>
      </w:r>
      <w:r>
        <w:rPr>
          <w:rFonts/>
          <w:rtl/>
        </w:rPr>
        <w:t>کانال‌های</w:t>
      </w:r>
      <w:r>
        <w:rPr>
          <w:rtl/>
        </w:rPr>
        <w:t xml:space="preserve"> </w:t>
      </w:r>
      <w:r>
        <w:rPr>
          <w:rFonts/>
          <w:rtl/>
        </w:rPr>
        <w:t>فروش،</w:t>
      </w:r>
      <w:r>
        <w:rPr>
          <w:rtl/>
        </w:rPr>
        <w:t xml:space="preserve"> </w:t>
      </w:r>
      <w:r>
        <w:rPr>
          <w:rFonts/>
          <w:rtl/>
        </w:rPr>
        <w:t>یا</w:t>
      </w:r>
      <w:r>
        <w:rPr>
          <w:rtl/>
        </w:rPr>
        <w:t xml:space="preserve"> </w:t>
      </w:r>
      <w:r>
        <w:rPr>
          <w:rFonts/>
          <w:rtl/>
        </w:rPr>
        <w:t>ایجاد</w:t>
      </w:r>
      <w:r>
        <w:rPr>
          <w:rtl/>
        </w:rPr>
        <w:t xml:space="preserve"> </w:t>
      </w:r>
      <w:r>
        <w:rPr>
          <w:rFonts/>
          <w:rtl/>
        </w:rPr>
        <w:t>روابط</w:t>
      </w:r>
      <w:r>
        <w:rPr>
          <w:rtl/>
        </w:rPr>
        <w:t xml:space="preserve"> </w:t>
      </w:r>
      <w:r>
        <w:rPr>
          <w:rFonts/>
          <w:rtl/>
        </w:rPr>
        <w:t>بلندمدت</w:t>
      </w:r>
      <w:r>
        <w:rPr>
          <w:rtl/>
        </w:rPr>
        <w:t xml:space="preserve"> </w:t>
      </w:r>
      <w:r>
        <w:rPr>
          <w:rFonts/>
          <w:rtl/>
        </w:rPr>
        <w:t>با</w:t>
      </w:r>
      <w:r>
        <w:rPr>
          <w:rtl/>
        </w:rPr>
        <w:t xml:space="preserve"> </w:t>
      </w:r>
      <w:r>
        <w:rPr>
          <w:rFonts/>
          <w:rtl/>
        </w:rPr>
        <w:t>چند</w:t>
      </w:r>
      <w:r>
        <w:rPr>
          <w:rtl/>
        </w:rPr>
        <w:t xml:space="preserve"> </w:t>
      </w:r>
      <w:r>
        <w:rPr>
          <w:rFonts/>
          <w:rtl/>
        </w:rPr>
        <w:t>تأمین‌کننده</w:t>
      </w:r>
      <w:r>
        <w:rPr>
          <w:rtl/>
        </w:rPr>
        <w:t xml:space="preserve"> </w:t>
      </w:r>
      <w:r>
        <w:rPr>
          <w:rFonts/>
          <w:rtl/>
        </w:rPr>
        <w:t>ب</w:t>
      </w:r>
      <w:r>
        <w:rPr>
          <w:rtl/>
        </w:rPr>
        <w:t xml:space="preserve">ه‌جای یک تأمین‌کننده واحد </w:t>
      </w:r>
      <w:r>
        <w:rPr>
          <w:rFonts/>
          <w:rtl/>
        </w:rPr>
        <w:t>می‌تواند</w:t>
      </w:r>
      <w:r>
        <w:rPr>
          <w:rtl/>
        </w:rPr>
        <w:t xml:space="preserve"> </w:t>
      </w:r>
      <w:r>
        <w:rPr>
          <w:rFonts/>
          <w:rtl/>
        </w:rPr>
        <w:t>بخشی</w:t>
      </w:r>
      <w:r>
        <w:rPr>
          <w:rtl/>
        </w:rPr>
        <w:t xml:space="preserve"> </w:t>
      </w:r>
      <w:r>
        <w:rPr>
          <w:rFonts/>
          <w:rtl/>
        </w:rPr>
        <w:t>از</w:t>
      </w:r>
      <w:r>
        <w:rPr>
          <w:rtl/>
        </w:rPr>
        <w:t xml:space="preserve"> </w:t>
      </w:r>
      <w:r>
        <w:rPr>
          <w:rFonts/>
          <w:rtl/>
        </w:rPr>
        <w:t>این</w:t>
      </w:r>
      <w:r>
        <w:rPr>
          <w:rtl/>
        </w:rPr>
        <w:t xml:space="preserve"> </w:t>
      </w:r>
      <w:r>
        <w:rPr>
          <w:rFonts/>
          <w:rtl/>
        </w:rPr>
        <w:t>آسیب‌پذیری</w:t>
      </w:r>
      <w:r>
        <w:rPr>
          <w:rtl/>
        </w:rPr>
        <w:t xml:space="preserve"> </w:t>
      </w:r>
      <w:r>
        <w:rPr>
          <w:rFonts/>
          <w:rtl/>
        </w:rPr>
        <w:t>ساختاری</w:t>
      </w:r>
      <w:r>
        <w:rPr>
          <w:rtl/>
        </w:rPr>
        <w:t xml:space="preserve"> </w:t>
      </w:r>
      <w:r>
        <w:rPr>
          <w:rFonts/>
          <w:rtl/>
        </w:rPr>
        <w:t>را</w:t>
      </w:r>
      <w:r>
        <w:rPr>
          <w:rtl/>
        </w:rPr>
        <w:t xml:space="preserve"> </w:t>
      </w:r>
      <w:r>
        <w:rPr>
          <w:rFonts/>
          <w:rtl/>
        </w:rPr>
        <w:t>مدیریت</w:t>
      </w:r>
      <w:r>
        <w:rPr>
          <w:rtl/>
        </w:rPr>
        <w:t xml:space="preserve"> </w:t>
      </w:r>
      <w:r>
        <w:rPr>
          <w:rFonts/>
          <w:rtl/>
        </w:rPr>
        <w:t>کند،</w:t>
      </w:r>
      <w:r>
        <w:rPr>
          <w:rtl/>
        </w:rPr>
        <w:t xml:space="preserve"> </w:t>
      </w:r>
      <w:r>
        <w:rPr>
          <w:rFonts/>
          <w:rtl/>
        </w:rPr>
        <w:t>حتی</w:t>
      </w:r>
      <w:r>
        <w:rPr>
          <w:rtl/>
        </w:rPr>
        <w:t xml:space="preserve"> </w:t>
      </w:r>
      <w:r>
        <w:rPr>
          <w:rFonts/>
          <w:rtl/>
        </w:rPr>
        <w:t>اگر</w:t>
      </w:r>
      <w:r>
        <w:rPr>
          <w:rtl/>
        </w:rPr>
        <w:t xml:space="preserve"> </w:t>
      </w:r>
      <w:r>
        <w:rPr>
          <w:rFonts/>
          <w:rtl/>
        </w:rPr>
        <w:t>نتواند</w:t>
      </w:r>
      <w:r>
        <w:rPr>
          <w:rtl/>
        </w:rPr>
        <w:t xml:space="preserve"> </w:t>
      </w:r>
      <w:r>
        <w:rPr>
          <w:rFonts/>
          <w:rtl/>
        </w:rPr>
        <w:t>آن</w:t>
      </w:r>
      <w:r>
        <w:rPr>
          <w:rtl/>
        </w:rPr>
        <w:t xml:space="preserve"> </w:t>
      </w:r>
      <w:r>
        <w:rPr>
          <w:rFonts/>
          <w:rtl/>
        </w:rPr>
        <w:t>را</w:t>
      </w:r>
      <w:r>
        <w:rPr>
          <w:rtl/>
        </w:rPr>
        <w:t xml:space="preserve"> </w:t>
      </w:r>
      <w:r>
        <w:rPr>
          <w:rFonts/>
          <w:rtl/>
        </w:rPr>
        <w:t>به‌طور</w:t>
      </w:r>
      <w:r>
        <w:rPr>
          <w:rtl/>
        </w:rPr>
        <w:t xml:space="preserve"> </w:t>
      </w:r>
      <w:r>
        <w:rPr>
          <w:rFonts/>
          <w:rtl/>
        </w:rPr>
        <w:t>کامل</w:t>
      </w:r>
      <w:r>
        <w:rPr>
          <w:rtl/>
        </w:rPr>
        <w:t xml:space="preserve"> </w:t>
      </w:r>
      <w:r>
        <w:rPr>
          <w:rFonts/>
          <w:rtl/>
        </w:rPr>
        <w:t>حذف</w:t>
      </w:r>
      <w:r>
        <w:rPr>
          <w:rtl/>
        </w:rPr>
        <w:t xml:space="preserve"> </w:t>
      </w:r>
      <w:r>
        <w:rPr>
          <w:rFonts/>
          <w:rtl/>
        </w:rPr>
        <w:t>نماید</w:t>
      </w:r>
      <w:r>
        <w:rPr>
          <w:rtl/>
        </w:rPr>
        <w:t>.</w:t>
      </w:r>
    </w:p>
    <w:p>
      <w:pPr>
        <w:bidi/>
        <w:spacing w:after="80" w:line="276" w:lineRule="auto"/>
        <w:ind w:firstLine="720"/>
        <w:jc w:val="both"/>
      </w:pPr>
      <w:r>
        <w:rPr>
          <w:rtl/>
        </w:rPr>
        <w:t>جمع‌بندی این چهار زیربخش آن است که شرکت تک‌محصولی، در ادبیات مدیریت استراتژیک، نه یک استثنا بلکه قطب شناخته‌شده‌ای در طیف تمرکز-تنوع است. آرته و لاریمو (۲۰۲۲)</w:t>
      </w:r>
      <w:r>
        <w:rPr>
          <w:rStyle w:val="FootnoteReference"/>
        </w:rPr>
        <w:footnoteReference w:id="58"/>
      </w:r>
      <w:r>
        <w:rPr>
          <w:rtl/>
        </w:rPr>
        <w:t xml:space="preserve"> </w:t>
      </w:r>
      <w:r>
        <w:rPr>
          <w:rtl/>
        </w:rPr>
        <w:t xml:space="preserve">با پوشش نیم‌قرن پژوهش تجربی، پیامدهای موقعیت یک بنگاه در این طیف را برای عملکرد آن، و مامن و همکاران (۲۰۲۱)</w:t>
      </w:r>
      <w:r>
        <w:rPr>
          <w:rStyle w:val="FootnoteReference"/>
        </w:rPr>
        <w:footnoteReference w:id="59"/>
      </w:r>
      <w:r>
        <w:rPr>
          <w:rtl/>
        </w:rPr>
        <w:t xml:space="preserve"> برای ریسک آن، نشان داده‌اند</w:t>
      </w:r>
      <w:r>
        <w:rPr>
          <w:rtl/>
        </w:rPr>
        <w:t xml:space="preserve">. بخش بعدی این فصل، این تبیین نظری عمومی را به بستر مشخص صنعت مواد غذایی پیوند می‌دهد.</w:t>
      </w:r>
    </w:p>
    <w:p>
      <w:pPr>
        <w:pStyle w:val="Heading3"/>
        <w:keepNext/>
        <w:bidi/>
        <w:spacing w:before="180" w:after="80"/>
      </w:pPr>
      <w:bookmarkStart w:id="21" w:name="_Toc200000021"/>
      <w:r>
        <w:t>۲ـ۲ـ۵ ویژگی‌های صنعت مواد غذایی و عوامل خاص اثرگذار بر فروش</w:t>
      </w:r>
      <w:bookmarkEnd w:id="21"/>
    </w:p>
    <w:p>
      <w:pPr>
        <w:bidi/>
        <w:spacing w:after="80" w:line="276" w:lineRule="auto"/>
        <w:ind w:firstLine="720"/>
        <w:jc w:val="both"/>
      </w:pPr>
      <w:r>
        <w:rPr>
          <w:rtl/>
        </w:rPr>
        <w:t xml:space="preserve">اگر بخش‌های پیشین این فصل چارچوبی عمومی برای تحلیل چالش‌های فروش بنگاه تک‌محصولی ارائه دادند، این بخش همان چارچوب را در بستر صنعتی مشخص </w:t>
      </w:r>
      <w:r>
        <w:rPr>
          <w:rFonts/>
          <w:rtl/>
        </w:rPr>
        <w:t>یعنی</w:t>
      </w:r>
      <w:r>
        <w:rPr>
          <w:rtl/>
        </w:rPr>
        <w:t xml:space="preserve"> </w:t>
      </w:r>
      <w:r>
        <w:rPr>
          <w:rFonts/>
          <w:rtl/>
        </w:rPr>
        <w:t>صنعت</w:t>
      </w:r>
      <w:r>
        <w:rPr>
          <w:rtl/>
        </w:rPr>
        <w:t xml:space="preserve"> </w:t>
      </w:r>
      <w:r>
        <w:rPr>
          <w:rFonts/>
          <w:rtl/>
        </w:rPr>
        <w:t>مواد</w:t>
      </w:r>
      <w:r>
        <w:rPr>
          <w:rtl/>
        </w:rPr>
        <w:t xml:space="preserve"> </w:t>
      </w:r>
      <w:r>
        <w:rPr>
          <w:rFonts/>
          <w:rtl/>
        </w:rPr>
        <w:t>غذایی</w:t>
      </w:r>
      <w:r>
        <w:rPr>
          <w:rtl/>
        </w:rPr>
        <w:t xml:space="preserve"> </w:t>
      </w:r>
      <w:r>
        <w:rPr>
          <w:rFonts/>
          <w:rtl/>
        </w:rPr>
        <w:t>قرار</w:t>
      </w:r>
      <w:r>
        <w:rPr>
          <w:rtl/>
        </w:rPr>
        <w:t xml:space="preserve"> </w:t>
      </w:r>
      <w:r>
        <w:rPr>
          <w:rFonts/>
          <w:rtl/>
        </w:rPr>
        <w:t>می‌دهد</w:t>
      </w:r>
      <w:r>
        <w:rPr>
          <w:rtl/>
        </w:rPr>
        <w:t xml:space="preserve">. </w:t>
      </w:r>
      <w:r>
        <w:rPr>
          <w:rFonts/>
          <w:rtl/>
        </w:rPr>
        <w:t>سینگ</w:t>
      </w:r>
      <w:r>
        <w:rPr>
          <w:rtl/>
        </w:rPr>
        <w:t xml:space="preserve"> </w:t>
      </w:r>
      <w:r>
        <w:rPr>
          <w:rFonts/>
          <w:rtl/>
        </w:rPr>
        <w:t>و</w:t>
      </w:r>
      <w:r>
        <w:rPr>
          <w:rtl/>
        </w:rPr>
        <w:t xml:space="preserve"> </w:t>
      </w:r>
      <w:r>
        <w:rPr>
          <w:rFonts/>
          <w:rtl/>
        </w:rPr>
        <w:t>همکاران</w:t>
      </w:r>
      <w:r>
        <w:rPr>
          <w:rtl/>
        </w:rPr>
        <w:t xml:space="preserve"> (</w:t>
      </w:r>
      <w:r>
        <w:rPr>
          <w:rFonts/>
          <w:rtl/>
        </w:rPr>
        <w:t>۲۰۲۲</w:t>
      </w:r>
      <w:r>
        <w:rPr>
          <w:rtl/>
        </w:rPr>
        <w:t>)</w:t>
      </w:r>
      <w:r>
        <w:rPr>
          <w:rStyle w:val="FootnoteReference"/>
        </w:rPr>
        <w:footnoteReference w:id="60"/>
      </w:r>
      <w:r>
        <w:rPr>
          <w:rtl/>
        </w:rPr>
        <w:t xml:space="preserve"> در مطالعه خود بر صنعت فرآوری مواد غذایی هند، </w:t>
      </w:r>
      <w:r>
        <w:rPr>
          <w:rtl/>
        </w:rPr>
        <w:t xml:space="preserve">با روش دلفی و تحلیل سلسله‌مراتبی، موانع رشد این صنعت را شناسایی و اولویت‌بندی کردند. به پیروی از این رویکرد، این بخش موانع عمومی مدیریت کسب‌وکار را در بستر ویژگی‌های خاص این صنعت، از جمله فسادپذیری و وابستگی فصلی، که شدت آن‌ها را افزایش می‌دهد، بررسی می‌کند</w:t>
      </w:r>
      <w:r>
        <w:rPr>
          <w:rtl/>
        </w:rPr>
        <w:t>.</w:t>
      </w:r>
    </w:p>
    <w:p>
      <w:pPr>
        <w:bidi/>
        <w:spacing w:after="80" w:line="276" w:lineRule="auto"/>
        <w:ind w:firstLine="720"/>
        <w:jc w:val="both"/>
      </w:pPr>
      <w:r>
        <w:rPr>
          <w:rtl/>
        </w:rPr>
        <w:t>صنعت مواد غذایی از جمله صنایعی است که ارتباط مستقیمی با نیازهای اساسی و روزمره جامعه دارد و همین ویژگی، الگوی تقاضا، رفتار مصرف‌کننده و چالش‌های فروش را در این صنعت از صنایع دیگر متمایز می‌کند. مانگلا و همکاران (۲۰۲۱)</w:t>
      </w:r>
      <w:r>
        <w:rPr>
          <w:rStyle w:val="FootnoteReference"/>
        </w:rPr>
        <w:footnoteReference w:id="61"/>
      </w:r>
      <w:r>
        <w:rPr>
          <w:rtl/>
        </w:rPr>
        <w:t xml:space="preserve"> </w:t>
      </w:r>
      <w:r>
        <w:rPr>
          <w:rtl/>
        </w:rPr>
        <w:t xml:space="preserve">در بررسی چالش‌های ابتکارات ایمنی مواد غذایی در یک اقتصاد نوظهور نشان دادند که چالش‌های سازمانی، سیاست‌گذاری و دولتی، جهانی، دانشی و مالی بر یکدیگر اثر می‌گذارند؛ بر این پایه می‌توان گفت الزامات نظارتی و محدودیت منابع مالی و دانشی، هم‌زمان بنگاه‌های این صنعت را تحت فشار قرار می‌دهند</w:t>
      </w:r>
      <w:r>
        <w:rPr>
          <w:rtl/>
        </w:rPr>
        <w:t xml:space="preserve">.</w:t>
      </w:r>
    </w:p>
    <w:p>
      <w:pPr>
        <w:bidi/>
        <w:spacing w:after="80" w:line="276" w:lineRule="auto"/>
        <w:ind w:firstLine="720"/>
        <w:jc w:val="both"/>
      </w:pPr>
      <w:r>
        <w:rPr>
          <w:rtl/>
        </w:rPr>
        <w:t xml:space="preserve">وابستگی صنعت مواد غذایی به منابع کشاورزی، لایه دیگری از پیچیدگی را به فرایند فروش اضافه می‌کند. </w:t>
      </w:r>
      <w:r>
        <w:rPr>
          <w:rtl/>
        </w:rPr>
        <w:t xml:space="preserve">نوسان</w:t>
      </w:r>
      <w:r>
        <w:rPr>
          <w:rtl/>
        </w:rPr>
        <w:t xml:space="preserve"> فصلی عرضه، اثر تغییرات اقلیمی بر کمیت و کیفیت مواد اولیه، و وابستگی به واردات برای برخی اقلام، همگی می‌توانند زنجیره تأمین را مختل و توانایی بنگاه در انجام تعهدات فروش را محدود کنند.</w:t>
      </w:r>
    </w:p>
    <w:p>
      <w:pPr>
        <w:bidi/>
        <w:spacing w:after="80" w:line="276" w:lineRule="auto"/>
        <w:ind w:firstLine="720"/>
        <w:jc w:val="both"/>
      </w:pPr>
      <w:r>
        <w:rPr>
          <w:rtl/>
        </w:rPr>
        <w:t>ناآشنایی مصرف‌کننده با محصولات کمتر‌شناخته‌شده، لایه دیگری از ویژگی خاص این صنعت است. شاه و همکاران (۲۰۲۳)</w:t>
      </w:r>
      <w:r>
        <w:rPr>
          <w:rStyle w:val="FootnoteReference"/>
        </w:rPr>
        <w:footnoteReference w:id="62"/>
      </w:r>
      <w:r>
        <w:rPr>
          <w:rtl/>
        </w:rPr>
        <w:t xml:space="preserve"> </w:t>
      </w:r>
      <w:r>
        <w:rPr>
          <w:rtl/>
        </w:rPr>
        <w:t xml:space="preserve">در مطالعه کارآفرینان ارزن نشان دادند که ناآشنایی مصرف‌کننده با محصول و دشواری آماده‌سازی آن از موانع کارآفرینی غذایی‌اند، در حالی که بازگشت مردم به سنت‌های غذایی یکی از فرصت‌های این حوزه است. بر این پایه می‌توان گفت در صنعت مواد غذایی، سنت و عادت مصرف می‌تواند هم مانع و هم فرصت باشد: محصولات جدید یا کمتر‌شناخته‌شده با مانعی ادراکی روبه‌رو می‌شوند که در صنایع دیگر کمتر دیده می‌شود</w:t>
      </w:r>
      <w:r>
        <w:rPr>
          <w:rtl/>
        </w:rPr>
        <w:t xml:space="preserve">. این مانع، برای بنگاه تک‌محصولی که تمام فروش خود را بر همان یک محصول کمتر‌شناخته‌شده متکی کرده، می‌تواند به‌ویژه تعیین‌کننده باشد.</w:t>
      </w:r>
    </w:p>
    <w:p>
      <w:pPr>
        <w:bidi/>
        <w:spacing w:after="80" w:line="276" w:lineRule="auto"/>
        <w:ind w:firstLine="720"/>
        <w:jc w:val="both"/>
      </w:pPr>
      <w:r>
        <w:rPr>
          <w:rtl/>
        </w:rPr>
        <w:t xml:space="preserve">الزامات نظارتی و استانداردهای بهداشتی نیز از ویژگی‌های خاص این صنعت است. رعایت استانداردهای بهداشتی، محصولات را از بازار خارج می‌کند یا بازده تولید را کاهش می‌دهد. برای بنگاه تک‌محصولی این خطر، چون در یک قلم متمرکز است، می‌تواند به قطع کامل درآمد بینجامد. </w:t>
      </w:r>
      <w:r>
        <w:rPr>
          <w:rtl/>
        </w:rPr>
        <w:t xml:space="preserve">صفری و اسماعیل‌نژاد (۱۴۰۳) در بررسی موانع فروش محصولات سبز، شکاف میان نگرش مثبت مصرف‌کننده و رفتار خرید واقعی او را نقطه آغاز تحلیل خود قرار داده‌اند؛ این شکاف در صنعتی مانند مواد غذایی که مصرف‌کننده نسبت به قیمت و کیفیت حساس است، اهمیت ویژه‌ای می‌یابد</w:t>
      </w:r>
      <w:r>
        <w:rPr>
          <w:rtl/>
        </w:rPr>
        <w:t xml:space="preserve">. مجموع این ویژگی‌ها نشان می‌دهد که فروش در صنعت مواد غذایی از پیچیدگی ویژه‌ای برخوردار است و آنچه در صنایع دیگر چالش معمول فروش است، در این صنعت شدت بیشتری می‌یابد؛ برای بنگاه تک‌محصولی، این شدت از طریق برهم‌کنش ویژگی‌های صنعت با ساختار متمرکز سبد محصول دوچندان می‌شود.</w:t>
      </w:r>
    </w:p>
    <w:p>
      <w:pPr>
        <w:bidi/>
        <w:spacing w:after="80" w:line="276" w:lineRule="auto"/>
        <w:ind w:firstLine="720"/>
        <w:jc w:val="both"/>
      </w:pPr>
      <w:r>
        <w:rPr>
          <w:rtl/>
        </w:rPr>
        <w:t xml:space="preserve">ساختار صنعت مواد غذایی ایران نیز بر همین الگو استوار است.</w:t>
      </w:r>
      <w:r>
        <w:rPr>
          <w:rtl/>
        </w:rPr>
        <w:t xml:space="preserve"> این صنعت، برخلاف بسیاری از صنایع بزرگ‌مقیاس، عمدتاً از بنگاه‌های کوچک و متوسط تشکیل شده و سهم قابل‌توجهی از اشتغال بخش صنعت کشور را در بر می‌گیرد.</w:t>
      </w:r>
      <w:r>
        <w:rPr>
          <w:rtl/>
        </w:rPr>
        <w:t xml:space="preserve"> این ترکیب ساختاری به این معناست که یافته‌های نظری مربوط به آسیب‌پذیری بنگاه تک‌محصولی، نه یک بحث انتزاعی، بلکه توصیف مستقیم وضعیت شمار بزرگی از بنگاه‌های فعال در این صنعت است.</w:t>
      </w:r>
      <w:r>
        <w:rPr>
          <w:rtl/>
        </w:rPr>
        <w:t xml:space="preserve"> از منظر جایگاه در تجارت جهانی نیز، قلی‌پور و همکاران (۱۴۰۳) در بررسی فرصت‌ها و چالش‌های تجارت محصولات غذایی ایران به بازار عمان نشان داده‌اند که ایران در ابتدای زنجیره ارزش این صنعت قرار دارد، فاقد تمایز محصول، صرفه‌های مقیاس و مزیت رقابتی کافی است و میان تجارت واقعی و ظرفیت بالقوه آن شکاف زیادی وجود دارد.</w:t>
      </w:r>
    </w:p>
    <w:p>
      <w:pPr>
        <w:bidi/>
        <w:spacing w:after="80" w:line="276" w:lineRule="auto"/>
        <w:ind w:firstLine="720"/>
        <w:jc w:val="both"/>
      </w:pPr>
      <w:r>
        <w:rPr>
          <w:rtl/>
        </w:rPr>
        <w:t>چرخه فصلی تقاضا نیز از ویژگی‌های مشخص این صنعت است که کمتر مورد توجه قرار می‌گیرد. سینگ و همکاران (۲۰۲۲)</w:t>
      </w:r>
      <w:r>
        <w:rPr>
          <w:rStyle w:val="FootnoteReference"/>
        </w:rPr>
        <w:footnoteReference w:id="63"/>
      </w:r>
      <w:r>
        <w:rPr>
          <w:rtl/>
        </w:rPr>
        <w:t xml:space="preserve"> </w:t>
      </w:r>
      <w:r>
        <w:rPr>
          <w:rtl/>
        </w:rPr>
        <w:t xml:space="preserve">وابستگی به کشاورزی بارانی (دیم) را یکی از موانع اصلی رشد صنعت فرآوری مواد غذایی هند برشمردند؛ وضعیتی که عرضه نهاده‌ها را تابع شرایط جوی و فصل می‌کند</w:t>
      </w:r>
      <w:r>
        <w:rPr>
          <w:rtl/>
        </w:rPr>
        <w:t xml:space="preserve">. بسیاری از محصولات غذایی، به دلیل پیوند با الگوهای فرهنگی، مناسبتی یا فصلی مصرف، در برخی بازه‌های سال با جهش تقاضا و در بازه‌های دیگر با رکود نسبی روبه‌رو می‌شوند. بنگاه چندمحصولی می‌تواند با ترکیب محصولاتی با الگوی فصلی متفاوت، این نوسان را در سطح کل بنگاه تعدیل کند؛ اما بنگاه تک‌محصولی چنین امکانی ندارد و باید نوسان فصلی تقاضای همان یک محصول را به‌طور کامل تحمل کند.</w:t>
      </w:r>
    </w:p>
    <w:p>
      <w:pPr>
        <w:bidi/>
        <w:spacing w:after="80" w:line="276" w:lineRule="auto"/>
        <w:ind w:firstLine="720"/>
        <w:jc w:val="both"/>
      </w:pPr>
      <w:r>
        <w:rPr>
          <w:rtl/>
        </w:rPr>
        <w:t>ماندگاری محدود بسیاری از محصولات غذایی، آخرین ویژگی خاص این صنعت است که در این بخش بررسی می‌شود. سینگ و همکاران (۲۰۲۲)</w:t>
      </w:r>
      <w:r>
        <w:rPr>
          <w:rStyle w:val="FootnoteReference"/>
        </w:rPr>
        <w:footnoteReference w:id="64"/>
      </w:r>
      <w:r>
        <w:rPr>
          <w:rtl/>
        </w:rPr>
        <w:t xml:space="preserve"> </w:t>
      </w:r>
      <w:r>
        <w:rPr>
          <w:rtl/>
        </w:rPr>
        <w:t xml:space="preserve">هزینه بالای زنجیره سرد را یکی از موانع اصلی رشد صنعت فرآوری مواد غذایی هند دانستند؛ هزینه‌ای که به ماندگاری محدود بسیاری از محصولات غذایی پیوند می‌خورد</w:t>
      </w:r>
      <w:r>
        <w:rPr>
          <w:rtl/>
        </w:rPr>
        <w:t xml:space="preserve">. برخلاف بسیاری از کالاهای بادوام، محصول غذایی فروخته‌نشده پس از گذشت زمانی مشخص، ارزش اقتصادی خود را به‌طور کامل از دست می‌دهد. این ویژگی، فشار مضاعفی بر مدیریت موجودی و پیش‌بینی دقیق تقاضا وارد می‌کند؛ زیرا خطای پیش‌بینی در این صنعت، برخلاف صنایعی با </w:t>
      </w:r>
      <w:r>
        <w:rPr>
          <w:rtl/>
        </w:rPr>
        <w:t>محصول بادوام، قابل جبران در دوره‌های بعدی نیست. برای بنگاه تک‌محصولی، این فشار بر تنها خط تولید آن متمرکز می‌شود و گزینه‌ای برای جبران زیان یک محصول با فروش محصول دیگر وجود ندارد.</w:t>
      </w:r>
    </w:p>
    <w:p>
      <w:pPr>
        <w:bidi/>
        <w:spacing w:after="80" w:line="276" w:lineRule="auto"/>
        <w:ind w:firstLine="720"/>
        <w:jc w:val="both"/>
      </w:pPr>
      <w:r>
        <w:rPr>
          <w:rtl/>
        </w:rPr>
        <w:t xml:space="preserve">مجموع این ویژگی‌های صنعتی </w:t>
      </w:r>
      <w:r>
        <w:rPr>
          <w:rFonts/>
          <w:rtl/>
        </w:rPr>
        <w:t>وابستگی</w:t>
      </w:r>
      <w:r>
        <w:rPr>
          <w:rtl/>
        </w:rPr>
        <w:t xml:space="preserve"> </w:t>
      </w:r>
      <w:r>
        <w:rPr>
          <w:rFonts/>
          <w:rtl/>
        </w:rPr>
        <w:t>به</w:t>
      </w:r>
      <w:r>
        <w:rPr>
          <w:rtl/>
        </w:rPr>
        <w:t xml:space="preserve"> </w:t>
      </w:r>
      <w:r>
        <w:rPr>
          <w:rFonts/>
          <w:rtl/>
        </w:rPr>
        <w:t>کشاورزی،</w:t>
      </w:r>
      <w:r>
        <w:rPr>
          <w:rtl/>
        </w:rPr>
        <w:t xml:space="preserve"> </w:t>
      </w:r>
      <w:r>
        <w:rPr>
          <w:rFonts/>
          <w:rtl/>
        </w:rPr>
        <w:t>الزامات</w:t>
      </w:r>
      <w:r>
        <w:rPr>
          <w:rtl/>
        </w:rPr>
        <w:t xml:space="preserve"> </w:t>
      </w:r>
      <w:r>
        <w:rPr>
          <w:rFonts/>
          <w:rtl/>
        </w:rPr>
        <w:t>نظارتی،</w:t>
      </w:r>
      <w:r>
        <w:rPr>
          <w:rtl/>
        </w:rPr>
        <w:t xml:space="preserve"> </w:t>
      </w:r>
      <w:r>
        <w:rPr>
          <w:rFonts/>
          <w:rtl/>
        </w:rPr>
        <w:t>تغییر</w:t>
      </w:r>
      <w:r>
        <w:rPr>
          <w:rtl/>
        </w:rPr>
        <w:t xml:space="preserve"> </w:t>
      </w:r>
      <w:r>
        <w:rPr>
          <w:rFonts/>
          <w:rtl/>
        </w:rPr>
        <w:t>سریع</w:t>
      </w:r>
      <w:r>
        <w:rPr>
          <w:rtl/>
        </w:rPr>
        <w:t xml:space="preserve"> </w:t>
      </w:r>
      <w:r>
        <w:rPr>
          <w:rFonts/>
          <w:rtl/>
        </w:rPr>
        <w:t>ترجیحات،</w:t>
      </w:r>
      <w:r>
        <w:rPr>
          <w:rtl/>
        </w:rPr>
        <w:t xml:space="preserve"> </w:t>
      </w:r>
      <w:r>
        <w:rPr>
          <w:rFonts/>
          <w:rtl/>
        </w:rPr>
        <w:t>نوسان</w:t>
      </w:r>
      <w:r>
        <w:rPr>
          <w:rtl/>
        </w:rPr>
        <w:t xml:space="preserve"> </w:t>
      </w:r>
      <w:r>
        <w:rPr>
          <w:rFonts/>
          <w:rtl/>
        </w:rPr>
        <w:t>فصلی</w:t>
      </w:r>
      <w:r>
        <w:rPr>
          <w:rtl/>
        </w:rPr>
        <w:t xml:space="preserve"> </w:t>
      </w:r>
      <w:r>
        <w:rPr>
          <w:rFonts/>
          <w:rtl/>
        </w:rPr>
        <w:t>و</w:t>
      </w:r>
      <w:r>
        <w:rPr>
          <w:rtl/>
        </w:rPr>
        <w:t xml:space="preserve"> </w:t>
      </w:r>
      <w:r>
        <w:rPr>
          <w:rFonts/>
          <w:rtl/>
        </w:rPr>
        <w:t>ماندگاری</w:t>
      </w:r>
      <w:r>
        <w:rPr>
          <w:rtl/>
        </w:rPr>
        <w:t xml:space="preserve"> محدود </w:t>
      </w:r>
      <w:r>
        <w:rPr>
          <w:rFonts/>
          <w:rtl/>
        </w:rPr>
        <w:t>را</w:t>
      </w:r>
      <w:r>
        <w:rPr>
          <w:rtl/>
        </w:rPr>
        <w:t xml:space="preserve"> </w:t>
      </w:r>
      <w:r>
        <w:rPr>
          <w:rFonts/>
          <w:rtl/>
        </w:rPr>
        <w:t>می‌توان</w:t>
      </w:r>
      <w:r>
        <w:rPr>
          <w:rtl/>
        </w:rPr>
        <w:t xml:space="preserve"> </w:t>
      </w:r>
      <w:r>
        <w:rPr>
          <w:rFonts/>
          <w:rtl/>
        </w:rPr>
        <w:t>در</w:t>
      </w:r>
      <w:r>
        <w:rPr>
          <w:rtl/>
        </w:rPr>
        <w:t xml:space="preserve"> </w:t>
      </w:r>
      <w:r>
        <w:rPr>
          <w:rFonts/>
          <w:rtl/>
        </w:rPr>
        <w:t>قالب</w:t>
      </w:r>
      <w:r>
        <w:rPr>
          <w:rtl/>
        </w:rPr>
        <w:t xml:space="preserve"> </w:t>
      </w:r>
      <w:r>
        <w:rPr>
          <w:rFonts/>
          <w:rtl/>
        </w:rPr>
        <w:t>یک</w:t>
      </w:r>
      <w:r>
        <w:rPr>
          <w:rtl/>
        </w:rPr>
        <w:t xml:space="preserve"> </w:t>
      </w:r>
      <w:r>
        <w:rPr>
          <w:rFonts/>
          <w:rtl/>
        </w:rPr>
        <w:t>جمع‌بندی</w:t>
      </w:r>
      <w:r>
        <w:rPr>
          <w:rtl/>
        </w:rPr>
        <w:t xml:space="preserve"> </w:t>
      </w:r>
      <w:r>
        <w:rPr>
          <w:rFonts/>
          <w:rtl/>
        </w:rPr>
        <w:t>واحد</w:t>
      </w:r>
      <w:r>
        <w:rPr>
          <w:rtl/>
        </w:rPr>
        <w:t xml:space="preserve"> </w:t>
      </w:r>
      <w:r>
        <w:rPr>
          <w:rFonts/>
          <w:rtl/>
        </w:rPr>
        <w:t>دید</w:t>
      </w:r>
      <w:r>
        <w:rPr>
          <w:rtl/>
        </w:rPr>
        <w:t xml:space="preserve">. </w:t>
      </w:r>
      <w:r>
        <w:rPr>
          <w:rFonts/>
          <w:rtl/>
        </w:rPr>
        <w:t>مانگلا</w:t>
      </w:r>
      <w:r>
        <w:rPr>
          <w:rtl/>
        </w:rPr>
        <w:t xml:space="preserve"> </w:t>
      </w:r>
      <w:r>
        <w:rPr>
          <w:rFonts/>
          <w:rtl/>
        </w:rPr>
        <w:t>و</w:t>
      </w:r>
      <w:r>
        <w:rPr>
          <w:rtl/>
        </w:rPr>
        <w:t xml:space="preserve"> </w:t>
      </w:r>
      <w:r>
        <w:rPr>
          <w:rFonts/>
          <w:rtl/>
        </w:rPr>
        <w:t>همکاران</w:t>
      </w:r>
      <w:r>
        <w:rPr>
          <w:rtl/>
        </w:rPr>
        <w:t xml:space="preserve"> (</w:t>
      </w:r>
      <w:r>
        <w:rPr>
          <w:rFonts/>
          <w:rtl/>
        </w:rPr>
        <w:t>۲۰۲۱</w:t>
      </w:r>
      <w:r>
        <w:rPr>
          <w:rtl/>
        </w:rPr>
        <w:t>)</w:t>
      </w:r>
      <w:r>
        <w:rPr>
          <w:rStyle w:val="FootnoteReference"/>
        </w:rPr>
        <w:footnoteReference w:id="65"/>
      </w:r>
      <w:r>
        <w:rPr>
          <w:rtl/>
        </w:rPr>
        <w:t xml:space="preserve"> </w:t>
      </w:r>
      <w:r>
        <w:rPr>
          <w:rtl/>
        </w:rPr>
        <w:t xml:space="preserve">در تحلیل خود میان گروه‌های چالش‌های ایمنی مواد غذایی روابط تأثیرگذاری متقابل یافتند. بر همین قیاس، ویژگی‌های صنعتی یادشده نیز به‌طور مجزا عمل نمی‌کنند، بلکه به‌صورت هم‌زمان و درهم‌تنیده بر بنگاه‌های این صنعت فشار می‌آورند؛ نکته‌ای که ضرورت بررسی یکپارچه آن‌ها، به‌جای تحلیل جداگانه هر عامل، را برای پژوهش حاضر روشن می‌سازد</w:t>
      </w:r>
      <w:r>
        <w:rPr>
          <w:rtl/>
        </w:rPr>
        <w:t xml:space="preserve">.</w:t>
      </w:r>
    </w:p>
    <w:p>
      <w:pPr>
        <w:bidi/>
        <w:spacing w:after="80" w:line="276" w:lineRule="auto"/>
        <w:ind w:firstLine="720"/>
        <w:jc w:val="both"/>
      </w:pPr>
      <w:r>
        <w:rPr>
          <w:rtl/>
        </w:rPr>
        <w:t xml:space="preserve">نجاتی (۱۴۰۰) </w:t>
      </w:r>
      <w:r>
        <w:rPr>
          <w:rtl/>
        </w:rPr>
        <w:t xml:space="preserve">نیز اثرات استراتژی‌های بازاریابی دیجیتال بر توسعه فروش محصولات صنایع غذایی ایران را بررسی کرده است و نشان می‌دهد بُعد دیجیتال فروش در بستر ایران نیز مورد توجه پژوهشگران بوده است</w:t>
      </w:r>
      <w:r>
        <w:rPr>
          <w:rtl/>
        </w:rPr>
        <w:t xml:space="preserve">. </w:t>
      </w:r>
      <w:r>
        <w:rPr>
          <w:rtl/>
        </w:rPr>
        <w:t xml:space="preserve">این بُعد، بار دیگر ویژگی‌های خاص صنعت</w:t>
      </w:r>
      <w:r>
        <w:rPr>
          <w:rtl/>
        </w:rPr>
        <w:t xml:space="preserve"> مواد غذایی را نه فقط در بُعد تولید و زنجیره تأمین، بلکه در بُعد توزیع و بازاریابی نیز برجسته می‌سازد و زمینه را برای جمع‌بندی نظری بخش بعدی فراهم می‌آورد.</w:t>
      </w:r>
    </w:p>
    <w:p>
      <w:pPr>
        <w:pStyle w:val="Heading3"/>
        <w:keepNext/>
        <w:bidi/>
        <w:spacing w:before="180" w:after="80"/>
      </w:pPr>
      <w:bookmarkStart w:id="22" w:name="_Toc200000022"/>
      <w:r>
        <w:t>۲ـ۲ـ۶ جمع‌بندی چارچوب نظری و ارتباط مفاهیم اصلی پژوهش</w:t>
      </w:r>
      <w:bookmarkEnd w:id="22"/>
    </w:p>
    <w:p>
      <w:pPr>
        <w:bidi/>
        <w:spacing w:after="80" w:line="276" w:lineRule="auto"/>
        <w:ind w:firstLine="720"/>
        <w:jc w:val="both"/>
      </w:pPr>
      <w:r>
        <w:rPr>
          <w:rtl/>
        </w:rPr>
        <w:t>مرور مبانی نظری این فصل نشان می‌دهد که فروش فرایندی چندبعدی است که عملکرد آن از تعامل میان استراتژی بنگاه، ساختار صنعت و رفتار مصرف‌کننده شکل می‌گیرد. دیدگاه منبع‌محور و قابلیت‌های پ</w:t>
      </w:r>
      <w:r>
        <w:rPr>
          <w:rtl/>
        </w:rPr>
        <w:t>ویا (کرو و بوگاله، ۲۰۲۳)</w:t>
      </w:r>
      <w:r>
        <w:rPr>
          <w:rStyle w:val="FootnoteReference"/>
        </w:rPr>
        <w:footnoteReference w:id="66"/>
      </w:r>
      <w:r>
        <w:rPr>
          <w:rtl/>
        </w:rPr>
        <w:t xml:space="preserve"> زمینه تحلیل عوامل درون‌سازمانی را فراهم می‌کنند؛ نیروهای پنج‌گانه رقابتی (پانگارکار و پرابهوداسای، ۲۰۲۴)</w:t>
      </w:r>
      <w:r>
        <w:rPr>
          <w:rStyle w:val="FootnoteReference"/>
        </w:rPr>
        <w:footnoteReference w:id="67"/>
      </w:r>
      <w:r>
        <w:rPr>
          <w:rtl/>
        </w:rPr>
        <w:t xml:space="preserve"> و تحولات رفتار مصرف‌کننده، زمینه تحلیل عوامل برون‌سازمانی را شکل می‌دهند؛ و ادبیات تمرکز-تنوع (مامن و همکاران، ۲۰۲۱)</w:t>
      </w:r>
      <w:r>
        <w:rPr>
          <w:rStyle w:val="FootnoteReference"/>
        </w:rPr>
        <w:footnoteReference w:id="68"/>
      </w:r>
      <w:r>
        <w:rPr>
          <w:rtl/>
        </w:rPr>
        <w:t xml:space="preserve"> حلقه اتصال میان این دو مجموعه عوامل و ساختار خاص بنگاه تک‌محصولی است. در هر سه لایه، بنگاه تک‌محصولی با محدودیت‌هایی روبه‌روست که بنگاه </w:t>
      </w:r>
      <w:r>
        <w:rPr>
          <w:rtl/>
        </w:rPr>
        <w:t>چندمحصولی از آن‌ها آزاد است. ویژگی‌های خاص صنعت مواد غذایی لایه دیگری بر این چارچوب افزود: وابستگی به منابع کشاورزی، الزامات نظارتی سخت‌گیرانه و تغییر سریع ترجیحات مصرف‌کننده، بستری را شکل می‌دهند که در آن چالش‌های فروش بنگاه‌های تک‌محصولی از پیچیدگی بیشتر</w:t>
      </w:r>
      <w:r>
        <w:rPr>
          <w:rtl/>
        </w:rPr>
        <w:t xml:space="preserve">ی برخوردار است. این سه رشته نظری، در کنار ویژگی‌های صنعت </w:t>
      </w:r>
      <w:r>
        <w:rPr>
          <w:rtl/>
        </w:rPr>
        <w:t>مواد غذایی، چارچوب مفهومی یکپارچه‌ای را تشکیل می‌دهند که مبنای مرور پیشینه تجربی پژوهش، استخراج چالش‌های فروش برگرفته از ادبیات، و تدوین پروتکل دلفی و تحلیل داده در فصل‌های سوم و چهارم این پژوهش قرار</w:t>
      </w:r>
      <w:r>
        <w:rPr>
          <w:rtl/>
        </w:rPr>
        <w:t xml:space="preserve"> خواهد گرفت.</w:t>
      </w:r>
    </w:p>
    <w:p>
      <w:pPr>
        <w:bidi/>
        <w:spacing w:after="80" w:line="276" w:lineRule="auto"/>
        <w:ind w:firstLine="720"/>
        <w:jc w:val="both"/>
      </w:pPr>
      <w:r>
        <w:rPr>
          <w:rtl/>
        </w:rPr>
        <w:t xml:space="preserve">نعیم و همکاران (۲۰۲۳)</w:t>
      </w:r>
      <w:r>
        <w:rPr>
          <w:rStyle w:val="FootnoteReference"/>
        </w:rPr>
        <w:footnoteReference w:id="69"/>
      </w:r>
      <w:r>
        <w:rPr>
          <w:rtl/>
        </w:rPr>
        <w:t xml:space="preserve"> میان کدگذاری استقرایی و قیاسی تمایز قائل می‌شوند؛ در پژوهش حاضر کدگذاری دور نخست استقرایی و برآمده از گفته‌های خبرگان است و چارچوب نظری این فصل در مرحله ترکیب و بررسی گویه‌ها و در مرحله مقایسه با یافته‌ها به کار می‌رود.</w:t>
      </w:r>
      <w:r>
        <w:rPr>
          <w:rtl/>
        </w:rPr>
        <w:t xml:space="preserve"> بر همین اساس، مفاهیم سه‌گانه معرفی‌شده در این بخش دیدگاه منبع‌محور، نیروهای رقابتی، و ادبیات تمرکز-تنوع نه‌تنها زمینه تحلیلی این فصل را شکل می‌دهند، بلکه مبنای صریحی برای مقایسه مقوله‌های پدیدارشده از دلفی در فصل‌های چهارم و پنجم فراهم می‌آورند.</w:t>
      </w:r>
    </w:p>
    <w:p>
      <w:pPr>
        <w:bidi/>
        <w:spacing w:after="80" w:line="276" w:lineRule="auto"/>
        <w:ind w:firstLine="720"/>
        <w:jc w:val="both"/>
      </w:pPr>
      <w:r>
        <w:rPr>
          <w:rtl/>
        </w:rPr>
        <w:t xml:space="preserve">در پایان، باید تأکید کرد که این چارچوب نظری، برساخته‌ای برای حساس‌سازی پژوهشگر است.</w:t>
      </w:r>
      <w:r>
        <w:rPr>
          <w:rtl/>
        </w:rPr>
        <w:t xml:space="preserve"> دخیخ و النجری (۲۰۲۶)</w:t>
      </w:r>
      <w:r>
        <w:rPr>
          <w:rStyle w:val="FootnoteReference"/>
        </w:rPr>
        <w:footnoteReference w:id="70"/>
      </w:r>
      <w:r>
        <w:rPr>
          <w:rtl/>
        </w:rPr>
        <w:t xml:space="preserve"> یافته‌های خود را درباره بنگاه‌های کوچک و متوسط عربستان گزارش کرده‌اند و به محدودیت‌های تعمیم‌پذیری آن‌ها به بسترهای دیگر اشاره می‌کنند؛ از این رو روابط نظری میان قابلیت‌های پویا، نوآوری و مزیت رقابتی ممکن است در زمینه‌های مختلف الگوهای متفاوتی به خود بگیرد؛ نکته‌ای که اهمیت بررسی اکتشافی و زمینه‌مند این روابط را در بستر خاص بنگاه تک‌محصولی صنعت مواد غذایی ایران، به‌جای تعمیم مستقیم یافته‌های سایر زمینه‌ها، توجیه می‌کند.</w:t>
      </w:r>
    </w:p>
    <w:p>
      <w:pPr>
        <w:pStyle w:val="Heading2"/>
        <w:keepNext/>
        <w:bidi/>
        <w:spacing w:before="240" w:after="80"/>
      </w:pPr>
      <w:bookmarkStart w:id="23" w:name="_Toc200000023"/>
      <w:r>
        <w:t>۲ـ۳ مرور پیشینه‌های پژوهش</w:t>
      </w:r>
      <w:bookmarkEnd w:id="23"/>
    </w:p>
    <w:p>
      <w:pPr>
        <w:bidi/>
        <w:spacing w:after="80" w:line="276" w:lineRule="auto"/>
        <w:ind w:firstLine="720"/>
        <w:jc w:val="both"/>
      </w:pPr>
      <w:r>
        <w:rPr>
          <w:rtl/>
        </w:rPr>
        <w:t xml:space="preserve">مرور پیشینه تجربی، در کنار مبانی نظری، دو نقش مکمل ایفا می‌کند</w:t>
      </w:r>
      <w:r>
        <w:rPr>
          <w:rtl/>
        </w:rPr>
        <w:t xml:space="preserve">: نخست، نشان دادن تداوم موضوعی میان مطالعات پیشین و پرسش پژوهش حاضر؛ دوم، آشکارسازی دقیق شکاف یا شکاف‌هایی که پژوهش حاضر در پی پوشش آن‌هاست. این بخش، با پیروی از همین منطق، نخست پیشینه داخلی و سپس پیشینه خارجی مرتبط با موضوع پژوهش را مرور می‌کند.</w:t>
      </w:r>
    </w:p>
    <w:p>
      <w:pPr>
        <w:pStyle w:val="Heading3"/>
        <w:keepNext/>
        <w:bidi/>
        <w:spacing w:before="180" w:after="80"/>
      </w:pPr>
      <w:bookmarkStart w:id="24" w:name="_Toc200000024"/>
      <w:r>
        <w:t>۲ـ۳ـ۱ پیشینه‌های داخل کشور</w:t>
      </w:r>
      <w:bookmarkEnd w:id="24"/>
    </w:p>
    <w:p>
      <w:pPr>
        <w:bidi/>
        <w:spacing w:after="80" w:line="276" w:lineRule="auto"/>
        <w:ind w:firstLine="720"/>
        <w:jc w:val="both"/>
      </w:pPr>
      <w:r>
        <w:rPr>
          <w:rtl/>
        </w:rPr>
        <w:t xml:space="preserve">پژوهشگران ایرانی در سال‌های اخیر توجه فزاینده‌ای به موانع فروش، توزیع و بازاریابی در صنعت مواد غذایی نشان داده‌اند؛ این بخش، پژوهش‌های داخلی مرتبط را که میان سال‌های ۱۴۰۰ تا ۱۴۰۴ منتشر شده‌اند معرفی می‌کند. پژوهش‌ها بر پایه سال انتشار، از جدید به قدیم مرور می‌شوند.</w:t>
      </w:r>
    </w:p>
    <w:p>
      <w:pPr>
        <w:bidi/>
        <w:spacing w:after="80" w:line="276" w:lineRule="auto"/>
        <w:ind w:firstLine="720"/>
        <w:jc w:val="both"/>
      </w:pPr>
      <w:r>
        <w:rPr>
          <w:rtl/>
        </w:rPr>
        <w:t xml:space="preserve">آسیابانی، کاظم‌پور کهریز، حسنی‌مقدم، دوراندیش و قاسمی (۱۴۰۴) در پژوهشی با عنوان «ارزیابی پایداری ترجیحات مصرف‌کنندگان برنج در کشور»، با رویکرد ترجیح آشکارشده، ترجیحات مصرف‌کنندگان برنج را در بازه سال‌های ۱۳۸۲ تا ۱۴۰۱ بررسی کردند و ثبات ساختاری ترجیحات و تداوم وفاداری به برنج ایرانی را گزارش کردند.</w:t>
      </w:r>
      <w:r>
        <w:rPr>
          <w:rtl/>
        </w:rPr>
        <w:t xml:space="preserve"> این یافته با فرض ناپایداری ترجیحات مصرف‌کننده همسو نیست و نشان می‌دهد ثبات یا تغییر ترجیح را باید برای هر محصول و بازار جداگانه سنجید؛ از این رو در پژوهش حاضر تغییر ذائقه مصرف‌کننده یک پیش‌فرض پیشینی نیست، بلکه چالشی است که اعضای پانل در دور نخست مطرح کرده‌اند و در دورهای بعد رتبه‌بندی شده است.</w:t>
      </w:r>
    </w:p>
    <w:p>
      <w:pPr>
        <w:bidi/>
        <w:spacing w:after="80" w:line="276" w:lineRule="auto"/>
        <w:ind w:firstLine="720"/>
        <w:jc w:val="both"/>
      </w:pPr>
      <w:r>
        <w:rPr>
          <w:rtl/>
        </w:rPr>
        <w:t xml:space="preserve">اسکندری، دارابی و اصغری (۱۴۰۴) در پژوهشی با عنوان «شناسایی و ارزیابی موانع حوزه فروش به منظور کاهش بحران‌های زنجیره تأمین مواد غذایی»، با بهره‌گیری از رویکرد یکپارچه فازی مبتنی بر مدل‌سازی ساختاری تفسیری کل و تحلیل میک‌مک، عوامل کلیدی تهدیدکننده حوزه فروش در زنجیره تأمین مواد غذایی ایران را شناسایی و سطح‌بندی کردند.</w:t>
      </w:r>
      <w:r>
        <w:rPr>
          <w:rtl/>
        </w:rPr>
        <w:t xml:space="preserve"> انگیزه این پژوهش، نوسان قیمت مواد غذایی و اثر آن بر تصمیم‌گیری، برنامه‌ریزی و مدیریت مالی فعالان زنجیره بود.</w:t>
      </w:r>
      <w:r>
        <w:rPr>
          <w:rtl/>
        </w:rPr>
        <w:t xml:space="preserve"> بر پایه یافته‌های آنان، پیش‌بینی نادرست تقاضا و نبود اعتبار مالی از مهم‌ترین عوامل تهدیدکننده فروش در این صنعت به شمار می‌روند.</w:t>
      </w:r>
      <w:r>
        <w:rPr>
          <w:rtl/>
        </w:rPr>
        <w:t xml:space="preserve"> این مطالعه از نظر صنعت هدف با پژوهش حاضر هم‌سوست، اما واحد تحلیل آن زنجیره تأمین در کل است نه بنگاه تک‌محصولی.</w:t>
      </w:r>
    </w:p>
    <w:p>
      <w:pPr>
        <w:bidi/>
        <w:spacing w:after="80" w:line="276" w:lineRule="auto"/>
        <w:ind w:firstLine="720"/>
        <w:jc w:val="both"/>
      </w:pPr>
      <w:r>
        <w:rPr>
          <w:rtl/>
        </w:rPr>
        <w:t xml:space="preserve">سیدغفوری، ناصحی‌فر و عسکری (۱۴۰۳) در پژوهشی با عنوان «شناسایی عوامل مؤثر بر استراتژی توزیع در صنایع غذایی با نگرش بازاریابی و فروش آنلاین»، با رویکرد فراترکیب کیفی، عوامل اثرگذار بر انتخاب راهبرد توزیع در صنایع غذایی را احصا کردند: ۲۳ مقاله بررسی شد و ۸۵ شاخص در ۱۶ مؤلفه دسته‌بندی شد که بازاریابی دیجیتال در شمار آن‌هاست.</w:t>
      </w:r>
      <w:r>
        <w:rPr>
          <w:rtl/>
        </w:rPr>
        <w:t xml:space="preserve"> این پژوهش از منظر تمرکز بر کانال توزیع، مکمل مستقیم گویه ناکارآمدی شبکه توزیع در پژوهش حاضر است.</w:t>
      </w:r>
    </w:p>
    <w:p>
      <w:pPr>
        <w:bidi/>
        <w:spacing w:after="80" w:line="276" w:lineRule="auto"/>
        <w:ind w:firstLine="720"/>
        <w:jc w:val="both"/>
      </w:pPr>
      <w:r>
        <w:rPr>
          <w:rtl/>
        </w:rPr>
        <w:t xml:space="preserve">صفری و اسماعیل‌نژاد (۱۴۰۳) در پژوهشی با عنوان «شناسایی و اولویت‌بندی موانع فروش محصولات سبز در ترویج الگوی مصرف پایدار با استفاده از روش بهترین–بدترین و تودیم فازی»، موانع فروش محصولات سبز در ایران را بررسی کردند؛ ابتدا موانع از مرور ادبیات شناسایی و با دلفی فازی از هفده مانع به هشت مانع نهایی غربال شدند، سپس با روش بهترین-بدترین فازی وزن‌دهی و با تودیم فازی رتبه‌بندی شدند، و بی‌اعتمادی مشتریان به ادعاهای سبز در رتبه نخست و ضعف برندسازی در رتبه دوم قرار گرفت.</w:t>
      </w:r>
      <w:r>
        <w:rPr>
          <w:rtl/>
        </w:rPr>
        <w:t xml:space="preserve"> انگیزه این پژوهش، شکاف میان نگرش مثبت مصرف‌کننده و رفتار خرید واقعی او در مورد محصولات سبز بود.</w:t>
      </w:r>
      <w:r>
        <w:rPr>
          <w:rtl/>
        </w:rPr>
        <w:t xml:space="preserve"> این مطالعه از نظر موضوع، محصولات سبز را در بر می‌گیرد، نه صنعت مواد غذایی را به‌طور اختصاصی.</w:t>
      </w:r>
      <w:r>
        <w:rPr>
          <w:rtl/>
        </w:rPr>
        <w:t xml:space="preserve"> یافته آن درباره جایگاه ضعف برندسازی با مؤلفه ضعف برندسازی در پژوهش حاضر پیوند موضوعی دارد.</w:t>
      </w:r>
    </w:p>
    <w:p>
      <w:pPr>
        <w:bidi/>
        <w:spacing w:after="80" w:line="276" w:lineRule="auto"/>
        <w:ind w:firstLine="720"/>
        <w:jc w:val="both"/>
      </w:pPr>
      <w:r>
        <w:rPr>
          <w:rtl/>
        </w:rPr>
        <w:t xml:space="preserve">فائقی، سبزعلی یمقانی، محزونی و احمدی (۱۴۰۳) در پژوهشی با عنوان «اولویت‌بندی عوامل اثرگذار تکنیک‌های بازاریابی عصبی در تولید پایدار (مورد مطالعه صنایع غذایی ایران)»، با روش دلفی فازی، دیمتل فازی و دانپ فازی و با نظر پانزده خبره، معیارهای مؤثر بر انتخاب تکنیک‌های بازاریابی عصبی در تولید پایدار صنایع غذایی ایران را اولویت‌بندی کردند و نشان دادند کیفیت اطلاعات و سودمندی در صدر معیارها قرار دارند.</w:t>
      </w:r>
      <w:r>
        <w:rPr>
          <w:rtl/>
        </w:rPr>
        <w:t xml:space="preserve"> این پژوهش از منظر روش‌شناسی اولویت‌بندی عوامل با رویکرد فازی، زاویه تکمیلی بر پژوهش حاضر می‌افزاید.</w:t>
      </w:r>
    </w:p>
    <w:p>
      <w:pPr>
        <w:bidi/>
        <w:spacing w:after="80" w:line="276" w:lineRule="auto"/>
        <w:ind w:firstLine="720"/>
        <w:jc w:val="both"/>
      </w:pPr>
      <w:r>
        <w:rPr>
          <w:rtl/>
        </w:rPr>
        <w:t xml:space="preserve">کریمی، حسن‌پور و مصدق‌خواه (۱۴۰۳) در پژوهشی با عنوان «ارائه الگوی تحلیل اختلالات و تاب‌آوری زنجیره تأمین مواد غذایی»، با رویکرد آمیخته (تحلیل مضمون، مدل‌سازی ساختاری تفسیری و اعتبارسنجی کمّی) در واحدهای تأمین و پشتیبانی غذایی یک مجموعه سازمانی در ایران، اختلال‌ها (از جمله اختلال طبیعی و اقتصادی) را به تاب‌آوری زنجیره و در نهایت به اعتماد و موقعیت بازاری آن مرتبط دانستند.</w:t>
      </w:r>
      <w:r>
        <w:rPr>
          <w:rtl/>
        </w:rPr>
        <w:t xml:space="preserve"> این یافته، از منظر نقش اختلال‌های تأمین و اقتصادی، با مؤلفه ناپایداری تأمین و نوسان بهای مواد اولیه در پژوهش حاضر همخوانی موضوعی دارد.</w:t>
      </w:r>
    </w:p>
    <w:p>
      <w:pPr>
        <w:bidi/>
        <w:spacing w:after="80" w:line="276" w:lineRule="auto"/>
        <w:ind w:firstLine="720"/>
        <w:jc w:val="both"/>
      </w:pPr>
      <w:r>
        <w:rPr>
          <w:rtl/>
        </w:rPr>
        <w:t xml:space="preserve">محسنی‌کبیر، موسوی‌کاشی و سیدحسینی‌نیا (۱۴۰۳) در پژوهشی با عنوان «تبیین مدل تاب‌آوری کسب‌وکارهای کوچک و متوسط در کشور ایران با رویکرد آمیخته </w:t>
      </w:r>
      <w:r>
        <w:rPr>
          <w:rFonts w:ascii="Times New Roman" w:hAnsi="Times New Roman" w:cs="Times New Roman" w:eastAsia="Times New Roman"/>
          <w:sz w:val="26"/>
          <w:szCs w:val="26"/>
        </w:rPr>
        <w:t xml:space="preserve">ISM-FDEMATEL</w:t>
      </w:r>
      <w:r>
        <w:rPr>
          <w:rtl/>
        </w:rPr>
        <w:t xml:space="preserve">»، با رویکرد آمیخته (مصاحبه عمیق با خبرگان و پرسشنامه محقق‌ساخته؛ دلفی فازی برای غربالگری متغیرها، دیمتل فازی و مدل‌سازی ساختاری تفسیری برای تحلیل روابط)، مدل تاب‌آوری کسب‌وکارهای کوچک و متوسط ایران را تبیین کردند.</w:t>
      </w:r>
      <w:r>
        <w:rPr>
          <w:rtl/>
        </w:rPr>
        <w:t xml:space="preserve"> یافته‌های آنان نشان داد که عوامل راهبردی، منابع اقتصادی، منابع انسانی، ویژگی‌های مدیریتی و تحقیق و توسعه، مهم‌ترین عوامل مؤثر بر تاب‌آوری این بنگاه‌ها هستند و در شمار عوامل مستقل با تأثیرگذاری بالا قرار می‌گیرند.</w:t>
      </w:r>
      <w:r>
        <w:rPr>
          <w:rtl/>
        </w:rPr>
        <w:t xml:space="preserve"> این پژوهش از منظر تمرکز بر آسیب‌پذیری و تاب‌آوری بنگاه کوچک، مکمل مستقیم مبانی نظری فصل حاضر درباره آسیب‌پذیری بنگاه تک‌محصولی است.</w:t>
      </w:r>
    </w:p>
    <w:p>
      <w:pPr>
        <w:bidi/>
        <w:spacing w:after="80" w:line="276" w:lineRule="auto"/>
        <w:ind w:firstLine="720"/>
        <w:jc w:val="both"/>
      </w:pPr>
      <w:r>
        <w:rPr>
          <w:rtl/>
        </w:rPr>
        <w:t xml:space="preserve">محمدی، ثانی‌حیدری و شهرکی (۱۴۰۱) در پژوهشی با عنوان «عوامل مؤثر بر انتخاب استراتژی بازاریابی در مراحل مختلف چرخه عمر محصول»، عوامل مؤثر بر انتخاب استراتژی بازاریابی را در مراحل مختلف چرخه عمر محصولات صنایع غذایی ایران بررسی کردند.</w:t>
      </w:r>
      <w:r>
        <w:rPr>
          <w:rtl/>
        </w:rPr>
        <w:t xml:space="preserve"> یافته‌های آنان، مبتنی بر نظرسنجی از مدیران بازاریابی بنگاه‌های تولیدی مواد غذایی، نشان داد که تجربه مدیر، سطح تحصیلات، نوع محصول، میزان رقابت‌پذیری، اعتبار برند و سهم بازار، تعیین‌کننده اصلی راهبرد بازاریابی انتخابی در هر مرحله از چرخه عمر محصول هستند.</w:t>
      </w:r>
      <w:r>
        <w:rPr>
          <w:rtl/>
        </w:rPr>
        <w:t xml:space="preserve"> قلمرو موضوعی مشترک، پیوند این مطالعه با پژوهش حاضر را پررنگ‌تر می‌کند.</w:t>
      </w:r>
    </w:p>
    <w:p>
      <w:pPr>
        <w:bidi/>
        <w:spacing w:after="80" w:line="276" w:lineRule="auto"/>
        <w:ind w:firstLine="720"/>
        <w:jc w:val="both"/>
      </w:pPr>
      <w:r>
        <w:rPr>
          <w:rtl/>
        </w:rPr>
        <w:t xml:space="preserve">میثمی‌آزاد، حاجی‌ها، عبدالوند و خیری (۱۴۰۰) در پژوهشی با عنوان «طراحی الگوی برندسازی محصولات سبز در صنعت مواد غذایی»، با رویکرد نظریه داده‌بنیاد و مصاحبه با پانزده خبره، الگوی برندسازی محصولات سبز را برای صنعت مواد غذایی طراحی کردند؛ در این الگو تحقیقات بازار و برنامه‌ریزی برند از شرایط علّی‌اند و آگاهی از برند و اعتماد به برند نیز از مفاهیم الگو است.</w:t>
      </w:r>
      <w:r>
        <w:rPr>
          <w:rtl/>
        </w:rPr>
        <w:t xml:space="preserve"> این پژوهش، از منظر تمرکز بر برندسازی در صنعت مواد غذایی ایران، با مؤلفه ضعف برندسازی و با گویه کم‌توجهی به تحقیقات بازار و مطالعه رفتار مصرف‌کننده در پژوهش حاضر پیوند موضوعی دارد.</w:t>
      </w:r>
      <w:r>
        <w:rPr>
          <w:rtl/>
        </w:rPr>
        <w:t xml:space="preserve"> مجموع این پژوهش‌های داخلی، طیف گسترده‌ای از موانع فروش، توزیع، برندسازی و تاب‌آوری را در صنعت مواد غذایی و بنگاه‌های کوچک و متوسط ایران پوشش می‌دهند؛ با این حال، هیچ‌یک از این مطالعات، شرکت تک‌محصولی را به‌طور اختصاصی و با رویکرد اکتشافی به‌عنوان واحد تحلیل مستقل در نظر نگرفته‌اند — خلأیی که پژوهش حاضر در پی پوشش آن است.</w:t>
      </w:r>
    </w:p>
    <w:p>
      <w:pPr>
        <w:bidi/>
        <w:spacing w:after="80" w:line="276" w:lineRule="auto"/>
        <w:ind w:firstLine="720"/>
        <w:jc w:val="both"/>
      </w:pPr>
      <w:r>
        <w:rPr>
          <w:rtl/>
        </w:rPr>
        <w:t xml:space="preserve">نجاتی (۱۴۰۰) در پژوهشی با عنوان «بررسی اثرات اعمال استراتژی‌های بازاریابی دیجیتال در توسعه فروش محصولات صنایع غذایی»، پنج استراتژی طراحی وب‌سایت، استفاده از شبکه‌های اجتماعی، وبلاگ‌نویسی، تجارت الکترونیک و بهره‌گیری از برنامه‌های تخصصی غذایی را به‌عنوان مؤثرترین راهکارهای توسعه فروش دیجیتال در صنایع غذایی ایران شناسایی کرد.</w:t>
      </w:r>
      <w:r>
        <w:rPr>
          <w:rtl/>
        </w:rPr>
        <w:t xml:space="preserve"> این پژوهش، با بُعد دیجیتال فروش که در بخش ۲-۲-۳ مطرح شد همخوانی موضوعی دارد و نشان می‌دهد پژوهشگران داخلی نیز به این بُعد توجه کرده‌اند.</w:t>
      </w:r>
    </w:p>
    <w:p>
      <w:pPr>
        <w:bidi/>
        <w:spacing w:after="80" w:line="276" w:lineRule="auto"/>
        <w:ind w:firstLine="720"/>
        <w:jc w:val="both"/>
      </w:pPr>
      <w:r>
        <w:rPr>
          <w:rtl/>
        </w:rPr>
        <w:t xml:space="preserve">از منظر روش‌شناختی، پژوهش‌های داخلی مرورشده در این بخش عمدتاً از رویکردهای ترکیبی یا کمّی بهره گرفته‌اند. </w:t>
      </w:r>
      <w:r>
        <w:rPr>
          <w:rtl/>
        </w:rPr>
        <w:t xml:space="preserve">پژوهش حاضر، با استخراج فهرست چالش‌ها از پاسخ باز خبرگان در دور نخست دلفی و رتبه‌بندی آن در دورهای بعد، مرحله نخست خود را اکتشافی و کیفی قرار داده است؛ این ویژگی، یکی از وجوه تمایز آن از پژوهش‌های داخلی مرورشده در این بخش است</w:t>
      </w:r>
      <w:r>
        <w:rPr>
          <w:rtl/>
        </w:rPr>
        <w:t xml:space="preserve">.</w:t>
      </w:r>
    </w:p>
    <w:p>
      <w:pPr>
        <w:pStyle w:val="Heading3"/>
        <w:keepNext/>
        <w:bidi/>
        <w:spacing w:before="180" w:after="80"/>
      </w:pPr>
      <w:bookmarkStart w:id="25" w:name="_Toc200000025"/>
      <w:r>
        <w:t>۲ـ۳ـ۲ پیشینه‌های خارج از کشور</w:t>
      </w:r>
      <w:bookmarkEnd w:id="25"/>
    </w:p>
    <w:p>
      <w:pPr>
        <w:bidi/>
        <w:spacing w:after="80" w:line="276" w:lineRule="auto"/>
        <w:ind w:firstLine="720"/>
        <w:jc w:val="both"/>
      </w:pPr>
      <w:r>
        <w:rPr>
          <w:rtl/>
        </w:rPr>
        <w:t xml:space="preserve">در مقایسه با پیشینه داخلی، پژوهش‌های خارجی مرورشده در این بخش از نظر قلمرو جغرافیایی تنوع بیشتری دارند و بافت‌هایی از جنوب شرق آسیا تا خاورمیانه و اروپای شرقی را پوشش می‌دهند. </w:t>
      </w:r>
      <w:r>
        <w:rPr>
          <w:rtl/>
        </w:rPr>
        <w:t xml:space="preserve">تعمیم</w:t>
      </w:r>
      <w:r>
        <w:rPr>
          <w:rtl/>
        </w:rPr>
        <w:t xml:space="preserve"> یافته‌های یک بافت جغرافیایی خاص به بافت‌های دیگر، بدون توجه به تفاوت‌های نهادی و اقتصادی، می‌تواند نتایج گمراه‌کننده‌ای تولید کند. این هشدار روش‌شناختی، اهمیت مرور جداگانه پیشینه داخلی و خارجی در این فصل، به‌جای ادغام زودهنگام آن‌ها، را توجیه می‌کند؛ رویکردی که در ساختار همین بخش نیز رعایت شده است.</w:t>
      </w:r>
    </w:p>
    <w:p>
      <w:pPr>
        <w:bidi/>
        <w:spacing w:after="80" w:line="276" w:lineRule="auto"/>
        <w:ind w:firstLine="720"/>
        <w:jc w:val="both"/>
      </w:pPr>
      <w:r>
        <w:rPr>
          <w:rtl/>
        </w:rPr>
        <w:t xml:space="preserve">ادبیات بین‌المللی نیز طیف گسترده‌ای از پژوهش‌های تجربی مرتبط با ریسک تمرکز، موانع فروش بنگاه‌های کوچک و چالش‌های صنعت غذایی را در بر می‌گیرد؛ از فراتحلیل‌های کمّی مبتنی بر داده‌های مالی بنگاه‌های بزرگ تا مطالعات کیفی مبتنی بر تجربه کارآفرینان خرد.</w:t>
      </w:r>
      <w:r>
        <w:rPr>
          <w:rtl/>
        </w:rPr>
        <w:t xml:space="preserve"> پژوهش‌ها بر پایه سال انتشار، از جدید به قدیم مرور می‌شوند.</w:t>
      </w:r>
    </w:p>
    <w:p>
      <w:pPr>
        <w:bidi/>
        <w:spacing w:after="80" w:line="276" w:lineRule="auto"/>
        <w:ind w:firstLine="720"/>
        <w:jc w:val="both"/>
      </w:pPr>
      <w:r>
        <w:rPr>
          <w:rtl/>
        </w:rPr>
        <w:t xml:space="preserve">دخیخ و النجری (۲۰۲۶)</w:t>
      </w:r>
      <w:r>
        <w:rPr>
          <w:rStyle w:val="FootnoteReference"/>
        </w:rPr>
        <w:footnoteReference w:id="71"/>
      </w:r>
      <w:r>
        <w:rPr>
          <w:rtl/>
        </w:rPr>
        <w:t xml:space="preserve"> در پژوهشی با عنوان «قابلیت‌های پویا و مزیت رقابتی پایدار در بنگاه‌های کوچک و متوسط: نقش‌های نوآوری و یادگیری سازمانی»، با رویکرد کمّی و مدل‌سازی معادلات ساختاری، رابطه قابلیت‌های پویا و مزیت رقابتی را در سطح کلان بنگاه‌های کوچک و متوسط عربستان آزمودند؛ رویکردی که مکمل مطالعات کیفی مانند پژوهش شاه و همکاران (۲۰۲۳)</w:t>
      </w:r>
      <w:r>
        <w:rPr>
          <w:rStyle w:val="FootnoteReference"/>
        </w:rPr>
        <w:footnoteReference w:id="72"/>
      </w:r>
      <w:r>
        <w:rPr>
          <w:rtl/>
        </w:rPr>
        <w:t xml:space="preserve"> است و در کنار هم، تصویری چندوجهی از چالش‌های بنگاه کوچک ارائه می‌دهند.</w:t>
      </w:r>
    </w:p>
    <w:p>
      <w:pPr>
        <w:bidi/>
        <w:spacing w:after="80" w:line="276" w:lineRule="auto"/>
        <w:ind w:firstLine="720"/>
        <w:jc w:val="both"/>
      </w:pPr>
      <w:r>
        <w:rPr>
          <w:rtl/>
        </w:rPr>
        <w:t xml:space="preserve">لاندجوهو و کریستوفر (۲۰۲۶)</w:t>
      </w:r>
      <w:r>
        <w:rPr>
          <w:rStyle w:val="FootnoteReference"/>
        </w:rPr>
        <w:footnoteReference w:id="73"/>
      </w:r>
      <w:r>
        <w:rPr>
          <w:rtl/>
        </w:rPr>
        <w:t xml:space="preserve"> در مروری نظام‌مند با عنوان «تأثیر بازاریابی دیجیتال بر رشد بنگاه‌های کوچک و متوسط (</w:t>
      </w:r>
      <w:r>
        <w:rPr>
          <w:rFonts w:ascii="Times New Roman" w:hAnsi="Times New Roman" w:cs="Times New Roman" w:eastAsia="Times New Roman"/>
          <w:sz w:val="26"/>
          <w:szCs w:val="26"/>
        </w:rPr>
        <w:t xml:space="preserve">SMEs</w:t>
      </w:r>
      <w:r>
        <w:rPr>
          <w:rtl/>
        </w:rPr>
        <w:t xml:space="preserve">): مرور نظام‌مند»، که ۵۲ پژوهش تجربی را بررسی کرده است، رابطه مثبت پذیرش بازاریابی دیجیتال با رشد بنگاه‌های کوچک و متوسط را گزارش کردند.</w:t>
      </w:r>
    </w:p>
    <w:p>
      <w:pPr>
        <w:bidi/>
        <w:spacing w:after="80" w:line="276" w:lineRule="auto"/>
        <w:ind w:firstLine="720"/>
        <w:jc w:val="both"/>
      </w:pPr>
      <w:r>
        <w:rPr>
          <w:rtl/>
        </w:rPr>
        <w:t xml:space="preserve">شرابتی و همکاران (۲۰۲۴)</w:t>
      </w:r>
      <w:r>
        <w:rPr>
          <w:rStyle w:val="FootnoteReference"/>
        </w:rPr>
        <w:footnoteReference w:id="74"/>
      </w:r>
      <w:r>
        <w:rPr>
          <w:rtl/>
        </w:rPr>
        <w:t xml:space="preserve"> در پژوهشی با عنوان «تأثیر بازاریابی دیجیتال بر عملکرد بنگاه‌های کوچک و متوسط: مطالعه‌ای تحلیلی در پرتو تحولات دیجیتال نوین»، در پیمایشی از مدیران ۱۹۰ شرکت در اردن، اثر بازاریابی دیجیتال بر عملکرد بنگاه‌های کوچک و متوسط را بررسی کردند و نشان دادند که تحول دیجیتال در این رابطه نقش میانجی دارد.</w:t>
      </w:r>
      <w:r>
        <w:rPr>
          <w:rtl/>
        </w:rPr>
        <w:t xml:space="preserve"> این یافته‌ها، زاویه‌ای تکمیلی بر مؤلفه ناکارآمدی و هزینه‌بری شبکه توزیع و فروش در پژوهش حاضر می‌افزایند و بُعد دیجیتال آن را برجسته می‌سازند.</w:t>
      </w:r>
    </w:p>
    <w:p>
      <w:pPr>
        <w:bidi/>
        <w:spacing w:after="80" w:line="276" w:lineRule="auto"/>
        <w:ind w:firstLine="720"/>
        <w:jc w:val="both"/>
      </w:pPr>
      <w:r>
        <w:rPr>
          <w:rtl/>
        </w:rPr>
        <w:t xml:space="preserve">گوپتا و جگتپ (۲۰۲۴)</w:t>
      </w:r>
      <w:r>
        <w:rPr>
          <w:rStyle w:val="FootnoteReference"/>
        </w:rPr>
        <w:footnoteReference w:id="75"/>
      </w:r>
      <w:r>
        <w:rPr>
          <w:rtl/>
        </w:rPr>
        <w:t xml:space="preserve"> در پژوهشی با عنوان «رشد دیجیتال: غلبه بر موانع تحول دیجیتال در بنگاه‌های کوچک و متوسط غذایی هند»، موانع گذار دیجیتال در بنگاه‌های کوچک و متوسط صنعت غذایی هند را با روش دیمتل بررسی کردند و از میان آن‌ها به ضعف اتصال به اینترنت در مناطق روستایی و موانع سازمانی اشاره کردند.</w:t>
      </w:r>
    </w:p>
    <w:p>
      <w:pPr>
        <w:bidi/>
        <w:spacing w:after="80" w:line="276" w:lineRule="auto"/>
        <w:ind w:firstLine="720"/>
        <w:jc w:val="both"/>
      </w:pPr>
      <w:r>
        <w:rPr>
          <w:rtl/>
        </w:rPr>
        <w:t xml:space="preserve">زین، رملی، زین، رحیم و موسی (۲۰۲۳)</w:t>
      </w:r>
      <w:r>
        <w:rPr>
          <w:rStyle w:val="FootnoteReference"/>
        </w:rPr>
        <w:footnoteReference w:id="76"/>
      </w:r>
      <w:r>
        <w:rPr>
          <w:rtl/>
        </w:rPr>
        <w:t xml:space="preserve"> در پژوهشی با عنوان «ارزیابی و اولویت‌بندی موانع مدیریت زنجیره تأمین سبز در بنگاه‌های کوچک و متوسط صنعت غذا و آشامیدنی با استفاده از روش تحلیل سلسله مراتبی»، نشان دادند که موانع فناورانه، اطلاعاتی و مالی به‌ترتیب در رتبه‌های نخست تا سوم قرار دارند.</w:t>
      </w:r>
    </w:p>
    <w:p>
      <w:pPr>
        <w:bidi/>
        <w:spacing w:after="80" w:line="276" w:lineRule="auto"/>
        <w:ind w:firstLine="720"/>
        <w:jc w:val="both"/>
      </w:pPr>
      <w:r>
        <w:rPr>
          <w:rtl/>
        </w:rPr>
        <w:t xml:space="preserve">شاه، دیر، جوشی و تریپاتی (۲۰۲۳)</w:t>
      </w:r>
      <w:r>
        <w:rPr>
          <w:rStyle w:val="FootnoteReference"/>
        </w:rPr>
        <w:footnoteReference w:id="77"/>
      </w:r>
      <w:r>
        <w:rPr>
          <w:rtl/>
        </w:rPr>
        <w:t xml:space="preserve"> در پژوهشی با عنوان «فرصت‌ها و چالش‌های کارآفرینی غذایی: بررسی کیفی عمیق کارآفرینان ارزن»، با مصاحبه نیمه‌ساختاریافته با بیست‌وپنج کارآفرین فرآورده‌های ارزن در هند، فرصت‌ها و چالش‌های کارآفرینی غذایی را به روش اکتشافی شناسایی کردند.</w:t>
      </w:r>
    </w:p>
    <w:p>
      <w:pPr>
        <w:bidi/>
        <w:spacing w:after="80" w:line="276" w:lineRule="auto"/>
        <w:ind w:firstLine="720"/>
        <w:jc w:val="both"/>
      </w:pPr>
      <w:r>
        <w:rPr>
          <w:rtl/>
        </w:rPr>
        <w:t xml:space="preserve">نعیم و همکاران (۲۰۲۳)</w:t>
      </w:r>
      <w:r>
        <w:rPr>
          <w:rStyle w:val="FootnoteReference"/>
        </w:rPr>
        <w:footnoteReference w:id="78"/>
      </w:r>
      <w:r>
        <w:rPr>
          <w:rtl/>
        </w:rPr>
        <w:t xml:space="preserve"> در پژوهشی با عنوان «فرایند گام‌به‌گام تحلیل مضمون برای توسعه یک مدل مفهومی در پژوهش کیفی»، با هدف افزایش دقت و تکرارپذیری تحلیل مضمون، فرایندی گام‌به‌گام برای آن ارائه داده‌اند؛ شفافیت در گزارش فرایند کدگذاری و تحلیل مضمون، شرط تکرارپذیری و ارزیابی یافته‌های کیفی است.</w:t>
      </w:r>
    </w:p>
    <w:p>
      <w:pPr>
        <w:bidi/>
        <w:spacing w:after="80" w:line="276" w:lineRule="auto"/>
        <w:ind w:firstLine="720"/>
        <w:jc w:val="both"/>
      </w:pPr>
      <w:r>
        <w:rPr>
          <w:rtl/>
        </w:rPr>
        <w:t xml:space="preserve">آرته و لاریمو (۲۰۲۲)</w:t>
      </w:r>
      <w:r>
        <w:rPr>
          <w:rStyle w:val="FootnoteReference"/>
        </w:rPr>
        <w:footnoteReference w:id="79"/>
      </w:r>
      <w:r>
        <w:rPr>
          <w:rtl/>
        </w:rPr>
        <w:t xml:space="preserve"> در پژوهشی با عنوان «نقش تعدیل‌گر تنوع محصولی در رابطه تنوع بین‌المللی و عملکرد: یک فراتحلیل»، در فراتحلیلی که ۲۶۳ اندازه اثر از ۱۸۷ پژوهش اولیه را پوشش می‌دهد، نقش تعدیل‌گر تنوع محصولی را در رابطه میان تنوع بین‌المللی و عملکرد بنگاه آزمودند و نشان دادند این رابطه به‌شکل </w:t>
      </w:r>
      <w:r>
        <w:rPr>
          <w:rFonts w:ascii="Times New Roman" w:hAnsi="Times New Roman" w:cs="Times New Roman" w:eastAsia="Times New Roman"/>
          <w:sz w:val="26"/>
          <w:szCs w:val="26"/>
        </w:rPr>
        <w:t xml:space="preserve">U</w:t>
      </w:r>
      <w:r>
        <w:rPr>
          <w:rtl/>
        </w:rPr>
        <w:t xml:space="preserve"> معکوس است.</w:t>
      </w:r>
    </w:p>
    <w:p>
      <w:pPr>
        <w:bidi/>
        <w:spacing w:after="80" w:line="276" w:lineRule="auto"/>
        <w:ind w:firstLine="720"/>
        <w:jc w:val="both"/>
      </w:pPr>
      <w:r>
        <w:rPr>
          <w:rtl/>
        </w:rPr>
        <w:t xml:space="preserve">تانئو، نویا، ستیاتی و ملانی (۲۰۲۲)</w:t>
      </w:r>
      <w:r>
        <w:rPr>
          <w:rStyle w:val="FootnoteReference"/>
        </w:rPr>
        <w:footnoteReference w:id="80"/>
      </w:r>
      <w:r>
        <w:rPr>
          <w:rtl/>
        </w:rPr>
        <w:t xml:space="preserve"> در پژوهشی مقدماتی با عنوان «ارتقای توانمندی منابع انسانی مدیران بنگاه‌های کوچک و متوسط غذایی از راه آموزش: یک پژوهش مقدماتی»، تأثیر آموزش بر ارتقای قابلیت منابع انسانی مدیران بنگاه‌های کوچک و متوسط صنعت غذایی را در منطقه مالانگ اندونزی بررسی کردند و نشان دادند که دانش مدیران در موضوعات مرتبط با مدیریت منابع انسانی، پس از دوره آموزشی به‌طور معناداری افزایش یافت.</w:t>
      </w:r>
    </w:p>
    <w:p>
      <w:pPr>
        <w:bidi/>
        <w:spacing w:after="80" w:line="276" w:lineRule="auto"/>
        <w:ind w:firstLine="720"/>
        <w:jc w:val="both"/>
      </w:pPr>
      <w:r>
        <w:rPr>
          <w:rtl/>
        </w:rPr>
        <w:t xml:space="preserve">توماران، الشلاقی، المعماری و عبدالرب (۲۰۲۲)</w:t>
      </w:r>
      <w:r>
        <w:rPr>
          <w:rStyle w:val="FootnoteReference"/>
        </w:rPr>
        <w:footnoteReference w:id="81"/>
      </w:r>
      <w:r>
        <w:rPr>
          <w:rtl/>
        </w:rPr>
        <w:t xml:space="preserve"> در پژوهشی با عنوان «عوامل کلیدی شکل‌گیری مزیت رقابتی در بنگاه‌های کوچک و متوسط: مطالعه موردی منطقه حائل»، با پیمایش ۲۲۰ بنگاه کوچک و متوسط در عربستان سعودی، عوامل شکل‌دهنده مزیت رقابتی این بنگاه‌ها را بررسی کردند و نشان دادند که مزیت تمایز با نوآوری، پیش‌قدمی، ریسک‌پذیری و تهاجم رقابتی کارآفرینانه پیوند مستقیم دارد.</w:t>
      </w:r>
    </w:p>
    <w:p>
      <w:pPr>
        <w:bidi/>
        <w:spacing w:after="80" w:line="276" w:lineRule="auto"/>
        <w:ind w:firstLine="720"/>
        <w:jc w:val="both"/>
      </w:pPr>
      <w:r>
        <w:rPr>
          <w:rtl/>
        </w:rPr>
        <w:t xml:space="preserve">سینگ، دولتانی و ساهو (۲۰۲۲)</w:t>
      </w:r>
      <w:r>
        <w:rPr>
          <w:rStyle w:val="FootnoteReference"/>
        </w:rPr>
        <w:footnoteReference w:id="82"/>
      </w:r>
      <w:r>
        <w:rPr>
          <w:rtl/>
        </w:rPr>
        <w:t xml:space="preserve"> در پژوهشی با عنوان «بررسی موانع رشد در بخش فرآوری مواد غذایی هند»، با روش دلفی و مرور گسترده ادبیات، هجده مانع رشد در صنعت فرآوری مواد غذایی هند را در سه سطح زنجیره تأمین سطح مزرعه، سطح توزیع و سطح مصرف‌کننده شناسایی کردند.</w:t>
      </w:r>
    </w:p>
    <w:p>
      <w:pPr>
        <w:bidi/>
        <w:spacing w:after="80" w:line="276" w:lineRule="auto"/>
        <w:ind w:firstLine="720"/>
        <w:jc w:val="both"/>
      </w:pPr>
      <w:r>
        <w:rPr>
          <w:rtl/>
        </w:rPr>
        <w:t xml:space="preserve">میکلیان و هولشر (۲۰۲۲)</w:t>
      </w:r>
      <w:r>
        <w:rPr>
          <w:rStyle w:val="FootnoteReference"/>
        </w:rPr>
        <w:footnoteReference w:id="83"/>
      </w:r>
      <w:r>
        <w:rPr>
          <w:rtl/>
        </w:rPr>
        <w:t xml:space="preserve"> در پژوهشی با عنوان «بنگاه‌های کوچک و شوک‌های برون‌زا: مرور مفهومی ادبیات و دستور کار پژوهش‌های آینده»، در مرور مفهومی گسترده‌ای بر ادبیات شوک‌های برون‌زا، که بیش از ۲۰۰ مقاله و گزارش را در بر می‌گیرد، تفاوت واکنش و آسیب‌پذیری بنگاه‌های کوچک را در مقایسه با بنگاه‌های بزرگ بررسی کردند و دستور کاری برای پژوهش‌های آینده ارائه دادند؛ پژوهش حاضر با تمرکز بر بنگاه تک‌محصولی صنعت غذایی در همین راستا قرار می‌گیرد.</w:t>
      </w:r>
    </w:p>
    <w:p>
      <w:pPr>
        <w:bidi/>
        <w:spacing w:after="80" w:line="276" w:lineRule="auto"/>
        <w:ind w:firstLine="720"/>
        <w:jc w:val="both"/>
      </w:pPr>
      <w:r>
        <w:rPr>
          <w:rtl/>
        </w:rPr>
        <w:t xml:space="preserve">آزم و همکاران (۲۰۲۱)</w:t>
      </w:r>
      <w:r>
        <w:rPr>
          <w:rStyle w:val="FootnoteReference"/>
        </w:rPr>
        <w:footnoteReference w:id="84"/>
      </w:r>
      <w:r>
        <w:rPr>
          <w:rtl/>
        </w:rPr>
        <w:t xml:space="preserve"> در پژوهشی با عنوان «آیا فشار ذی‌نفعان بر پذیرش ابتکارات زنجیره تأمین پایدار اثر دارد؟ یافته‌هایی از صنعت فرآوری کشاورزی»، نقش فشار ذی‌نفعان در پذیرش ابتکارات زنجیره تأمین پایدار را در صنعت فرآوری کشاورزی بررسی کردند.</w:t>
      </w:r>
    </w:p>
    <w:p>
      <w:pPr>
        <w:bidi/>
        <w:spacing w:after="80" w:line="276" w:lineRule="auto"/>
        <w:ind w:firstLine="720"/>
        <w:jc w:val="both"/>
      </w:pPr>
      <w:r>
        <w:rPr>
          <w:rtl/>
        </w:rPr>
        <w:t xml:space="preserve">مامن، الساندری و ویس (۲۰۲۱)</w:t>
      </w:r>
      <w:r>
        <w:rPr>
          <w:rStyle w:val="FootnoteReference"/>
        </w:rPr>
        <w:footnoteReference w:id="85"/>
      </w:r>
      <w:r>
        <w:rPr>
          <w:rtl/>
        </w:rPr>
        <w:t xml:space="preserve"> در پژوهشی با عنوان «پیامدهای ریسک تنوع‌بخشی: تلفیق اثرات تنوع محصولی و جغرافیایی»، بر ریسک بنگاه را در نمونه‌ای از بنگاه‌های بزرگ آمریکایی بررسی کردند.</w:t>
      </w:r>
    </w:p>
    <w:p>
      <w:pPr>
        <w:bidi/>
        <w:spacing w:after="80" w:line="276" w:lineRule="auto"/>
        <w:ind w:firstLine="720"/>
        <w:jc w:val="both"/>
      </w:pPr>
      <w:r>
        <w:rPr>
          <w:rtl/>
        </w:rPr>
        <w:t xml:space="preserve">مانگلا و همکاران (۲۰۲۱)</w:t>
      </w:r>
      <w:r>
        <w:rPr>
          <w:rStyle w:val="FootnoteReference"/>
        </w:rPr>
        <w:footnoteReference w:id="86"/>
      </w:r>
      <w:r>
        <w:rPr>
          <w:rtl/>
        </w:rPr>
        <w:t xml:space="preserve"> در پژوهشی با عنوان «چارچوبی برای ارزیابی چالش‌های ابتکارات ایمنی مواد غذایی در یک اقتصاد نوظهور»، چالش‌های مربوط به سیاست‌گذاری و الزامات دولتی، دانش و منابع مالی را در کنار هم و در تعامل با یکدیگر می‌سنجد؛ این پژوهش بر نظر فعالان شش تولیدکننده بزرگ مواد غذایی هند و خبرگان دانشگاهی استوار است.</w:t>
      </w:r>
    </w:p>
    <w:p>
      <w:pPr>
        <w:bidi/>
        <w:spacing w:after="80" w:line="276" w:lineRule="auto"/>
        <w:ind w:firstLine="720"/>
        <w:jc w:val="both"/>
      </w:pPr>
      <w:r>
        <w:rPr>
          <w:rtl/>
        </w:rPr>
        <w:t xml:space="preserve">شومر، ریشتر و کارنا (۲۰۱۹)</w:t>
      </w:r>
      <w:r>
        <w:rPr>
          <w:rStyle w:val="FootnoteReference"/>
        </w:rPr>
        <w:footnoteReference w:id="87"/>
      </w:r>
      <w:r>
        <w:rPr>
          <w:rtl/>
        </w:rPr>
        <w:t xml:space="preserve"> در پژوهشی با عنوان «آیا رابطه تنوع‌یابی و عملکرد بنگاه در طول زمان تغییر می‌کند؟ یک مرور فراتحلیلی»، در فراتحلیلی بر بیش از شصت سال پژوهش تجربی نشان دادند که رابطه تنوع نامرتبط با عملکرد بنگاه در طول زمان به‌طور معناداری بهبود یافته، اما رابطه تنوع مرتبط با عملکرد نسبتاً پایدار مانده است.</w:t>
      </w:r>
    </w:p>
    <w:p>
      <w:pPr>
        <w:bidi/>
        <w:spacing w:after="80" w:line="276" w:lineRule="auto"/>
        <w:ind w:firstLine="720"/>
        <w:jc w:val="both"/>
      </w:pPr>
      <w:r>
        <w:rPr>
          <w:rtl/>
        </w:rPr>
        <w:t xml:space="preserve">ویلیامز و آرون (۲۰۱۸)</w:t>
      </w:r>
      <w:r>
        <w:rPr>
          <w:rStyle w:val="FootnoteReference"/>
        </w:rPr>
        <w:footnoteReference w:id="88"/>
      </w:r>
      <w:r>
        <w:rPr>
          <w:rtl/>
        </w:rPr>
        <w:t xml:space="preserve"> در پژوهشی با عنوان «تخصص‌گرایی به‌عنوان رویکرد راهبردی کسب‌وکارهای کوچک»، تخصص‌گرایی را، که بر محدود کردن دامنه محصولات و بازارهای بنگاه (و نه بر قیمت) استوار است، به عنوان یک گزینه راهبردی برای کسب‌وکارهای کوچک بررسی کردند و رابطه مثبت آن با عملکرد بنگاه را مطرح کردند.</w:t>
      </w:r>
    </w:p>
    <w:p>
      <w:pPr>
        <w:bidi/>
        <w:spacing w:after="80" w:line="276" w:lineRule="auto"/>
        <w:ind w:firstLine="720"/>
        <w:jc w:val="both"/>
      </w:pPr>
      <w:r>
        <w:rPr>
          <w:rtl/>
        </w:rPr>
        <w:t xml:space="preserve">از منظر روش‌شناختی، پژوهش‌های خارجی مرورشده طیف متنوعی از رویکردها را در بر می‌گیرند. وجه مشترک آن‌ها این است که هیچ‌کدام به‌طور مستقیم تجربه عملیاتی فروش در یک بنگاه کوچک تک‌محصولی صنعت مواد غذایی را، با رویکردی اکتشافی و از زبان فعالان همان صنعت، بررسی نکرده‌اند؛ شکافی که در بخش بعدی به‌طور صریح صورت‌بندی می‌شود. پژوهش حاضر، با انتخاب رویکرد کیفی اکتشافی، به همین شکاف پاسخ می‌دهد.</w:t>
      </w:r>
    </w:p>
    <w:p>
      <w:pPr>
        <w:pStyle w:val="Heading2"/>
        <w:keepNext/>
        <w:bidi/>
        <w:spacing w:before="240" w:after="80"/>
      </w:pPr>
      <w:bookmarkStart w:id="26" w:name="_Toc200000026"/>
      <w:r>
        <w:t>۲ـ۴ جمع‌بندی و ارائه مدل مفهومی (موارد برگرفته از ادبیات نظری)</w:t>
      </w:r>
      <w:bookmarkEnd w:id="26"/>
    </w:p>
    <w:p>
      <w:pPr>
        <w:bidi/>
        <w:spacing w:after="80" w:line="276" w:lineRule="auto"/>
        <w:ind w:firstLine="720"/>
        <w:jc w:val="both"/>
      </w:pPr>
      <w:r>
        <w:rPr>
          <w:rtl/>
        </w:rPr>
        <w:t xml:space="preserve">مرور مطالعات داخلی نشان می‌دهد که پژوهشگران ایرانی توجه قابل‌توجهی به موانع فروش، توزیع و بازاریابی در صنعت مواد غذایی داشته‌اند. با این حال، هیچ‌یک از این مطالعات شرکت تک‌محصولی را به‌عنوان یک گروه ساختاری متمایز، واحد تحلیل قرار نداده‌اند. مطالعات موجود یا زنجیره تأمین را در کل بررسی کرده‌اند، یا بر دسته‌های خاص محصول یا کانال توزیع متمرکز بوده‌اند. مرور مطالعات خارجی نیز روشن می‌سازد که ادبیات بین‌المللی، رابطه تمرکز و ریسک را عمدتاً در سطح مالی و با داده‌های بزرگ‌مقیاس دنبال کرده است و مطالعات کیفی اندکی </w:t>
      </w:r>
      <w:r>
        <w:rPr>
          <w:rFonts/>
          <w:rtl/>
        </w:rPr>
        <w:t>مانند</w:t>
      </w:r>
      <w:r>
        <w:rPr>
          <w:rtl/>
        </w:rPr>
        <w:t xml:space="preserve"> پژوهش شاه و همکاران (۲۰۲۳)</w:t>
      </w:r>
      <w:r>
        <w:rPr>
          <w:rStyle w:val="FootnoteReference"/>
        </w:rPr>
        <w:footnoteReference w:id="89"/>
      </w:r>
      <w:r>
        <w:rPr>
          <w:rtl/>
        </w:rPr>
        <w:t xml:space="preserve"> </w:t>
      </w:r>
      <w:r>
        <w:rPr>
          <w:rFonts/>
          <w:rtl/>
        </w:rPr>
        <w:t>به</w:t>
      </w:r>
      <w:r>
        <w:rPr>
          <w:rtl/>
        </w:rPr>
        <w:t xml:space="preserve"> </w:t>
      </w:r>
      <w:r>
        <w:rPr>
          <w:rFonts/>
          <w:rtl/>
        </w:rPr>
        <w:t>تجربه</w:t>
      </w:r>
      <w:r>
        <w:rPr>
          <w:rtl/>
        </w:rPr>
        <w:t xml:space="preserve"> </w:t>
      </w:r>
      <w:r>
        <w:rPr>
          <w:rFonts/>
          <w:rtl/>
        </w:rPr>
        <w:t>زیسته</w:t>
      </w:r>
      <w:r>
        <w:rPr>
          <w:rtl/>
        </w:rPr>
        <w:t xml:space="preserve"> </w:t>
      </w:r>
      <w:r>
        <w:rPr>
          <w:rFonts/>
          <w:rtl/>
        </w:rPr>
        <w:t>کارآفرینان</w:t>
      </w:r>
      <w:r>
        <w:rPr>
          <w:rtl/>
        </w:rPr>
        <w:t xml:space="preserve"> </w:t>
      </w:r>
      <w:r>
        <w:rPr>
          <w:rFonts/>
          <w:rtl/>
        </w:rPr>
        <w:t>غذایی</w:t>
      </w:r>
      <w:r>
        <w:rPr>
          <w:rtl/>
        </w:rPr>
        <w:t xml:space="preserve"> </w:t>
      </w:r>
      <w:r>
        <w:rPr>
          <w:rFonts/>
          <w:rtl/>
        </w:rPr>
        <w:t>در</w:t>
      </w:r>
      <w:r>
        <w:rPr>
          <w:rtl/>
        </w:rPr>
        <w:t xml:space="preserve"> </w:t>
      </w:r>
      <w:r>
        <w:rPr>
          <w:rFonts/>
          <w:rtl/>
        </w:rPr>
        <w:t>سطح</w:t>
      </w:r>
      <w:r>
        <w:rPr>
          <w:rtl/>
        </w:rPr>
        <w:t xml:space="preserve"> </w:t>
      </w:r>
      <w:r>
        <w:rPr>
          <w:rFonts/>
          <w:rtl/>
        </w:rPr>
        <w:t>عملیاتی</w:t>
      </w:r>
      <w:r>
        <w:rPr>
          <w:rtl/>
        </w:rPr>
        <w:t xml:space="preserve"> </w:t>
      </w:r>
      <w:r>
        <w:rPr>
          <w:rFonts/>
          <w:rtl/>
        </w:rPr>
        <w:t>ورود</w:t>
      </w:r>
      <w:r>
        <w:rPr>
          <w:rtl/>
        </w:rPr>
        <w:t xml:space="preserve"> </w:t>
      </w:r>
      <w:r>
        <w:rPr>
          <w:rFonts/>
          <w:rtl/>
        </w:rPr>
        <w:t>کرده‌اند</w:t>
      </w:r>
      <w:r>
        <w:rPr>
          <w:rtl/>
        </w:rPr>
        <w:t xml:space="preserve">. </w:t>
      </w:r>
      <w:r>
        <w:rPr>
          <w:rFonts/>
          <w:rtl/>
        </w:rPr>
        <w:t>ترکیب</w:t>
      </w:r>
      <w:r>
        <w:rPr>
          <w:rtl/>
        </w:rPr>
        <w:t xml:space="preserve"> </w:t>
      </w:r>
      <w:r>
        <w:rPr>
          <w:rFonts/>
          <w:rtl/>
        </w:rPr>
        <w:t>یافته‌های</w:t>
      </w:r>
      <w:r>
        <w:rPr>
          <w:rtl/>
        </w:rPr>
        <w:t xml:space="preserve"> </w:t>
      </w:r>
      <w:r>
        <w:rPr>
          <w:rFonts/>
          <w:rtl/>
        </w:rPr>
        <w:t>داخلی</w:t>
      </w:r>
      <w:r>
        <w:rPr>
          <w:rtl/>
        </w:rPr>
        <w:t xml:space="preserve"> </w:t>
      </w:r>
      <w:r>
        <w:rPr>
          <w:rFonts/>
          <w:rtl/>
        </w:rPr>
        <w:t>و</w:t>
      </w:r>
      <w:r>
        <w:rPr>
          <w:rtl/>
        </w:rPr>
        <w:t xml:space="preserve"> </w:t>
      </w:r>
      <w:r>
        <w:rPr>
          <w:rFonts/>
          <w:rtl/>
        </w:rPr>
        <w:t>خارجی</w:t>
      </w:r>
      <w:r>
        <w:rPr>
          <w:rtl/>
        </w:rPr>
        <w:t xml:space="preserve"> </w:t>
      </w:r>
      <w:r>
        <w:rPr>
          <w:rFonts/>
          <w:rtl/>
        </w:rPr>
        <w:t>شکافی</w:t>
      </w:r>
      <w:r>
        <w:rPr>
          <w:rtl/>
        </w:rPr>
        <w:t xml:space="preserve"> </w:t>
      </w:r>
      <w:r>
        <w:rPr>
          <w:rFonts/>
          <w:rtl/>
        </w:rPr>
        <w:t>روشن</w:t>
      </w:r>
      <w:r>
        <w:rPr>
          <w:rtl/>
        </w:rPr>
        <w:t xml:space="preserve"> </w:t>
      </w:r>
      <w:r>
        <w:rPr>
          <w:rFonts/>
          <w:rtl/>
        </w:rPr>
        <w:t>را</w:t>
      </w:r>
      <w:r>
        <w:rPr>
          <w:rtl/>
        </w:rPr>
        <w:t xml:space="preserve"> </w:t>
      </w:r>
      <w:r>
        <w:rPr>
          <w:rFonts/>
          <w:rtl/>
        </w:rPr>
        <w:t>آشکار</w:t>
      </w:r>
      <w:r>
        <w:rPr>
          <w:rtl/>
        </w:rPr>
        <w:t xml:space="preserve"> </w:t>
      </w:r>
      <w:r>
        <w:rPr>
          <w:rFonts/>
          <w:rtl/>
        </w:rPr>
        <w:t>می‌سازد</w:t>
      </w:r>
      <w:r>
        <w:rPr>
          <w:rtl/>
        </w:rPr>
        <w:t xml:space="preserve">: </w:t>
      </w:r>
      <w:r>
        <w:rPr>
          <w:rFonts/>
          <w:rtl/>
        </w:rPr>
        <w:t>نبود</w:t>
      </w:r>
      <w:r>
        <w:rPr>
          <w:rtl/>
        </w:rPr>
        <w:t xml:space="preserve"> </w:t>
      </w:r>
      <w:r>
        <w:rPr>
          <w:rFonts/>
          <w:rtl/>
        </w:rPr>
        <w:t>تحلیل</w:t>
      </w:r>
      <w:r>
        <w:rPr>
          <w:rtl/>
        </w:rPr>
        <w:t xml:space="preserve"> </w:t>
      </w:r>
      <w:r>
        <w:rPr>
          <w:rFonts/>
          <w:rtl/>
        </w:rPr>
        <w:t>اختصاصی</w:t>
      </w:r>
      <w:r>
        <w:rPr>
          <w:rtl/>
        </w:rPr>
        <w:t xml:space="preserve"> </w:t>
      </w:r>
      <w:r>
        <w:rPr>
          <w:rFonts/>
          <w:rtl/>
        </w:rPr>
        <w:t>و</w:t>
      </w:r>
      <w:r>
        <w:rPr>
          <w:rtl/>
        </w:rPr>
        <w:t xml:space="preserve"> </w:t>
      </w:r>
      <w:r>
        <w:rPr>
          <w:rFonts/>
          <w:rtl/>
        </w:rPr>
        <w:t>اکتشافی</w:t>
      </w:r>
      <w:r>
        <w:rPr>
          <w:rtl/>
        </w:rPr>
        <w:t xml:space="preserve"> </w:t>
      </w:r>
      <w:r>
        <w:rPr>
          <w:rFonts/>
          <w:rtl/>
        </w:rPr>
        <w:t>چالش‌های</w:t>
      </w:r>
      <w:r>
        <w:rPr>
          <w:rtl/>
        </w:rPr>
        <w:t xml:space="preserve"> </w:t>
      </w:r>
      <w:r>
        <w:rPr>
          <w:rFonts/>
          <w:rtl/>
        </w:rPr>
        <w:t>فروش</w:t>
      </w:r>
      <w:r>
        <w:rPr>
          <w:rtl/>
        </w:rPr>
        <w:t xml:space="preserve"> </w:t>
      </w:r>
      <w:r>
        <w:rPr>
          <w:rFonts/>
          <w:rtl/>
        </w:rPr>
        <w:t>شرکت‌های</w:t>
      </w:r>
      <w:r>
        <w:rPr>
          <w:rtl/>
        </w:rPr>
        <w:t xml:space="preserve"> </w:t>
      </w:r>
      <w:r>
        <w:rPr>
          <w:rFonts/>
          <w:rtl/>
        </w:rPr>
        <w:t>تک‌محصولی</w:t>
      </w:r>
      <w:r>
        <w:rPr>
          <w:rtl/>
        </w:rPr>
        <w:t xml:space="preserve"> </w:t>
      </w:r>
      <w:r>
        <w:rPr>
          <w:rFonts/>
          <w:rtl/>
        </w:rPr>
        <w:t>صنعت</w:t>
      </w:r>
      <w:r>
        <w:rPr>
          <w:rtl/>
        </w:rPr>
        <w:t xml:space="preserve"> </w:t>
      </w:r>
      <w:r>
        <w:rPr>
          <w:rFonts/>
          <w:rtl/>
        </w:rPr>
        <w:t>مواد</w:t>
      </w:r>
      <w:r>
        <w:rPr>
          <w:rtl/>
        </w:rPr>
        <w:t xml:space="preserve"> </w:t>
      </w:r>
      <w:r>
        <w:rPr>
          <w:rFonts/>
          <w:rtl/>
        </w:rPr>
        <w:t>غذایی</w:t>
      </w:r>
      <w:r>
        <w:rPr>
          <w:rtl/>
        </w:rPr>
        <w:t xml:space="preserve"> </w:t>
      </w:r>
      <w:r>
        <w:rPr>
          <w:rFonts/>
          <w:rtl/>
        </w:rPr>
        <w:t>ایران</w:t>
      </w:r>
      <w:r>
        <w:rPr>
          <w:rtl/>
        </w:rPr>
        <w:t>.</w:t>
      </w:r>
    </w:p>
    <w:p>
      <w:pPr>
        <w:bidi/>
        <w:spacing w:after="80" w:line="276" w:lineRule="auto"/>
        <w:ind w:firstLine="720"/>
        <w:jc w:val="both"/>
      </w:pPr>
      <w:r>
        <w:rPr>
          <w:rtl/>
        </w:rPr>
        <w:t>علاوه بر شکاف تجربی یادشده، شکاف نظری دیگری نیز در این مرور آشکار می‌شود. دخیخ و النجری (۲۰۲۶)</w:t>
      </w:r>
      <w:r>
        <w:rPr>
          <w:rStyle w:val="FootnoteReference"/>
        </w:rPr>
        <w:footnoteReference w:id="90"/>
      </w:r>
      <w:r>
        <w:rPr>
          <w:rtl/>
        </w:rPr>
        <w:t xml:space="preserve"> در مطالعه خود بر بنگاه‌های کوچک و متوسط عربستان، رابطه قابلیت‌های پویا و مزیت رقابتی را عمدتاً در سطح کلان و با داده‌های پیمایشی بررسی کردند؛ رویکردی که سازوکار دقیق این رابطه را در سطح عملیاتی و روزمره فروش روشن نمی‌سازد. پژوهش حاضر، با تمرکز اکتشافی بر تجربه زیسته فعالان صنعت مواد غذایی، تلاش می‌کند این سازوکار را در سطحی دقیق‌تر و زمینه‌مندتر آشکار سازد.</w:t>
      </w:r>
    </w:p>
    <w:p>
      <w:pPr>
        <w:bidi/>
        <w:spacing w:after="80" w:line="276" w:lineRule="auto"/>
        <w:ind w:firstLine="720"/>
        <w:jc w:val="both"/>
      </w:pPr>
      <w:r>
        <w:rPr>
          <w:rtl/>
        </w:rPr>
        <w:t>شکاف سومی نیز در تلاقی ادبیات داخلی و خارجی قابل مشاهده است. نجاتی (۱۴۰۰) و سیدغفوری و همکاران (۱۴۰۳) هر دو به بُعد دیجیتال فروش در صنعت مواد غذایی ایران پرداخته‌اند، اما از زاویه بنگاه‌های با سبد محصول متنوع یا زنجیره توزیع در کل. گوپتا و جگتپ (۲۰۲۴)</w:t>
      </w:r>
      <w:r>
        <w:rPr>
          <w:rStyle w:val="FootnoteReference"/>
        </w:rPr>
        <w:footnoteReference w:id="91"/>
      </w:r>
      <w:r>
        <w:rPr>
          <w:rtl/>
        </w:rPr>
        <w:t xml:space="preserve"> نیز موانع گذار دیجیتال را در سطح بنگاه‌های کوچک هندی بررسی کردند، اما نه با تمرکز اختصاصی بر بنگاه تک‌محصولی. پژوهش حاضر، با پیوند دادن این بُعد دیجیتال به بستر خاص بنگاه تک‌محصولی ایرانی، تلاش می‌کند این شکاف سوم را نیز تا حدی پوشش دهد.</w:t>
      </w:r>
    </w:p>
    <w:p>
      <w:pPr>
        <w:pStyle w:val="Heading3"/>
        <w:keepNext/>
        <w:bidi/>
        <w:spacing w:before="180" w:after="80"/>
      </w:pPr>
      <w:bookmarkStart w:id="27" w:name="_Toc200000027"/>
      <w:r>
        <w:t>۲ـ۴ـ۱ چالش‌های فروش برگرفته از ادبیات نظری</w:t>
      </w:r>
      <w:bookmarkEnd w:id="27"/>
    </w:p>
    <w:p>
      <w:pPr>
        <w:bidi/>
        <w:spacing w:after="80" w:line="276" w:lineRule="auto"/>
        <w:ind w:firstLine="720"/>
        <w:jc w:val="both"/>
      </w:pPr>
      <w:r>
        <w:rPr>
          <w:rtl/>
        </w:rPr>
        <w:t>مرور مبانی نظری و پیشینه پژوهش در بخش‌های پیشین، مجموعه‌ای از عوامل را به‌عنوان چ</w:t>
      </w:r>
      <w:r>
        <w:rPr>
          <w:rtl/>
        </w:rPr>
        <w:t xml:space="preserve">الش‌های بالقوه فروش در بنگاه‌های صنعت مواد غذایی برجسته می‌سازد. استخراج این عوامل بر دو معیار استوار بوده است: نخست، تکرار </w:t>
      </w:r>
      <w:r>
        <w:rPr>
          <w:rtl/>
        </w:rPr>
        <w:t>آن عامل در دست‌کم یکی از مبانی نظری یا پیشینه تجربی مرور‌شده در این فصل؛ دوم، تناسب مستقیم آن با واحد تحلیل پژوهش، یعنی بنگاه تک‌محص</w:t>
      </w:r>
      <w:r>
        <w:rPr>
          <w:rtl/>
        </w:rPr>
        <w:t xml:space="preserve">ولی فعال در صنعت مواد غذایی. </w:t>
      </w:r>
      <w:r>
        <w:rPr>
          <w:rtl/>
        </w:rPr>
        <w:t xml:space="preserve">در پژوهش اکتشافی، چنین فهرستی صرفاً نقطه آغاز حساس‌سازی پژوهشگر است، نه چارچوبی تحمیلی بر داده میدانی؛ رویکردی که</w:t>
      </w:r>
      <w:r>
        <w:rPr>
          <w:rtl/>
        </w:rPr>
        <w:t xml:space="preserve"> پژوهش حاضر نیز در تدوین جدول ۲-۱ دنبال می‌کند. این عوامل پیش از ورود به میدان، تصویری اولیه و </w:t>
      </w:r>
      <w:r>
        <w:rPr>
          <w:rtl/>
        </w:rPr>
        <w:t>موقت از قلمرو مسئله فراهم می‌آورند و در فصل پنجم، یافته‌های حاصل از دلفی با آن‌ها مقایسه خواهد شد. این فهرست همچنین تلفیقی از دو دسته منبع است: مبانی نظری بخش ۲-۲ که ماهیتی عمدتاً مفهومی و غیرایرانی دارند، و پیشینه تجربی بخش ۲-۳ که شامل مطالعات داخلی و خار</w:t>
      </w:r>
      <w:r>
        <w:rPr>
          <w:rtl/>
        </w:rPr>
        <w:t>جی مرتبط با بستر پژوهش حاضر می‌شوند؛ ترکیبی که تلاشی است برای پیوند دادن تعمیم‌پذیری نظری با تناسب زمینه‌ای. جدول ۲-۱ مهم‌ترین این عوامل را به همراه منبع نظری هر یک ارائه می‌دهد.</w:t>
      </w:r>
    </w:p>
    <w:p>
      <w:pPr>
        <w:pStyle w:val="TableCaption"/>
        <w:keepNext/>
        <w:spacing w:before="160" w:after="80"/>
        <w:jc w:val="center"/>
        <w:rPr>
          <w:vanish/>
        </w:rPr>
      </w:pPr>
      <w:bookmarkStart w:id="28" w:name="_Toc200000028"/>
      <w:r>
        <w:fldChar w:fldCharType="begin"/>
      </w:r>
      <w:r>
        <w:instrText xml:space="preserve"> TC "جدول ۲-۱ چالش‌های فروش برگرفته از ادبیات نظری" \f T \l 4 </w:instrText>
      </w:r>
      <w:r>
        <w:fldChar w:fldCharType="end"/>
      </w:r>
      <w:r>
        <w:t>جدول ۲-۱ چالش‌های فروش برگرفته از ادبیات نظری</w:t>
      </w:r>
      <w:r>
        <w:t xml:space="preserve"> (منبع: گردآوری پژوهشگر)</w:t>
      </w:r>
      <w:bookmarkEnd w:id="28"/>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200"/>
        <w:gridCol w:w="2888"/>
      </w:tblGrid>
      <w:tr>
        <w:trPr>
          <w:cantSplit/>
          <w:tblHead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b/>
                <w:bCs/>
                <w:sz w:val="22"/>
                <w:szCs w:val="22"/>
                <w:rtl/>
              </w:rPr>
              <w:t>ردیف</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b/>
                <w:bCs/>
                <w:sz w:val="22"/>
                <w:szCs w:val="22"/>
                <w:rtl/>
              </w:rPr>
              <w:t>چالش/عامل برگرفته از ادبیات نظری</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b/>
                <w:bCs/>
                <w:sz w:val="22"/>
                <w:szCs w:val="22"/>
                <w:rtl/>
              </w:rPr>
              <w:t>منبع</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۱</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وابستگی درآمد به یک منبع و نوسان بیشتر بازده در بنگاه‌های متمرکز</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rPr>
                <w:rFonts w:asciiTheme="majorBidi" w:hAnsiTheme="majorBidi" w:cstheme="majorBidi"/>
              </w:rPr>
            </w:pPr>
            <w:r>
              <w:rPr>
                <w:sz w:val="22"/>
                <w:szCs w:val="22"/>
                <w:rtl/>
              </w:rPr>
              <w:t xml:space="preserve">مامن و همکاران، ۲۰۲۱</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۲</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پیش‌بینی نادرست تقاضا و محدودیت اعتبار مالی در حوزه فروش</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اسکندری و همکاران، ۱۴۰۴</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۳</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شکاف میان نگرش مثبت مصرف‌کننده و رفتار خرید واقعی او</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 xml:space="preserve">صفری و اسماعیل‌نژاد، ۱۴۰۳</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۴</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 xml:space="preserve">اختلال در زنجیره تأمین (از جمله اختلال اقتصادی) و اثر آن بر تاب‌آوری زنجیره</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کریمی و همکاران، ۱۴۰۳</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۵</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 xml:space="preserve">محدودیت منابع مالی و موانع فناورانه و اطلاعاتی در بنگاه‌های کوچک و متوسط</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rPr>
                <w:rFonts w:asciiTheme="majorBidi" w:hAnsiTheme="majorBidi" w:cstheme="majorBidi"/>
              </w:rPr>
            </w:pPr>
            <w:r>
              <w:rPr>
                <w:sz w:val="22"/>
                <w:szCs w:val="22"/>
                <w:rtl/>
              </w:rPr>
              <w:t xml:space="preserve">زین و همکاران، ۲۰۲۳</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۶</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الزامات نظارتی و ایمنی مواد غذایی</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rPr>
                <w:rFonts w:asciiTheme="majorBidi" w:hAnsiTheme="majorBidi" w:cstheme="majorBidi"/>
              </w:rPr>
            </w:pPr>
            <w:r>
              <w:rPr>
                <w:sz w:val="22"/>
                <w:szCs w:val="22"/>
                <w:rtl/>
              </w:rPr>
              <w:t xml:space="preserve">مانگلا و همکاران، ۲۰۲۱</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۷</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تشدید نیروهای رقابتی، شامل تهدید جایگزین‌ها و قدرت چانه‌زنی خریداران و تأمین‌کنندگان</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rPr>
                <w:rFonts w:asciiTheme="majorBidi" w:hAnsiTheme="majorBidi" w:cstheme="majorBidi"/>
              </w:rPr>
            </w:pPr>
            <w:r>
              <w:rPr>
                <w:sz w:val="22"/>
                <w:szCs w:val="22"/>
                <w:rtl/>
              </w:rPr>
              <w:t xml:space="preserve">پانگارکار و پرابهوداسای، ۲۰۲۴</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۸</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کمبود تنوع و تمایز محصول و فاصله از صرفه‌های مقیاس</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قلی‌پور و همکاران، ۱۴۰۳</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۹</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ناکارآمدی کانال توزیع و قیمت‌گذاری نامناسب</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rPr>
                <w:rFonts w:asciiTheme="majorBidi" w:hAnsiTheme="majorBidi" w:cstheme="majorBidi"/>
              </w:rPr>
            </w:pPr>
            <w:r>
              <w:rPr>
                <w:sz w:val="22"/>
                <w:szCs w:val="22"/>
                <w:rtl/>
              </w:rPr>
              <w:t xml:space="preserve">سوریاتی و لوسیه، ۲۰۲۲</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۱۰</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 xml:space="preserve">ضعف برندسازی و تمایز محصول و پیوند آن با ذهنیت کارآفرینانه بنگاه کوچک</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rPr>
                <w:rFonts w:asciiTheme="majorBidi" w:hAnsiTheme="majorBidi" w:cstheme="majorBidi"/>
              </w:rPr>
            </w:pPr>
            <w:r>
              <w:rPr>
                <w:sz w:val="22"/>
                <w:szCs w:val="22"/>
                <w:rtl/>
              </w:rPr>
              <w:t xml:space="preserve">صفری و اسماعیل‌نژاد، ۱۴۰۳؛ میثمی‌آزاد و همکاران، ۱۴۰۰؛ </w:t>
            </w:r>
            <w:r>
              <w:rPr>
                <w:sz w:val="22"/>
                <w:szCs w:val="22"/>
                <w:rtl/>
              </w:rPr>
              <w:t xml:space="preserve">توماران و همکاران، ۲۰۲۲</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۱۱</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 xml:space="preserve">محدودیت دانش و مهارت منابع انسانی، از جمله کمبود نیروی فروش ماهر</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rPr>
                <w:rFonts w:asciiTheme="majorBidi" w:hAnsiTheme="majorBidi" w:cstheme="majorBidi"/>
              </w:rPr>
            </w:pPr>
            <w:r>
              <w:rPr>
                <w:sz w:val="22"/>
                <w:szCs w:val="22"/>
                <w:rtl/>
              </w:rPr>
              <w:t xml:space="preserve">تانئو و همکاران، ۲۰۲۲</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۱۲</w:t>
            </w:r>
          </w:p>
        </w:tc>
        <w:tc>
          <w:tcPr>
            <w:tcW w:w="5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pPr>
            <w:r>
              <w:rPr>
                <w:sz w:val="22"/>
                <w:szCs w:val="22"/>
                <w:rtl/>
              </w:rPr>
              <w:t xml:space="preserve">محدودیت قابلیت نوآوری و تضعیف مزیت رقابتی پایدار در بلندمدت</w:t>
            </w:r>
          </w:p>
        </w:tc>
        <w:tc>
          <w:tcPr>
            <w:tcW w:w="2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both"/>
              <w:rPr>
                <w:rFonts w:asciiTheme="majorBidi" w:hAnsiTheme="majorBidi" w:cstheme="majorBidi"/>
              </w:rPr>
            </w:pPr>
            <w:r>
              <w:rPr>
                <w:sz w:val="22"/>
                <w:szCs w:val="22"/>
                <w:rtl/>
              </w:rPr>
              <w:t xml:space="preserve">دخیخ و النجری، ۲۰۲۶</w:t>
            </w:r>
          </w:p>
        </w:tc>
      </w:tr>
    </w:tbl>
    <w:p>
      <w:pPr>
        <w:bidi/>
        <w:jc w:val="both"/>
      </w:pPr>
    </w:p>
    <w:p>
      <w:pPr>
        <w:bidi/>
        <w:spacing w:after="80" w:line="276" w:lineRule="auto"/>
        <w:ind w:firstLine="720"/>
        <w:jc w:val="both"/>
      </w:pPr>
      <w:r>
        <w:rPr>
          <w:rtl/>
        </w:rPr>
        <w:t xml:space="preserve">نگاهی به جدول بالا نشان می‌دهد که چالش‌های برگرفته از ادبیات نظری در دو دسته کلی جای می‌گیرند: دسته نخست، عوامل درون‌سازمانی </w:t>
      </w:r>
      <w:r>
        <w:rPr>
          <w:rFonts/>
          <w:rtl/>
        </w:rPr>
        <w:t>همسو</w:t>
      </w:r>
      <w:r>
        <w:rPr>
          <w:rtl/>
        </w:rPr>
        <w:t xml:space="preserve"> </w:t>
      </w:r>
      <w:r>
        <w:rPr>
          <w:rFonts/>
          <w:rtl/>
        </w:rPr>
        <w:t>با</w:t>
      </w:r>
      <w:r>
        <w:rPr>
          <w:rtl/>
        </w:rPr>
        <w:t xml:space="preserve"> </w:t>
      </w:r>
      <w:r>
        <w:rPr>
          <w:rFonts/>
          <w:rtl/>
        </w:rPr>
        <w:t>دیدگاه</w:t>
      </w:r>
      <w:r>
        <w:rPr>
          <w:rtl/>
        </w:rPr>
        <w:t xml:space="preserve"> </w:t>
      </w:r>
      <w:r>
        <w:rPr>
          <w:rFonts/>
          <w:rtl/>
        </w:rPr>
        <w:t>منبع‌محور</w:t>
      </w:r>
      <w:r>
        <w:rPr>
          <w:rtl/>
        </w:rPr>
        <w:t xml:space="preserve"> (</w:t>
      </w:r>
      <w:r>
        <w:rPr>
          <w:rFonts/>
          <w:rtl/>
        </w:rPr>
        <w:t>کرو</w:t>
      </w:r>
      <w:r>
        <w:rPr>
          <w:rtl/>
        </w:rPr>
        <w:t xml:space="preserve"> </w:t>
      </w:r>
      <w:r>
        <w:rPr>
          <w:rFonts/>
          <w:rtl/>
        </w:rPr>
        <w:t>و</w:t>
      </w:r>
      <w:r>
        <w:rPr>
          <w:rtl/>
        </w:rPr>
        <w:t xml:space="preserve"> </w:t>
      </w:r>
      <w:r>
        <w:rPr>
          <w:rFonts/>
          <w:rtl/>
        </w:rPr>
        <w:t>بوگاله،</w:t>
      </w:r>
      <w:r>
        <w:rPr>
          <w:rtl/>
        </w:rPr>
        <w:t xml:space="preserve"> </w:t>
      </w:r>
      <w:r>
        <w:rPr>
          <w:rFonts/>
          <w:rtl/>
        </w:rPr>
        <w:t>۲۰۲۳</w:t>
      </w:r>
      <w:r>
        <w:rPr>
          <w:rtl/>
        </w:rPr>
        <w:t>)</w:t>
      </w:r>
      <w:r>
        <w:rPr>
          <w:rStyle w:val="FootnoteReference"/>
        </w:rPr>
        <w:footnoteReference w:id="92"/>
      </w:r>
      <w:r>
        <w:rPr>
          <w:rtl/>
        </w:rPr>
        <w:t xml:space="preserve"> </w:t>
      </w:r>
      <w:r>
        <w:rPr>
          <w:rFonts/>
          <w:rtl/>
        </w:rPr>
        <w:t xml:space="preserve">مانند وابستگی درآمدی به یک منبع، پیش‌بینی نادرست تقاضا، شکاف نگرش-رفتار مصرف‌کننده، ضعف برندسازی و ناکارآمدی توزیع را در بر می‌گیرد</w:t>
      </w:r>
      <w:r>
        <w:rPr>
          <w:rtl/>
        </w:rPr>
        <w:t xml:space="preserve">؛ </w:t>
      </w:r>
      <w:r>
        <w:rPr>
          <w:rtl/>
        </w:rPr>
        <w:t xml:space="preserve">دسته دوم، عوامل برون‌سازمانی مانند تشدید نیروهای رقابتی، که با چارچوب نیروهای پنج‌گانه رقابتی (پانگارکار و پرابهوداسای، ۲۰۲۴)</w:t>
      </w:r>
      <w:r>
        <w:rPr>
          <w:rStyle w:val="FootnoteReference"/>
        </w:rPr>
        <w:footnoteReference w:id="93"/>
      </w:r>
      <w:r>
        <w:rPr>
          <w:rtl/>
        </w:rPr>
        <w:t xml:space="preserve"> همسوست، و نیز اختلال تأمین و الزامات نظارتی را شامل می‌شود</w:t>
      </w:r>
      <w:r>
        <w:rPr>
          <w:rtl/>
        </w:rPr>
        <w:t xml:space="preserve">. </w:t>
      </w:r>
      <w:r>
        <w:rPr>
          <w:rFonts/>
          <w:rtl/>
        </w:rPr>
        <w:t>این</w:t>
      </w:r>
      <w:r>
        <w:rPr>
          <w:rtl/>
        </w:rPr>
        <w:t xml:space="preserve"> </w:t>
      </w:r>
      <w:r>
        <w:rPr>
          <w:rFonts/>
          <w:rtl/>
        </w:rPr>
        <w:t>تفکیک</w:t>
      </w:r>
      <w:r>
        <w:rPr>
          <w:rtl/>
        </w:rPr>
        <w:t xml:space="preserve"> </w:t>
      </w:r>
      <w:r>
        <w:rPr>
          <w:rFonts/>
          <w:rtl/>
        </w:rPr>
        <w:t>دوگانه</w:t>
      </w:r>
      <w:r>
        <w:rPr>
          <w:rtl/>
        </w:rPr>
        <w:t xml:space="preserve"> </w:t>
      </w:r>
      <w:r>
        <w:rPr>
          <w:rFonts/>
          <w:rtl/>
        </w:rPr>
        <w:t>با</w:t>
      </w:r>
      <w:r>
        <w:rPr>
          <w:rtl/>
        </w:rPr>
        <w:t xml:space="preserve"> </w:t>
      </w:r>
      <w:r>
        <w:rPr>
          <w:rFonts/>
          <w:rtl/>
        </w:rPr>
        <w:t>چا</w:t>
      </w:r>
      <w:r>
        <w:rPr>
          <w:rtl/>
        </w:rPr>
        <w:t>رچوب نظری ارائه‌شده در بخش ۲-۲-۳ هم‌خوان است و مبنای دسته‌بندی گویه‌ها در تحلیل داده‌های میدانی فصل چهارم قرار خواهد گرفت.</w:t>
      </w:r>
    </w:p>
    <w:p>
      <w:pPr>
        <w:bidi/>
        <w:spacing w:after="80" w:line="276" w:lineRule="auto"/>
        <w:ind w:firstLine="720"/>
        <w:jc w:val="both"/>
      </w:pPr>
      <w:r>
        <w:rPr>
          <w:rtl/>
        </w:rPr>
        <w:t xml:space="preserve">لازم به تأکید است که فهرست جدول ۲-۱ ماهیتی موقت و پیشینی دارد و نباید با فهرست نهایی چالش‌های فروش اشتباه گرفته شود.</w:t>
      </w:r>
      <w:r>
        <w:rPr>
          <w:rtl/>
        </w:rPr>
        <w:t xml:space="preserve"> در پژوهش اکتشافی، این فهرست در مرحله ترکیب و بررسی گویه‌ها با کدهای پاسخ‌های دور نخست سنجیده شد؛ گویه‌ها از کدهای پاسخ‌ها ساخته شدند و چالشی از این فهرست تنها در صورتی وارد گویه‌ها شد که خبرگان آن را مطرح کرده بودند. فهرست به خبرگان ارائه نشد و نقش آن تحمیل چارچوبی از پیش تعیین‌شده بر داده میدانی نبود.</w:t>
      </w:r>
      <w:r>
        <w:rPr>
          <w:rtl/>
        </w:rPr>
        <w:t xml:space="preserve"> ممکن است برخی از این عوامل در تجربه زیسته خبرگان صنعت مواد غذایی ایران بازتابی نیابند و در عوض، عواملی بومی و زمینه‌مند که در ادبیات بین‌المللی یا داخلی مرورشده غایب بوده‌اند، از دل دلفی پدیدار شوند.</w:t>
      </w:r>
      <w:r>
        <w:rPr>
          <w:rtl/>
        </w:rPr>
        <w:t xml:space="preserve"> از منظر روش‌شناختی، جدول ۲-۱ نقش دیگری نیز ایفا می‌کند: پایه‌ای برای طراحی پرسشنامه دلفی در فصل سوم فراهم می‌آورد.</w:t>
      </w:r>
      <w:r>
        <w:rPr>
          <w:rtl/>
        </w:rPr>
        <w:t xml:space="preserve"> سؤالات باز دور نخست دلفی به‌گونه‌ای طراحی می‌شوند که خبرگان را به روایت آزاد تجربه خود درباره چالش‌های فروش ترغیب کنند، بدون آنکه عناوین دقیق جدول ۲-۱ مستقیماً در پرسش‌ها بازگو شود؛ رویه‌ای که ریسک تلقین پاسخ را کاهش می‌دهد و در عین حال امکان مقایسه نظام‌مند یافته‌های میدانی با این مبانی نظری را در فصل چهارم و پنجم حفظ می‌کند.</w:t>
      </w:r>
      <w:r>
        <w:rPr>
          <w:rtl/>
        </w:rPr>
        <w:t xml:space="preserve"> مقایسه دقیق این دو فهرست نظری و میدانی موضوع اصلی فصل پنجم این پژوهش خواهد بود.</w:t>
      </w:r>
    </w:p>
    <w:p>
      <w:pPr>
        <w:bidi/>
        <w:spacing w:after="80" w:line="276" w:lineRule="auto"/>
        <w:ind w:firstLine="720"/>
        <w:jc w:val="both"/>
        <w:sectPr>
          <w:footerReference w:type="default" r:id="rId6"/>
          <w:footerReference w:type="first" r:id="rId5"/>
          <w:pgSz w:w="11906" w:h="16838"/>
          <w:pgMar w:top="1701" w:right="1701" w:bottom="1417" w:left="1417" w:header="709" w:footer="709" w:gutter="0"/>
          <w:pgNumType w:fmt="decimal"/>
          <w:cols w:space="720"/>
          <w:titlePg/>
          <w:docGrid w:linePitch="360"/>
        </w:sectPr>
      </w:pPr>
      <w:r>
        <w:rPr>
          <w:rtl/>
        </w:rPr>
        <w:t>این فصل با مرور مبانی نظری مرتبط با فروش، چالش‌های فروش، شرکت‌های تک‌محصولی و صنعت مواد غذایی آغاز شد، در ادامه مطالعات داخلی و خارجی مرتبط را بررسی</w:t>
      </w:r>
      <w:r>
        <w:rPr>
          <w:rtl/>
        </w:rPr>
        <w:t xml:space="preserve"> کرد و در پایان، چالش‌های فروش برگرفته از ادبیات نظری را در قالب جدولی فشرده جمع‌بندی نمود. سه خط استدلالی اصلی این فصل را به هم پیوند می‌دهند: نخست، فروش در بنگاه اقتصادی فرایندی چندلایه است که از تعامل منابع درونی، ساختار صنعت و رفتار مصرف‌کننده شکل می‌گ</w:t>
      </w:r>
      <w:r>
        <w:rPr>
          <w:rtl/>
        </w:rPr>
        <w:t xml:space="preserve">یرد؛ دوم، شرکت تک‌محصولی، به دلیل فقدان سازوکار جبران درون‌سازمانی، در هر یک </w:t>
      </w:r>
      <w:r>
        <w:rPr>
          <w:rtl/>
        </w:rPr>
        <w:t>از این لایه‌ها با آسیب‌پذیری ساختاری ویژه‌ای روبه‌روست؛ و سوم، صنعت مواد غذایی، با ویژگی‌های خاص خود، این آسیب‌پذیری را تشدید می‌کند. میکلیان و هولشر (۲۰۲۲)</w:t>
      </w:r>
      <w:r>
        <w:rPr>
          <w:rStyle w:val="FootnoteReference"/>
        </w:rPr>
        <w:footnoteReference w:id="94"/>
      </w:r>
      <w:r>
        <w:rPr>
          <w:rtl/>
        </w:rPr>
        <w:t xml:space="preserve"> </w:t>
      </w:r>
      <w:r>
        <w:rPr>
          <w:rtl/>
        </w:rPr>
        <w:t xml:space="preserve">در مرور مفهومی خود بر ادبیات شوک‌های برون‌زا، دستور کاری برای پژوهش‌های آینده درباره بنگاه‌های کوچک و متوسط ارائه کرده‌اند. نبود بررسی دقیق سازوکار آسیب‌پذیری بنگاه کوچک در سطح عملیاتی، خلأیی است که پژوهش حاضر با رویکردی اکتشافی و از طریق روش دلفی با خبرگان صنعت مواد غذایی ایران به آن می‌پردازد</w:t>
      </w:r>
      <w:r>
        <w:rPr>
          <w:rtl/>
        </w:rPr>
        <w:t>.</w:t>
      </w:r>
    </w:p>
    <w:tbl>
      <w:tblPr>
        <w:tblW w:w="8788" w:type="dxa"/>
        <w:tblLayout w:type="fixed"/>
        <w:tblLook w:val="0000"/>
      </w:tblPr>
      <w:tblGrid>
        <w:gridCol w:w="8788"/>
      </w:tblGrid>
      <w:tr>
        <w:trPr>
          <w:cantSplit/>
          <w:trHeight w:val="12000" w:hRule="exact"/>
        </w:trPr>
        <w:tc>
          <w:tcPr>
            <w:tcW w:w="8788" w:type="dxa"/>
            <w:vAlign w:val="center"/>
          </w:tcPr>
          <w:p>
            <w:pPr>
              <w:pStyle w:val="Heading1"/>
              <w:bidi/>
              <w:jc w:val="center"/>
            </w:pPr>
            <w:bookmarkStart w:id="29" w:name="_Toc200000029"/>
            <w:r>
              <w:rPr>
                <w:rtl/>
              </w:rPr>
              <w:t xml:space="preserve">فصل سوم: روش‌شناسی پژوهش</w:t>
            </w:r>
            <w:bookmarkEnd w:id="29"/>
          </w:p>
        </w:tc>
      </w:tr>
    </w:tbl>
    <w:p>
      <w:pPr>
        <w:pStyle w:val="Heading2"/>
        <w:keepNext/>
        <w:pageBreakBefore/>
        <w:bidi/>
        <w:spacing w:before="240" w:after="80"/>
      </w:pPr>
      <w:bookmarkStart w:id="30" w:name="_Toc200000030"/>
      <w:r>
        <w:t>۳ـ۱ مقدمه</w:t>
      </w:r>
      <w:bookmarkEnd w:id="30"/>
    </w:p>
    <w:p>
      <w:pPr>
        <w:bidi/>
        <w:spacing w:after="80" w:line="276" w:lineRule="auto"/>
        <w:ind w:firstLine="720"/>
        <w:jc w:val="both"/>
      </w:pPr>
      <w:r>
        <w:rPr>
          <w:rtl/>
        </w:rPr>
        <w:t>روش‌شناسی پل میان پرسش پژوهش و یافته‌های آن است. هر انتخاب روشی بر نوع یافته‌ای که می‌توان به دست آورد و بر حدود اعتبار آن‌ها اثر می‌گذارد. از این رو توضیح روشن و صادقانه این انتخاب‌ها، شرط ضروری ارزیابی علمی پژوهش است. در این فصل، نخست روش تحقیق و دلایل انتخاب آن تبیین می‌شود؛ سپس جامعه پژوهش، روش نمونه‌گیری و حجم نمونه، و روش و ابزار گردآوری داده‌ها معرفی می‌گردند؛ و در پایان، روش تجزیه و تحلیل داده‌ها و ملاحظات اخلاقی پژوهش ارائه می‌شود.</w:t>
      </w:r>
    </w:p>
    <w:p>
      <w:pPr>
        <w:bidi/>
        <w:spacing w:after="80" w:line="276" w:lineRule="auto"/>
        <w:ind w:firstLine="720"/>
        <w:jc w:val="both"/>
      </w:pPr>
      <w:r>
        <w:rPr>
          <w:rtl/>
        </w:rPr>
        <w:t xml:space="preserve">نکته‌ای که باید پیش از ورود به جزئیات گفته شود: انتخاب روش در این پژوهش نه بر اساس آشنایی پژوهشگر با یک ابزار خاص، بلکه بر اساس ماهیت پرسش پژوهش انجام شده است. این اصل </w:t>
      </w:r>
      <w:r>
        <w:rPr>
          <w:rFonts/>
          <w:rtl/>
        </w:rPr>
        <w:t>که</w:t>
      </w:r>
      <w:r>
        <w:rPr>
          <w:rtl/>
        </w:rPr>
        <w:t xml:space="preserve"> </w:t>
      </w:r>
      <w:r>
        <w:rPr>
          <w:rFonts/>
          <w:rtl/>
        </w:rPr>
        <w:t>روش</w:t>
      </w:r>
      <w:r>
        <w:rPr>
          <w:rtl/>
        </w:rPr>
        <w:t xml:space="preserve"> </w:t>
      </w:r>
      <w:r>
        <w:rPr>
          <w:rFonts/>
          <w:rtl/>
        </w:rPr>
        <w:t>باید</w:t>
      </w:r>
      <w:r>
        <w:rPr>
          <w:rtl/>
        </w:rPr>
        <w:t xml:space="preserve"> </w:t>
      </w:r>
      <w:r>
        <w:rPr>
          <w:rFonts/>
          <w:rtl/>
        </w:rPr>
        <w:t>پرسش</w:t>
      </w:r>
      <w:r>
        <w:rPr>
          <w:rtl/>
        </w:rPr>
        <w:t xml:space="preserve"> </w:t>
      </w:r>
      <w:r>
        <w:rPr>
          <w:rFonts/>
          <w:rtl/>
        </w:rPr>
        <w:t>را</w:t>
      </w:r>
      <w:r>
        <w:rPr>
          <w:rtl/>
        </w:rPr>
        <w:t xml:space="preserve"> </w:t>
      </w:r>
      <w:r>
        <w:rPr>
          <w:rFonts/>
          <w:rtl/>
        </w:rPr>
        <w:t>دنبال</w:t>
      </w:r>
      <w:r>
        <w:rPr>
          <w:rtl/>
        </w:rPr>
        <w:t xml:space="preserve"> </w:t>
      </w:r>
      <w:r>
        <w:rPr>
          <w:rFonts/>
          <w:rtl/>
        </w:rPr>
        <w:t>کند،</w:t>
      </w:r>
      <w:r>
        <w:rPr>
          <w:rtl/>
        </w:rPr>
        <w:t xml:space="preserve"> </w:t>
      </w:r>
      <w:r>
        <w:rPr>
          <w:rFonts/>
          <w:rtl/>
        </w:rPr>
        <w:t>نه</w:t>
      </w:r>
      <w:r>
        <w:rPr>
          <w:rtl/>
        </w:rPr>
        <w:t xml:space="preserve"> </w:t>
      </w:r>
      <w:r>
        <w:rPr>
          <w:rFonts/>
          <w:rtl/>
        </w:rPr>
        <w:t>پرسش</w:t>
      </w:r>
      <w:r>
        <w:rPr>
          <w:rtl/>
        </w:rPr>
        <w:t xml:space="preserve"> </w:t>
      </w:r>
      <w:r>
        <w:rPr>
          <w:rFonts/>
          <w:rtl/>
        </w:rPr>
        <w:t>روش</w:t>
      </w:r>
      <w:r>
        <w:rPr>
          <w:rtl/>
        </w:rPr>
        <w:t xml:space="preserve"> </w:t>
      </w:r>
      <w:r>
        <w:rPr>
          <w:rFonts/>
          <w:rtl/>
        </w:rPr>
        <w:t>را</w:t>
      </w:r>
      <w:r>
        <w:rPr>
          <w:rtl/>
        </w:rPr>
        <w:t xml:space="preserve"> </w:t>
      </w:r>
      <w:r>
        <w:rPr>
          <w:rFonts/>
          <w:rtl/>
        </w:rPr>
        <w:t>در</w:t>
      </w:r>
      <w:r>
        <w:rPr>
          <w:rtl/>
        </w:rPr>
        <w:t xml:space="preserve"> </w:t>
      </w:r>
      <w:r>
        <w:rPr>
          <w:rFonts/>
          <w:rtl/>
        </w:rPr>
        <w:t>تمام</w:t>
      </w:r>
      <w:r>
        <w:rPr>
          <w:rtl/>
        </w:rPr>
        <w:t xml:space="preserve"> </w:t>
      </w:r>
      <w:r>
        <w:rPr>
          <w:rFonts/>
          <w:rtl/>
        </w:rPr>
        <w:t>تصمیم‌های</w:t>
      </w:r>
      <w:r>
        <w:rPr>
          <w:rtl/>
        </w:rPr>
        <w:t xml:space="preserve"> </w:t>
      </w:r>
      <w:r>
        <w:rPr>
          <w:rFonts/>
          <w:rtl/>
        </w:rPr>
        <w:t>روشی</w:t>
      </w:r>
      <w:r>
        <w:rPr>
          <w:rtl/>
        </w:rPr>
        <w:t xml:space="preserve"> </w:t>
      </w:r>
      <w:r>
        <w:rPr>
          <w:rFonts/>
          <w:rtl/>
        </w:rPr>
        <w:t>این</w:t>
      </w:r>
      <w:r>
        <w:rPr>
          <w:rtl/>
        </w:rPr>
        <w:t xml:space="preserve"> </w:t>
      </w:r>
      <w:r>
        <w:rPr>
          <w:rFonts/>
          <w:rtl/>
        </w:rPr>
        <w:t>فصل</w:t>
      </w:r>
      <w:r>
        <w:rPr>
          <w:rtl/>
        </w:rPr>
        <w:t xml:space="preserve"> </w:t>
      </w:r>
      <w:r>
        <w:rPr>
          <w:rFonts/>
          <w:rtl/>
        </w:rPr>
        <w:t>حاضر</w:t>
      </w:r>
      <w:r>
        <w:rPr>
          <w:rtl/>
        </w:rPr>
        <w:t xml:space="preserve"> </w:t>
      </w:r>
      <w:r>
        <w:rPr>
          <w:rFonts/>
          <w:rtl/>
        </w:rPr>
        <w:t>بوده</w:t>
      </w:r>
      <w:r>
        <w:rPr>
          <w:rtl/>
        </w:rPr>
        <w:t xml:space="preserve"> </w:t>
      </w:r>
      <w:r>
        <w:rPr>
          <w:rFonts/>
          <w:rtl/>
        </w:rPr>
        <w:t>است</w:t>
      </w:r>
      <w:r>
        <w:rPr>
          <w:rtl/>
        </w:rPr>
        <w:t>.</w:t>
      </w:r>
    </w:p>
    <w:p>
      <w:pPr>
        <w:pStyle w:val="Heading2"/>
        <w:keepNext/>
        <w:bidi/>
        <w:spacing w:before="240" w:after="80"/>
      </w:pPr>
      <w:bookmarkStart w:id="31" w:name="_Toc200000031"/>
      <w:r>
        <w:t>۳ـ۲ روش تحقیق</w:t>
      </w:r>
      <w:bookmarkEnd w:id="31"/>
    </w:p>
    <w:p>
      <w:pPr>
        <w:bidi/>
        <w:spacing w:after="80" w:line="276" w:lineRule="auto"/>
        <w:ind w:firstLine="720"/>
        <w:jc w:val="both"/>
      </w:pPr>
      <w:r>
        <w:rPr>
          <w:rtl/>
        </w:rPr>
        <w:t xml:space="preserve">پژوهش حاضر از نظر هدف کاربردی است، زیرا در پی حل مسئله‌ای مشخص در یک صنعت مشخص است.</w:t>
      </w:r>
      <w:r>
        <w:rPr>
          <w:rtl/>
        </w:rPr>
        <w:t xml:space="preserve"> از نظر ماهیت اکتشافی است، چون فهرست تثبیت‌شده‌ای از چالش‌های فروش بنگاه‌های تک‌محصولی در ادبیات داخلی وجود ندارد.</w:t>
      </w:r>
      <w:r>
        <w:rPr>
          <w:rtl/>
        </w:rPr>
        <w:t xml:space="preserve"> از نظر رویکرد نیز آمیخته است: در گام نخست، داده‌ها به‌صورت کیفی و از طریق مصاحبه‌ی باز با اعضای پانل گردآوری می‌شود؛ و در گام‌های بعدی، همان داده از طریق دورهای رتبه‌بندی و بازخورد گروهی، به شکلی کمّی پردازش و به اجماع می‌رسد.</w:t>
      </w:r>
      <w:r>
        <w:rPr>
          <w:rtl/>
        </w:rPr>
        <w:t xml:space="preserve"> این طبقه‌بندی سه‌گانه با تمایزهایی که ساندرز و همکاران (۲۰۲۳)</w:t>
      </w:r>
      <w:r>
        <w:rPr>
          <w:rStyle w:val="FootnoteReference"/>
        </w:rPr>
        <w:footnoteReference w:id="95"/>
      </w:r>
      <w:r>
        <w:rPr>
          <w:rtl/>
        </w:rPr>
        <w:t xml:space="preserve"> میان پژوهش کاربردی و بنیادی، هدف اکتشافی پژوهش و انتخاب روش آمیخته مطرح می‌کنند همخوانی دارد.</w:t>
      </w:r>
    </w:p>
    <w:p>
      <w:pPr>
        <w:bidi/>
        <w:spacing w:after="80" w:line="276" w:lineRule="auto"/>
        <w:ind w:firstLine="720"/>
        <w:jc w:val="both"/>
      </w:pPr>
      <w:r>
        <w:rPr>
          <w:rtl/>
        </w:rPr>
        <w:t xml:space="preserve">بر پایه همین ماهیت اکتشافی، روش دلفی برای گردآوری و تحلیل داده‌های این پژوهش انتخاب شد. </w:t>
      </w:r>
      <w:r>
        <w:rPr>
          <w:rtl/>
        </w:rPr>
        <w:t xml:space="preserve">ناسا و همکاران (۲۰۲۱)</w:t>
      </w:r>
      <w:r>
        <w:rPr>
          <w:rStyle w:val="FootnoteReference"/>
        </w:rPr>
        <w:footnoteReference w:id="96"/>
      </w:r>
      <w:r>
        <w:rPr>
          <w:rtl/>
        </w:rPr>
        <w:t xml:space="preserve"> روش دلفی را فرایندی ساختاریافته برای دستیابی به اجماع گروهی خبرگان از طریق دورهای متوالی پرسشنامه و بازخورد کنترل‌شده صورت‌بندی کرده‌اند؛ ویژگی‌ای که آن را از مصاحبه منفرد یا پرسشنامه یک‌مرحله‌ای متمایز می‌کند.</w:t>
      </w:r>
      <w:r>
        <w:rPr>
          <w:rFonts/>
          <w:rtl/>
        </w:rPr>
        <w:t xml:space="preserve"> بایدربک و همکاران (۲۰۲۱)</w:t>
      </w:r>
      <w:r>
        <w:rPr>
          <w:rStyle w:val="FootnoteReference"/>
        </w:rPr>
        <w:footnoteReference w:id="97"/>
      </w:r>
      <w:r>
        <w:rPr>
          <w:rFonts/>
          <w:rtl/>
        </w:rPr>
        <w:t xml:space="preserve"> دلفی را روشی برای سازمان‌دهی و ساختاردهی بحث خبرگان درباره موضوعات مناقشه‌برانگیز و دارای اطلاعات محدود می‌دانند؛ ویژگی‌ای که با وضعیت موضوع پژوهش حاضر، یعنی نبود فهرست تثبیت‌شده چالش‌های فروش بنگاه تک‌محصولی، همخوانی دارد</w:t>
      </w:r>
      <w:r>
        <w:rPr>
          <w:rtl/>
        </w:rPr>
        <w:t>.</w:t>
      </w:r>
    </w:p>
    <w:p>
      <w:pPr>
        <w:pStyle w:val="Heading2"/>
        <w:keepNext/>
        <w:bidi/>
        <w:spacing w:before="240" w:after="80"/>
      </w:pPr>
      <w:bookmarkStart w:id="32" w:name="_Toc200000032"/>
      <w:r>
        <w:t>۳ـ۳ جامعه پژوهش</w:t>
      </w:r>
      <w:bookmarkEnd w:id="32"/>
    </w:p>
    <w:p>
      <w:pPr>
        <w:bidi/>
        <w:spacing w:after="80"/>
        <w:ind w:firstLine="720"/>
        <w:jc w:val="both"/>
      </w:pPr>
      <w:r>
        <w:rPr>
          <w:rtl/>
        </w:rPr>
        <w:t>جامعه پژوهش را خبرگان حوزه فروش صنعت مواد غذایی تشکیل می‌دهند؛ شامل مدیران و کارشناسان فروش و بازاریابی شرکت‌های تک‌محصولی فعال در این صنعت، و نیز اعضای هیئت علمی و صاحب‌نظران دانشگاهی در رشته مدیریت بازرگانی که با مسائل فروش این‌گونه بنگاه‌ها آشنایی دارند.</w:t>
      </w:r>
    </w:p>
    <w:p>
      <w:pPr>
        <w:pStyle w:val="Heading2"/>
        <w:keepNext/>
        <w:bidi/>
        <w:spacing w:before="240" w:after="80"/>
      </w:pPr>
      <w:bookmarkStart w:id="33" w:name="_Toc200000033"/>
      <w:r>
        <w:t>۳ـ۴ روش نمونه‌گیری و تعیین حجم نمونه</w:t>
      </w:r>
      <w:bookmarkEnd w:id="33"/>
    </w:p>
    <w:p>
      <w:pPr>
        <w:pStyle w:val="Heading3"/>
        <w:keepNext/>
        <w:bidi/>
        <w:spacing w:before="180" w:after="80"/>
      </w:pPr>
      <w:bookmarkStart w:id="34" w:name="_Toc200000034"/>
      <w:r>
        <w:t>۳ـ۴ـ۱ راهبرد نمونه‌گیری</w:t>
      </w:r>
      <w:bookmarkEnd w:id="34"/>
    </w:p>
    <w:p>
      <w:pPr>
        <w:bidi/>
        <w:spacing w:after="80"/>
        <w:ind w:firstLine="720"/>
        <w:jc w:val="both"/>
      </w:pPr>
      <w:r>
        <w:rPr>
          <w:rtl/>
        </w:rPr>
        <w:t>نمونه‌گیری برای تشکیل پانل دلفی به روش هدفمند قضاوتی انجام شد. معیارهای ورود به پانل عبارت بودند از: داشتن تجربه مستقیم در فروش یا بازاریابی محصولات غذایی؛ آشنایی عملی با ساختار شرکت‌های تک‌محصولی؛ و تمایل به مشارکت آگاهانه و مستمر در دورهای متوالی پژوهش.</w:t>
      </w:r>
    </w:p>
    <w:p>
      <w:pPr>
        <w:pStyle w:val="Heading3"/>
        <w:keepNext/>
        <w:bidi/>
        <w:spacing w:before="180" w:after="80"/>
      </w:pPr>
      <w:bookmarkStart w:id="35" w:name="_Toc200000035"/>
      <w:r>
        <w:t>۳ـ۴ـ۲ اندازه پانل دلفی</w:t>
      </w:r>
      <w:bookmarkEnd w:id="35"/>
    </w:p>
    <w:p>
      <w:pPr>
        <w:bidi/>
        <w:spacing w:after="80" w:line="276" w:lineRule="auto"/>
        <w:ind w:firstLine="720"/>
        <w:jc w:val="both"/>
      </w:pPr>
      <w:r>
        <w:rPr>
          <w:rtl/>
        </w:rPr>
        <w:t xml:space="preserve">در روش دلفی، معیار کفایت نمونه نه اشباع نظری داده کیفی، بلکه کفایت اندازه پانل برای دستیابی به اجماع معتبر است. ادبیات روش‌شناسی در این باره دامنه‌ای نسبتاً گسترده ارائه می‌دهد: </w:t>
      </w:r>
      <w:r>
        <w:rPr>
          <w:rFonts/>
          <w:rtl/>
        </w:rPr>
        <w:t xml:space="preserve">شیفانو و نیدربرگر (۲۰۲۵)</w:t>
      </w:r>
      <w:r>
        <w:rPr>
          <w:rStyle w:val="FootnoteReference"/>
        </w:rPr>
        <w:footnoteReference w:id="98"/>
      </w:r>
      <w:r>
        <w:rPr>
          <w:rFonts/>
          <w:rtl/>
        </w:rPr>
        <w:t xml:space="preserve"> در مرور دامنه‌ای خود بر مطالعات دلفی در علوم سلامت گزارش می‌دهند که اندازه پانل در پژوهش‌های گوناگون به‌طور گسترده متغیر است و معمولاً در حد چند ده نفر قرار دارد (میانه اندازه پانل: ۳۱ نفر در دور نخست و ۲۶ نفر در دور پایانی)</w:t>
      </w:r>
      <w:r>
        <w:rPr>
          <w:rtl/>
        </w:rPr>
        <w:t xml:space="preserve">.</w:t>
      </w:r>
    </w:p>
    <w:p>
      <w:pPr>
        <w:bidi/>
        <w:spacing w:after="80" w:line="276" w:lineRule="auto"/>
        <w:ind w:firstLine="720"/>
        <w:jc w:val="both"/>
      </w:pPr>
      <w:r>
        <w:rPr>
          <w:rtl/>
        </w:rPr>
        <w:t>پانل پژوهش حاضر هفت نفر از خبرگان را در بر می‌گیرد. شیفانو و نیدربرگر (۲۰۲۵)</w:t>
      </w:r>
      <w:r>
        <w:rPr>
          <w:rStyle w:val="FootnoteReference"/>
        </w:rPr>
        <w:footnoteReference w:id="99"/>
      </w:r>
      <w:r>
        <w:rPr>
          <w:rtl/>
        </w:rPr>
        <w:t xml:space="preserve"> در مرور دامنه‌ای خود بر مطالعات دلفی گزارش می‌دهند که اندازه پانل در این پژوهش‌ها از حداقل سه نفر تا بیش از هفتصد نفر گزارش شده</w:t>
      </w:r>
      <w:r>
        <w:rPr>
          <w:rtl/>
        </w:rPr>
        <w:t xml:space="preserve"> است؛ بر این پایه، اندازه پانل حاضر در محدوده‌ای است که در ادبیات این روش مستند شده، هرچند در نیمه </w:t>
      </w:r>
      <w:r>
        <w:rPr>
          <w:rtl/>
        </w:rPr>
        <w:t>پایین‌تر این دامنه قرار دارد</w:t>
      </w:r>
      <w:r>
        <w:rPr>
          <w:rtl/>
        </w:rPr>
        <w:t xml:space="preserve">. ترکیب پانل از زیرگروه‌های متفاوتی </w:t>
      </w:r>
      <w:r>
        <w:rPr>
          <w:rFonts/>
          <w:rtl/>
        </w:rPr>
        <w:t>مدیران</w:t>
      </w:r>
      <w:r>
        <w:rPr>
          <w:rtl/>
        </w:rPr>
        <w:t xml:space="preserve"> </w:t>
      </w:r>
      <w:r>
        <w:rPr>
          <w:rFonts/>
          <w:rtl/>
        </w:rPr>
        <w:t>و</w:t>
      </w:r>
      <w:r>
        <w:rPr>
          <w:rtl/>
        </w:rPr>
        <w:t xml:space="preserve"> </w:t>
      </w:r>
      <w:r>
        <w:rPr>
          <w:rFonts/>
          <w:rtl/>
        </w:rPr>
        <w:t>کارشناسان</w:t>
      </w:r>
      <w:r>
        <w:rPr>
          <w:rtl/>
        </w:rPr>
        <w:t xml:space="preserve"> </w:t>
      </w:r>
      <w:r>
        <w:rPr>
          <w:rFonts/>
          <w:rtl/>
        </w:rPr>
        <w:t>فروش،</w:t>
      </w:r>
      <w:r>
        <w:rPr>
          <w:rtl/>
        </w:rPr>
        <w:t xml:space="preserve"> </w:t>
      </w:r>
      <w:r>
        <w:rPr>
          <w:rFonts/>
          <w:rtl/>
        </w:rPr>
        <w:t xml:space="preserve">مدیر برنامه‌ریزی تولید و یک عضو هیئت علمی</w:t>
      </w:r>
      <w:r>
        <w:rPr>
          <w:rtl/>
        </w:rPr>
        <w:t xml:space="preserve"> </w:t>
      </w:r>
      <w:r>
        <w:rPr>
          <w:rFonts/>
          <w:rtl/>
        </w:rPr>
        <w:t>تشکیل</w:t>
      </w:r>
      <w:r>
        <w:rPr>
          <w:rtl/>
        </w:rPr>
        <w:t xml:space="preserve"> </w:t>
      </w:r>
      <w:r>
        <w:rPr>
          <w:rFonts/>
          <w:rtl/>
        </w:rPr>
        <w:t>شده</w:t>
      </w:r>
      <w:r>
        <w:rPr>
          <w:rtl/>
        </w:rPr>
        <w:t xml:space="preserve"> </w:t>
      </w:r>
      <w:r>
        <w:rPr>
          <w:rFonts/>
          <w:rtl/>
        </w:rPr>
        <w:t>و</w:t>
      </w:r>
      <w:r>
        <w:rPr>
          <w:rtl/>
        </w:rPr>
        <w:t xml:space="preserve"> </w:t>
      </w:r>
      <w:r>
        <w:rPr>
          <w:rFonts/>
          <w:rtl/>
        </w:rPr>
        <w:t>هر</w:t>
      </w:r>
      <w:r>
        <w:rPr>
          <w:rtl/>
        </w:rPr>
        <w:t xml:space="preserve"> </w:t>
      </w:r>
      <w:r>
        <w:rPr>
          <w:rFonts/>
          <w:rtl/>
        </w:rPr>
        <w:t>دو</w:t>
      </w:r>
      <w:r>
        <w:rPr>
          <w:rtl/>
        </w:rPr>
        <w:t xml:space="preserve"> </w:t>
      </w:r>
      <w:r>
        <w:rPr>
          <w:rFonts/>
          <w:rtl/>
        </w:rPr>
        <w:t>منظر</w:t>
      </w:r>
      <w:r>
        <w:rPr>
          <w:rtl/>
        </w:rPr>
        <w:t xml:space="preserve"> </w:t>
      </w:r>
      <w:r>
        <w:rPr>
          <w:rFonts/>
          <w:rtl/>
        </w:rPr>
        <w:t>نظری</w:t>
      </w:r>
      <w:r>
        <w:rPr>
          <w:rtl/>
        </w:rPr>
        <w:t xml:space="preserve"> </w:t>
      </w:r>
      <w:r>
        <w:rPr>
          <w:rFonts/>
          <w:rtl/>
        </w:rPr>
        <w:t>و</w:t>
      </w:r>
      <w:r>
        <w:rPr>
          <w:rtl/>
        </w:rPr>
        <w:t xml:space="preserve"> </w:t>
      </w:r>
      <w:r>
        <w:rPr>
          <w:rFonts/>
          <w:rtl/>
        </w:rPr>
        <w:t>تجربی</w:t>
      </w:r>
      <w:r>
        <w:rPr>
          <w:rtl/>
        </w:rPr>
        <w:t xml:space="preserve"> </w:t>
      </w:r>
      <w:r>
        <w:rPr>
          <w:rFonts/>
          <w:rtl/>
        </w:rPr>
        <w:t>موضوع</w:t>
      </w:r>
      <w:r>
        <w:rPr>
          <w:rtl/>
        </w:rPr>
        <w:t xml:space="preserve"> </w:t>
      </w:r>
      <w:r>
        <w:rPr>
          <w:rFonts/>
          <w:rtl/>
        </w:rPr>
        <w:t>را</w:t>
      </w:r>
      <w:r>
        <w:rPr>
          <w:rtl/>
        </w:rPr>
        <w:t xml:space="preserve"> </w:t>
      </w:r>
      <w:r>
        <w:rPr>
          <w:rFonts/>
          <w:rtl/>
        </w:rPr>
        <w:t>پوشش</w:t>
      </w:r>
      <w:r>
        <w:rPr>
          <w:rtl/>
        </w:rPr>
        <w:t xml:space="preserve"> </w:t>
      </w:r>
      <w:r>
        <w:rPr>
          <w:rFonts/>
          <w:rtl/>
        </w:rPr>
        <w:t>می‌دهد</w:t>
      </w:r>
      <w:r>
        <w:rPr>
          <w:rtl/>
        </w:rPr>
        <w:t xml:space="preserve">. </w:t>
      </w:r>
      <w:r>
        <w:rPr>
          <w:rFonts/>
          <w:rtl/>
        </w:rPr>
        <w:t>ترکیب</w:t>
      </w:r>
      <w:r>
        <w:rPr>
          <w:rtl/>
        </w:rPr>
        <w:t xml:space="preserve"> </w:t>
      </w:r>
      <w:r>
        <w:rPr>
          <w:rFonts/>
          <w:rtl/>
        </w:rPr>
        <w:t>کامل</w:t>
      </w:r>
      <w:r>
        <w:rPr>
          <w:rtl/>
        </w:rPr>
        <w:t xml:space="preserve"> </w:t>
      </w:r>
      <w:r>
        <w:rPr>
          <w:rFonts/>
          <w:rtl/>
        </w:rPr>
        <w:t>این</w:t>
      </w:r>
      <w:r>
        <w:rPr>
          <w:rtl/>
        </w:rPr>
        <w:t xml:space="preserve"> </w:t>
      </w:r>
      <w:r>
        <w:rPr>
          <w:rFonts/>
          <w:rtl/>
        </w:rPr>
        <w:t>پانل،</w:t>
      </w:r>
      <w:r>
        <w:rPr>
          <w:rtl/>
        </w:rPr>
        <w:t xml:space="preserve"> </w:t>
      </w:r>
      <w:r>
        <w:rPr>
          <w:rFonts/>
          <w:rtl/>
        </w:rPr>
        <w:t>به</w:t>
      </w:r>
      <w:r>
        <w:rPr>
          <w:rtl/>
        </w:rPr>
        <w:t xml:space="preserve"> </w:t>
      </w:r>
      <w:r>
        <w:rPr>
          <w:rFonts/>
          <w:rtl/>
        </w:rPr>
        <w:t>همراه</w:t>
      </w:r>
      <w:r>
        <w:rPr>
          <w:rtl/>
        </w:rPr>
        <w:t xml:space="preserve"> </w:t>
      </w:r>
      <w:r>
        <w:rPr>
          <w:rFonts/>
          <w:rtl/>
        </w:rPr>
        <w:t>جایگاه</w:t>
      </w:r>
      <w:r>
        <w:rPr>
          <w:rtl/>
        </w:rPr>
        <w:t xml:space="preserve"> </w:t>
      </w:r>
      <w:r>
        <w:rPr>
          <w:rFonts/>
          <w:rtl/>
        </w:rPr>
        <w:t>شغلی،</w:t>
      </w:r>
      <w:r>
        <w:rPr>
          <w:rtl/>
        </w:rPr>
        <w:t xml:space="preserve"> </w:t>
      </w:r>
      <w:r>
        <w:rPr>
          <w:rFonts/>
          <w:rtl/>
        </w:rPr>
        <w:t>سابقه</w:t>
      </w:r>
      <w:r>
        <w:rPr>
          <w:rtl/>
        </w:rPr>
        <w:t xml:space="preserve"> </w:t>
      </w:r>
      <w:r>
        <w:rPr>
          <w:rFonts/>
          <w:rtl/>
        </w:rPr>
        <w:t>فعالیت</w:t>
      </w:r>
      <w:r>
        <w:rPr>
          <w:rtl/>
        </w:rPr>
        <w:t xml:space="preserve"> </w:t>
      </w:r>
      <w:r>
        <w:rPr>
          <w:rFonts/>
          <w:rtl/>
        </w:rPr>
        <w:t>و</w:t>
      </w:r>
      <w:r>
        <w:rPr>
          <w:rtl/>
        </w:rPr>
        <w:t xml:space="preserve"> </w:t>
      </w:r>
      <w:r>
        <w:rPr>
          <w:rFonts/>
          <w:rtl/>
        </w:rPr>
        <w:t>سطح</w:t>
      </w:r>
      <w:r>
        <w:rPr>
          <w:rtl/>
        </w:rPr>
        <w:t xml:space="preserve"> </w:t>
      </w:r>
      <w:r>
        <w:rPr>
          <w:rFonts/>
          <w:rtl/>
        </w:rPr>
        <w:t>تحصیلات</w:t>
      </w:r>
      <w:r>
        <w:rPr>
          <w:rtl/>
        </w:rPr>
        <w:t xml:space="preserve"> </w:t>
      </w:r>
      <w:r>
        <w:rPr>
          <w:rFonts/>
          <w:rtl/>
        </w:rPr>
        <w:t>اعضا،</w:t>
      </w:r>
      <w:r>
        <w:rPr>
          <w:rtl/>
        </w:rPr>
        <w:t xml:space="preserve"> </w:t>
      </w:r>
      <w:r>
        <w:rPr>
          <w:rFonts/>
          <w:rtl/>
        </w:rPr>
        <w:t>در</w:t>
      </w:r>
      <w:r>
        <w:rPr>
          <w:rtl/>
        </w:rPr>
        <w:t xml:space="preserve"> </w:t>
      </w:r>
      <w:r>
        <w:rPr>
          <w:rFonts/>
          <w:rtl/>
        </w:rPr>
        <w:t>فصل</w:t>
      </w:r>
      <w:r>
        <w:rPr>
          <w:rtl/>
        </w:rPr>
        <w:t xml:space="preserve"> </w:t>
      </w:r>
      <w:r>
        <w:rPr>
          <w:rFonts/>
          <w:rtl/>
        </w:rPr>
        <w:t>چهارم</w:t>
      </w:r>
      <w:r>
        <w:rPr>
          <w:rtl/>
        </w:rPr>
        <w:t xml:space="preserve"> </w:t>
      </w:r>
      <w:r>
        <w:rPr>
          <w:rFonts/>
          <w:rtl/>
        </w:rPr>
        <w:t>ارائه</w:t>
      </w:r>
      <w:r>
        <w:rPr>
          <w:rtl/>
        </w:rPr>
        <w:t xml:space="preserve"> </w:t>
      </w:r>
      <w:r>
        <w:rPr>
          <w:rFonts/>
          <w:rtl/>
        </w:rPr>
        <w:t>شده</w:t>
      </w:r>
      <w:r>
        <w:rPr>
          <w:rtl/>
        </w:rPr>
        <w:t xml:space="preserve"> </w:t>
      </w:r>
      <w:r>
        <w:rPr>
          <w:rFonts/>
          <w:rtl/>
        </w:rPr>
        <w:t>است</w:t>
      </w:r>
      <w:r>
        <w:rPr>
          <w:rtl/>
        </w:rPr>
        <w:t>.</w:t>
      </w:r>
    </w:p>
    <w:p>
      <w:pPr>
        <w:pStyle w:val="Heading2"/>
        <w:keepNext/>
        <w:bidi/>
        <w:spacing w:before="240" w:after="80"/>
      </w:pPr>
      <w:bookmarkStart w:id="36" w:name="_Toc200000036"/>
      <w:r>
        <w:t>۳ـ۵ روش گردآوری داده‌ها</w:t>
      </w:r>
      <w:bookmarkEnd w:id="36"/>
    </w:p>
    <w:p>
      <w:pPr>
        <w:bidi/>
        <w:spacing w:after="80" w:line="276" w:lineRule="auto"/>
        <w:ind w:firstLine="720"/>
        <w:jc w:val="both"/>
      </w:pPr>
      <w:r>
        <w:rPr>
          <w:rtl/>
        </w:rPr>
        <w:t xml:space="preserve">داده‌های این پژوهش در دو لایه گردآوری شد.</w:t>
      </w:r>
      <w:r>
        <w:rPr>
          <w:rtl/>
        </w:rPr>
        <w:t xml:space="preserve"> در لایه نخست، مبانی نظری و پیشینه پژوهش از راه مطالعه کتابخانه‌ای و بررسی مقاله‌ها، کتاب‌ها و پایگاه‌های علمی داخلی و خارجی فراهم آمد.</w:t>
      </w:r>
      <w:r>
        <w:rPr>
          <w:rtl/>
        </w:rPr>
        <w:t xml:space="preserve"> در لایه دوم، داده‌های میدانی از طریق سه دور متوالی دلفی از پانل خبرگان گردآوری شد: دور نخست یک مصاحبه‌ی باز بود و دو دور بعد با پرسشنامه اجرا شدند.</w:t>
      </w:r>
    </w:p>
    <w:p>
      <w:pPr>
        <w:bidi/>
        <w:spacing w:after="80" w:line="276" w:lineRule="auto"/>
        <w:ind w:firstLine="720"/>
        <w:jc w:val="both"/>
      </w:pPr>
      <w:r>
        <w:rPr>
          <w:rtl/>
        </w:rPr>
        <w:t xml:space="preserve">پرسش محوری دور نخست پانل به صورت باز مطرح شد: از نظر شما، چالش‌های فروش محصولات تک‌محصولی چیست؟ این پرسش عمداً بدون فهرست پیشنهادی و بدون محدودیت در تعداد پاسخ مطرح شد تا هر عضو پانل بتواند از منظر تجربه خود، موارد را آزادانه برشمارد.</w:t>
      </w:r>
      <w:r>
        <w:rPr>
          <w:rtl/>
        </w:rPr>
        <w:t xml:space="preserve"> پاسخ‌های این دور، مبنای تحلیل مضمون و ساخت گویه‌ها بود.</w:t>
      </w:r>
      <w:r>
        <w:rPr>
          <w:rtl/>
        </w:rPr>
        <w:t xml:space="preserve"> چالش‌های برگرفته از ادبیات در پایان فصل دوم (جدول ۲-۱) در مرحله ترکیب و بررسی با این کدها سنجیده شدند و فهرست گویه‌هایی که در دورهای بعدی برای رتبه‌بندی و رسیدن به اجماع در اختیار پانل قرار گرفت، از همین مرحله به دست آمد.</w:t>
      </w:r>
    </w:p>
    <w:p>
      <w:pPr>
        <w:bidi/>
        <w:spacing w:after="80" w:line="276" w:lineRule="auto"/>
        <w:ind w:firstLine="720"/>
        <w:jc w:val="both"/>
      </w:pPr>
      <w:r>
        <w:rPr>
          <w:rtl/>
        </w:rPr>
        <w:t>پیش از آغاز دور نخست، مشخصات جمعیت‌شناختی هر عضو پانل شامل جایگاه شغلی، سابقه فعالیت، سطح تحصیلات و نوع محصول شرکت محل فعالیت ثبت شد. در پایان هر دور نیز یادداشت‌های پژوهشگر درباره نحوه بیان پاسخ‌ها و نکات قابل پیگیری برای دور بعد تکمیل گردید.</w:t>
      </w:r>
    </w:p>
    <w:p>
      <w:pPr>
        <w:pStyle w:val="Heading2"/>
        <w:keepNext/>
        <w:bidi/>
        <w:spacing w:before="240" w:after="80"/>
      </w:pPr>
      <w:bookmarkStart w:id="37" w:name="_Toc200000037"/>
      <w:r>
        <w:t>۳ـ۶ ابزار گردآوری داده‌ها</w:t>
      </w:r>
      <w:bookmarkEnd w:id="37"/>
    </w:p>
    <w:p>
      <w:pPr>
        <w:bidi/>
        <w:spacing w:after="80" w:line="276" w:lineRule="auto"/>
        <w:ind w:firstLine="720"/>
        <w:jc w:val="both"/>
      </w:pPr>
      <w:r>
        <w:rPr>
          <w:rtl/>
        </w:rPr>
        <w:t xml:space="preserve">ابزار اصلی گردآوری داده، روش دلفی در سه دور متوالی بود.</w:t>
      </w:r>
      <w:r>
        <w:rPr>
          <w:rtl/>
        </w:rPr>
        <w:t xml:space="preserve"> دور نخست یک مصاحبه‌ی باز با یک پرسش بود که دو بخش داشت: بخش نخست به مشخصات جمعیت‌شناختی عضو پانل اختصاص داشت و بخش دوم شامل پرسش باز اصلی پژوهش می‌شد.</w:t>
      </w:r>
      <w:r>
        <w:rPr>
          <w:rtl/>
        </w:rPr>
        <w:t xml:space="preserve"> دور دوم و سوم با پرسشنامه‌ی دلفی اجرا شدند. فرم خام مصاحبه‌ی دور نخست در پیوست الف، فرم خام پرسشنامه‌ی دور دوم در پیوست ب و فرم خام پرسشنامه‌ی دور سوم در پیوست پ آمده است؛ پرسش اصلی دور نخست همان پرسش باز بود که در بخش ۳-۵ آمد.</w:t>
      </w:r>
    </w:p>
    <w:p>
      <w:pPr>
        <w:bidi/>
        <w:spacing w:after="80" w:line="276" w:lineRule="auto"/>
        <w:ind w:firstLine="720"/>
        <w:jc w:val="both"/>
      </w:pPr>
      <w:r>
        <w:rPr>
          <w:rtl/>
        </w:rPr>
        <w:t xml:space="preserve">در دورهای بعدی، پرسشنامه بر پایه گویه‌های استخراج‌شده از دور نخست بازطراحی شد و از هر عضو پانل خواسته شد میزان اهمیت هر گویه را امتیاز دهد.</w:t>
      </w:r>
      <w:r>
        <w:rPr>
          <w:rtl/>
        </w:rPr>
        <w:t xml:space="preserve"> ناسا و همکاران (۲۰۲۱)</w:t>
      </w:r>
      <w:r>
        <w:rPr>
          <w:rStyle w:val="FootnoteReference"/>
        </w:rPr>
        <w:footnoteReference w:id="100"/>
      </w:r>
      <w:r>
        <w:rPr>
          <w:rtl/>
        </w:rPr>
        <w:t xml:space="preserve"> ناشناس ماندن پاسخ‌های اعضای پانل نسبت به یکدیگر، و بازخورد کنترل‌شده نتایج تجمیعی دور پیشین به هر عضو را از ویژگی‌های بنیادین این ابزار در روش دلفی برمی‌شمارند؛ دو ویژگی‌ای که در طراحی پرسشنامه دورهای دوم و سوم پژوهش حاضر رعایت شد.</w:t>
      </w:r>
      <w:r>
        <w:rPr>
          <w:rtl/>
        </w:rPr>
        <w:t xml:space="preserve"> پاسخ‌های کامل‌شده اعضای پانل، به دلیل حجم زیاد در متن پایان‌نامه نیامده‌اند و در صورت نیاز در اختیار داوران قرار می‌گیرند.</w:t>
      </w:r>
    </w:p>
    <w:p>
      <w:pPr>
        <w:bidi/>
        <w:spacing w:after="80" w:line="276" w:lineRule="auto"/>
        <w:ind w:firstLine="720"/>
        <w:jc w:val="both"/>
      </w:pPr>
      <w:r>
        <w:rPr>
          <w:rtl/>
        </w:rPr>
        <w:t>در تحلیل داده‌های دور نخست، پژوهشگر خود مهم‌ترین ابزار تحلیل به شمار می‌آید. از این رو تلاش شده است پیش‌فرض‌های ذهنی پژوهشگر بر فرایند کدگذاری اثر نگذارد و گویه‌ها تا حد ممکن از دل گفته‌های اعضای پانل برخیزند. یکی از تدابیر برای این منظور، کنار گذاشتن عبارت‌های راهکارمحور و عدم کدگذاری آن‌ها به عنوان چالش بود.</w:t>
      </w:r>
    </w:p>
    <w:p>
      <w:pPr>
        <w:pStyle w:val="Heading2"/>
        <w:keepNext/>
        <w:bidi/>
        <w:spacing w:before="240" w:after="80"/>
      </w:pPr>
      <w:bookmarkStart w:id="38" w:name="_Toc200000038"/>
      <w:r>
        <w:t>۳ـ۷ روش تجزیه و تحلیل داده‌ها</w:t>
      </w:r>
      <w:bookmarkEnd w:id="38"/>
    </w:p>
    <w:p>
      <w:pPr>
        <w:bidi/>
        <w:spacing w:after="80" w:line="276" w:lineRule="auto"/>
        <w:ind w:firstLine="720"/>
        <w:jc w:val="both"/>
      </w:pPr>
      <w:r>
        <w:rPr>
          <w:rtl/>
        </w:rPr>
        <w:t xml:space="preserve">تحلیل داده‌ها در سه گام انجام شد: نخست شناسایی چالش‌ها از راه تحلیل مضمون پاسخ‌های باز دور نخست و ترکیب آن‌ها با چالش‌های برگرفته از ادبیات، سپس اولویت‌بندی آن‌ها از طریق دورهای رتبه‌بندی و بازخورد گروهی پانل دلفی، و در پایان وزن‌دهی و رتبه‌بندی به روش </w:t>
      </w:r>
      <w:r>
        <w:rPr>
          <w:rFonts w:ascii="Times New Roman" w:hAnsi="Times New Roman" w:cs="Times New Roman" w:eastAsia="Times New Roman"/>
          <w:sz w:val="26"/>
          <w:szCs w:val="26"/>
        </w:rPr>
        <w:t xml:space="preserve">AHP.</w:t>
      </w:r>
      <w:r>
        <w:rPr>
          <w:rtl/>
        </w:rPr>
        <w:t xml:space="preserve"> هر سه گام از یک فرایند واحد و متوالی تغذیه می‌شوند.</w:t>
      </w:r>
    </w:p>
    <w:p>
      <w:pPr>
        <w:pStyle w:val="Heading3"/>
        <w:keepNext/>
        <w:bidi/>
        <w:spacing w:before="180" w:after="80"/>
      </w:pPr>
      <w:bookmarkStart w:id="39" w:name="_Toc200000039"/>
      <w:r>
        <w:t>۳ـ۷ـ۱ گام نخست: تحلیل مضمون</w:t>
      </w:r>
      <w:bookmarkEnd w:id="39"/>
    </w:p>
    <w:p>
      <w:pPr>
        <w:bidi/>
        <w:spacing w:after="80" w:line="276" w:lineRule="auto"/>
        <w:ind w:firstLine="720"/>
        <w:jc w:val="both"/>
      </w:pPr>
      <w:r>
        <w:rPr>
          <w:rtl/>
        </w:rPr>
        <w:t xml:space="preserve">تحلیل مضمون روشی برای شناسایی، تحلیل و گزارش الگوهای معنایی درون داده‌های کیفی است (براون و کلارک، ۲۰۰۶)</w:t>
      </w:r>
      <w:r>
        <w:rPr>
          <w:rStyle w:val="FootnoteReference"/>
        </w:rPr>
        <w:footnoteReference w:id="101"/>
      </w:r>
      <w:r>
        <w:rPr>
          <w:rtl/>
        </w:rPr>
        <w:t xml:space="preserve"> که براون و کلارک (۲۰۲۱)</w:t>
      </w:r>
      <w:r>
        <w:rPr>
          <w:rStyle w:val="FootnoteReference"/>
        </w:rPr>
        <w:footnoteReference w:id="102"/>
      </w:r>
      <w:r>
        <w:rPr>
          <w:rtl/>
        </w:rPr>
        <w:t xml:space="preserve"> آن را در قالب فرایندی شش‌مرحله‌ای تشریح کرده‌اند؛ مراحل اجرای آن در پژوهش حاضر، با تطبیقی برای پاسخ‌های باز دور نخست دلفی، چنین بود.</w:t>
      </w:r>
      <w:r>
        <w:rPr>
          <w:rtl/>
        </w:rPr>
        <w:t xml:space="preserve"> در مرحله نخست، آشنایی با داده: پاسخ‌های باز دور نخست چند بار خوانده شد.</w:t>
      </w:r>
      <w:r>
        <w:rPr>
          <w:rtl/>
        </w:rPr>
        <w:t xml:space="preserve"> در مرحله دوم، کدگذاری: هر عبارت معنادار که به مانع یا مشکلی در فرایند فروش اشاره داشت، </w:t>
      </w:r>
      <w:r>
        <w:rPr>
          <w:rtl/>
        </w:rPr>
        <w:t xml:space="preserve">به عنوان یک کد ثبت شد.</w:t>
      </w:r>
    </w:p>
    <w:p>
      <w:pPr>
        <w:bidi/>
        <w:spacing w:after="80" w:line="276" w:lineRule="auto"/>
        <w:ind w:firstLine="720"/>
        <w:jc w:val="both"/>
      </w:pPr>
      <w:r>
        <w:rPr>
          <w:rtl/>
        </w:rPr>
        <w:t>در مرحله سوم، شکل‌گیری گویه‌ها: کدهای دارای معنای مشترک در قالب گویه‌های واحد گرد آمدند. برای نمونه، اشاره یک عضو پانل به هزینه بالای توزیع و اشاره عضو دیگری به نبود صرفه اقتصادی در پخش یک قلم کالا، در گویه هزینه بالای پخش و توزیع به ازای یک قلم کالا ادغام شدند. در مرحله چهارم، بازبینی گویه‌ها: انسجام درونی هر گویه و تمایز آن از سایرین بررسی شد. در مرحله پنجم، دسته‌بندی مؤلفه‌ای: گویه‌های مرتبط ذیل مؤلفه‌های اصلی قرار گرفتند. در مرحله ششم، تدوین گزارش نهایی.</w:t>
      </w:r>
    </w:p>
    <w:p>
      <w:pPr>
        <w:bidi/>
        <w:spacing w:after="80" w:line="276" w:lineRule="auto"/>
        <w:ind w:firstLine="720"/>
        <w:jc w:val="both"/>
      </w:pPr>
      <w:r>
        <w:rPr>
          <w:rtl/>
        </w:rPr>
        <w:t xml:space="preserve">گفتنی است بخشی از پاسخ‌های اعضای پانل، به جای بیان چالش، به ارائه راهکار اختصاص داشت </w:t>
      </w:r>
      <w:r>
        <w:rPr>
          <w:rFonts/>
          <w:rtl/>
        </w:rPr>
        <w:t>برای</w:t>
      </w:r>
      <w:r>
        <w:rPr>
          <w:rtl/>
        </w:rPr>
        <w:t xml:space="preserve"> </w:t>
      </w:r>
      <w:r>
        <w:rPr>
          <w:rFonts/>
          <w:rtl/>
        </w:rPr>
        <w:t>نمونه</w:t>
      </w:r>
      <w:r>
        <w:rPr>
          <w:rtl/>
        </w:rPr>
        <w:t xml:space="preserve"> </w:t>
      </w:r>
      <w:r>
        <w:rPr>
          <w:rFonts/>
          <w:rtl/>
        </w:rPr>
        <w:t>تأکید</w:t>
      </w:r>
      <w:r>
        <w:rPr>
          <w:rtl/>
        </w:rPr>
        <w:t xml:space="preserve"> </w:t>
      </w:r>
      <w:r>
        <w:rPr>
          <w:rFonts/>
          <w:rtl/>
        </w:rPr>
        <w:t>برخی</w:t>
      </w:r>
      <w:r>
        <w:rPr>
          <w:rtl/>
        </w:rPr>
        <w:t xml:space="preserve"> </w:t>
      </w:r>
      <w:r>
        <w:rPr>
          <w:rFonts/>
          <w:rtl/>
        </w:rPr>
        <w:t>اعضا</w:t>
      </w:r>
      <w:r>
        <w:rPr>
          <w:rtl/>
        </w:rPr>
        <w:t xml:space="preserve"> </w:t>
      </w:r>
      <w:r>
        <w:rPr>
          <w:rFonts/>
          <w:rtl/>
        </w:rPr>
        <w:t>بر</w:t>
      </w:r>
      <w:r>
        <w:rPr>
          <w:rtl/>
        </w:rPr>
        <w:t xml:space="preserve"> </w:t>
      </w:r>
      <w:r>
        <w:rPr>
          <w:rFonts/>
          <w:rtl/>
        </w:rPr>
        <w:t>برندسازی</w:t>
      </w:r>
      <w:r>
        <w:rPr>
          <w:rtl/>
        </w:rPr>
        <w:t xml:space="preserve"> </w:t>
      </w:r>
      <w:r>
        <w:rPr>
          <w:rFonts/>
          <w:rtl/>
        </w:rPr>
        <w:t>قوی</w:t>
      </w:r>
      <w:r>
        <w:rPr>
          <w:rtl/>
        </w:rPr>
        <w:t xml:space="preserve"> </w:t>
      </w:r>
      <w:r>
        <w:rPr>
          <w:rFonts/>
          <w:rtl/>
        </w:rPr>
        <w:t>و</w:t>
      </w:r>
      <w:r>
        <w:rPr>
          <w:rtl/>
        </w:rPr>
        <w:t xml:space="preserve"> </w:t>
      </w:r>
      <w:r>
        <w:rPr>
          <w:rFonts/>
          <w:rtl/>
        </w:rPr>
        <w:t>توسعه</w:t>
      </w:r>
      <w:r>
        <w:rPr>
          <w:rtl/>
        </w:rPr>
        <w:t xml:space="preserve"> </w:t>
      </w:r>
      <w:r>
        <w:rPr>
          <w:rFonts/>
          <w:rtl/>
        </w:rPr>
        <w:t>کانال‌های</w:t>
      </w:r>
      <w:r>
        <w:rPr>
          <w:rtl/>
        </w:rPr>
        <w:t xml:space="preserve"> </w:t>
      </w:r>
      <w:r>
        <w:rPr>
          <w:rFonts/>
          <w:rtl/>
        </w:rPr>
        <w:t>فروش</w:t>
      </w:r>
      <w:r>
        <w:rPr>
          <w:rtl/>
        </w:rPr>
        <w:t xml:space="preserve"> </w:t>
      </w:r>
      <w:r>
        <w:rPr>
          <w:rFonts/>
          <w:rtl/>
        </w:rPr>
        <w:t>دائمی</w:t>
      </w:r>
      <w:r>
        <w:rPr>
          <w:rtl/>
        </w:rPr>
        <w:t xml:space="preserve">. </w:t>
      </w:r>
      <w:r>
        <w:rPr>
          <w:rFonts/>
          <w:rtl/>
        </w:rPr>
        <w:t>این</w:t>
      </w:r>
      <w:r>
        <w:rPr>
          <w:rtl/>
        </w:rPr>
        <w:t xml:space="preserve"> </w:t>
      </w:r>
      <w:r>
        <w:rPr>
          <w:rFonts/>
          <w:rtl/>
        </w:rPr>
        <w:t>عبارت‌ها</w:t>
      </w:r>
      <w:r>
        <w:rPr>
          <w:rtl/>
        </w:rPr>
        <w:t xml:space="preserve"> </w:t>
      </w:r>
      <w:r>
        <w:rPr>
          <w:rFonts/>
          <w:rtl/>
        </w:rPr>
        <w:t>از</w:t>
      </w:r>
      <w:r>
        <w:rPr>
          <w:rtl/>
        </w:rPr>
        <w:t xml:space="preserve"> </w:t>
      </w:r>
      <w:r>
        <w:rPr>
          <w:rFonts/>
          <w:rtl/>
        </w:rPr>
        <w:t>فرایند</w:t>
      </w:r>
      <w:r>
        <w:rPr>
          <w:rtl/>
        </w:rPr>
        <w:t xml:space="preserve"> </w:t>
      </w:r>
      <w:r>
        <w:rPr>
          <w:rFonts/>
          <w:rtl/>
        </w:rPr>
        <w:t>کدگذاری</w:t>
      </w:r>
      <w:r>
        <w:rPr>
          <w:rtl/>
        </w:rPr>
        <w:t xml:space="preserve"> </w:t>
      </w:r>
      <w:r>
        <w:rPr>
          <w:rFonts/>
          <w:rtl/>
        </w:rPr>
        <w:t>چالش‌ها</w:t>
      </w:r>
      <w:r>
        <w:rPr>
          <w:rtl/>
        </w:rPr>
        <w:t xml:space="preserve"> </w:t>
      </w:r>
      <w:r>
        <w:rPr>
          <w:rFonts/>
          <w:rtl/>
        </w:rPr>
        <w:t>کنار</w:t>
      </w:r>
      <w:r>
        <w:rPr>
          <w:rtl/>
        </w:rPr>
        <w:t xml:space="preserve"> </w:t>
      </w:r>
      <w:r>
        <w:rPr>
          <w:rFonts/>
          <w:rtl/>
        </w:rPr>
        <w:t>گذاشته</w:t>
      </w:r>
      <w:r>
        <w:rPr>
          <w:rtl/>
        </w:rPr>
        <w:t xml:space="preserve"> </w:t>
      </w:r>
      <w:r>
        <w:rPr>
          <w:rFonts/>
          <w:rtl/>
        </w:rPr>
        <w:t>شدند</w:t>
      </w:r>
      <w:r>
        <w:rPr>
          <w:rtl/>
        </w:rPr>
        <w:t xml:space="preserve"> </w:t>
      </w:r>
      <w:r>
        <w:rPr>
          <w:rFonts/>
          <w:rtl/>
        </w:rPr>
        <w:t>و</w:t>
      </w:r>
      <w:r>
        <w:rPr>
          <w:rtl/>
        </w:rPr>
        <w:t xml:space="preserve"> </w:t>
      </w:r>
      <w:r>
        <w:rPr>
          <w:rFonts/>
          <w:rtl/>
        </w:rPr>
        <w:t>در</w:t>
      </w:r>
      <w:r>
        <w:rPr>
          <w:rtl/>
        </w:rPr>
        <w:t xml:space="preserve"> </w:t>
      </w:r>
      <w:r>
        <w:rPr>
          <w:rFonts/>
          <w:rtl/>
        </w:rPr>
        <w:t>بخش</w:t>
      </w:r>
      <w:r>
        <w:rPr>
          <w:rtl/>
        </w:rPr>
        <w:t xml:space="preserve"> </w:t>
      </w:r>
      <w:r>
        <w:rPr>
          <w:rFonts/>
          <w:rtl/>
        </w:rPr>
        <w:t>پیشنهادهای</w:t>
      </w:r>
      <w:r>
        <w:rPr>
          <w:rtl/>
        </w:rPr>
        <w:t xml:space="preserve"> </w:t>
      </w:r>
      <w:r>
        <w:rPr>
          <w:rFonts/>
          <w:rtl/>
        </w:rPr>
        <w:t>کاربردی</w:t>
      </w:r>
      <w:r>
        <w:rPr>
          <w:rtl/>
        </w:rPr>
        <w:t xml:space="preserve"> </w:t>
      </w:r>
      <w:r>
        <w:rPr>
          <w:rFonts/>
          <w:rtl/>
        </w:rPr>
        <w:t>فصل</w:t>
      </w:r>
      <w:r>
        <w:rPr>
          <w:rtl/>
        </w:rPr>
        <w:t xml:space="preserve"> </w:t>
      </w:r>
      <w:r>
        <w:rPr>
          <w:rFonts/>
          <w:rtl/>
        </w:rPr>
        <w:t>پنجم</w:t>
      </w:r>
      <w:r>
        <w:rPr>
          <w:rtl/>
        </w:rPr>
        <w:t xml:space="preserve"> </w:t>
      </w:r>
      <w:r>
        <w:rPr>
          <w:rFonts/>
          <w:rtl/>
        </w:rPr>
        <w:t>به</w:t>
      </w:r>
      <w:r>
        <w:rPr>
          <w:rtl/>
        </w:rPr>
        <w:t xml:space="preserve"> </w:t>
      </w:r>
      <w:r>
        <w:rPr>
          <w:rFonts/>
          <w:rtl/>
        </w:rPr>
        <w:t>کار</w:t>
      </w:r>
      <w:r>
        <w:rPr>
          <w:rtl/>
        </w:rPr>
        <w:t xml:space="preserve"> </w:t>
      </w:r>
      <w:r>
        <w:rPr>
          <w:rFonts/>
          <w:rtl/>
        </w:rPr>
        <w:t>رفته‌اند</w:t>
      </w:r>
      <w:r>
        <w:rPr>
          <w:rtl/>
        </w:rPr>
        <w:t>.</w:t>
      </w:r>
    </w:p>
    <w:p>
      <w:pPr>
        <w:bidi/>
        <w:spacing w:after="80" w:line="276" w:lineRule="auto"/>
        <w:ind w:firstLine="720"/>
        <w:jc w:val="both"/>
      </w:pPr>
      <w:r>
        <w:rPr>
          <w:rtl/>
        </w:rPr>
        <w:t xml:space="preserve">در مرحله ترکیب و بررسی، کدهای استخراج‌شده از پاسخ‌های دور نخست با چالش‌های برگرفته از ادبیات (جدول ۲-۱) سنجیده و ترکیب شدند. گویه‌ها از کدهای پاسخ خبرگان ساخته شدند و هر گویه دست‌کم در پاسخ یک عضو پانل بازتاب داشت. چالشی از ادبیات تنها زمانی وارد فهرست گویه‌ها شد که خبرگان آن را مطرح کرده بودند؛ چالش‌هایی که در ادبیات آمده بودند، اما هیچ عضو پانل مطرح نکرد، وارد فهرست نشدند. در مقابل، کدی که در ادبیات همتای روشنی نداشت، به‌دلیل بازتاب در پاسخ خبرگان در فهرست ماند. حاصل این مرحله ۲۹ گویه در نُه مؤلفه بود.</w:t>
      </w:r>
    </w:p>
    <w:p>
      <w:pPr>
        <w:pStyle w:val="Heading3"/>
        <w:keepNext/>
        <w:bidi/>
        <w:spacing w:before="180" w:after="80"/>
      </w:pPr>
      <w:bookmarkStart w:id="40" w:name="_Toc200000040"/>
      <w:r>
        <w:t>۳ـ۷ـ۲ گام دوم: رتبه‌بندی و رسیدن به اجماع در دورهای دلفی</w:t>
      </w:r>
      <w:bookmarkEnd w:id="40"/>
    </w:p>
    <w:p>
      <w:pPr>
        <w:bidi/>
        <w:spacing w:after="80" w:line="276" w:lineRule="auto"/>
        <w:ind w:firstLine="720"/>
        <w:jc w:val="both"/>
      </w:pPr>
      <w:r>
        <w:rPr>
          <w:rtl/>
        </w:rPr>
        <w:t xml:space="preserve">برای اولویت‌بندی گویه‌های شناسایی‌شده، فهرست حاصل از دور نخست در دور دوم به صورت پرسشنامه‌ای ساختاریافته در اختیار پانل قرار گرفت و از هر عضو خواسته شد اهمیت هر گویه را بر پایه طیفی پنج‌درجه‌ای امتیاز دهد.</w:t>
      </w:r>
      <w:r>
        <w:rPr>
          <w:rtl/>
        </w:rPr>
        <w:t xml:space="preserve"> بازخورد کنترل‌شده نتایج هر دور به اعضای پانل، که از ویژگی‌های بنیادین روش دلفی و وجه تمایز آن از پیمایش یک‌مرحله‌ای است (ناسا و همکاران، ۲۰۲۱)</w:t>
      </w:r>
      <w:r>
        <w:rPr>
          <w:rStyle w:val="FootnoteReference"/>
        </w:rPr>
        <w:footnoteReference w:id="103"/>
      </w:r>
      <w:r>
        <w:rPr>
          <w:rtl/>
        </w:rPr>
        <w:t xml:space="preserve">، در پژوهش حاضر چنین اجرا شد: میانگین و میانه امتیاز هر گویه در پانل، همراه با امتیاز خود هر عضو در دور پیشین، به صورت ناشناس در اختیار تمام اعضا قرار گرفت و از آنان خواسته شد با توجه به این بازخورد گروهی، امتیازهای خود را در دور بعد بازبینی کنند.</w:t>
      </w:r>
    </w:p>
    <w:p>
      <w:pPr>
        <w:bidi/>
        <w:spacing w:after="80" w:line="276" w:lineRule="auto"/>
        <w:ind w:firstLine="720"/>
        <w:jc w:val="both"/>
      </w:pPr>
      <w:r>
        <w:rPr>
          <w:rtl/>
        </w:rPr>
        <w:t xml:space="preserve">این فرایند تا رسیدن به اجماع نسبی تکرار می‌شود. </w:t>
      </w:r>
      <w:r>
        <w:rPr>
          <w:rFonts/>
          <w:rtl/>
        </w:rPr>
        <w:t xml:space="preserve">شیفانو و نیدربرگر (۲۰۲۵)</w:t>
      </w:r>
      <w:r>
        <w:rPr>
          <w:rStyle w:val="FootnoteReference"/>
        </w:rPr>
        <w:footnoteReference w:id="104"/>
      </w:r>
      <w:r>
        <w:rPr>
          <w:rFonts/>
          <w:rtl/>
        </w:rPr>
        <w:t xml:space="preserve"> در مرور دامنه‌ای خود بر مطالعات دلفی در علوم سلامت نشان دادند که اجماع در بیشتر مطالعات (۸۱ درصد) به صورت درصد توافق تعریف می‌شود و ملاک توقف دورها در آن‌ها دستیابی به اجماع، تعداد ثابتی از دورها، یا ثبات پاسخ‌ها میان دورها (مثلاً با تغییر میانگین‌ها یا دامنه بین‌چارکی) است</w:t>
      </w:r>
      <w:r>
        <w:rPr>
          <w:rtl/>
        </w:rPr>
        <w:t xml:space="preserve">. </w:t>
      </w:r>
      <w:r>
        <w:rPr>
          <w:rtl/>
        </w:rPr>
        <w:t xml:space="preserve">در پژوهش حاضر توقف دورها بر پایه ملاک ثبات</w:t>
      </w:r>
      <w:r>
        <w:rPr>
          <w:rtl/>
        </w:rPr>
        <w:t xml:space="preserve">، یعنی ثبات نسبی رتبه‌بندی گویه‌ها میان دو دور متوالی، تعیین شد.</w:t>
      </w:r>
    </w:p>
    <w:p>
      <w:pPr>
        <w:bidi/>
        <w:spacing w:after="80" w:line="276" w:lineRule="auto"/>
        <w:ind w:firstLine="720"/>
        <w:jc w:val="both"/>
      </w:pPr>
      <w:r>
        <w:rPr>
          <w:rtl/>
        </w:rPr>
        <w:t xml:space="preserve">رتبه‌بندی نهایی در دو سطح محاسبه شد.</w:t>
      </w:r>
      <w:r>
        <w:rPr>
          <w:rtl/>
        </w:rPr>
        <w:t xml:space="preserve"> در سطح گویه، هر یک از گویه‌های استخراج‌شده از دور نخست رتبه‌ای جداگانه بر پایه میانگین امتیاز پانل در دور پایانی گرفت.</w:t>
      </w:r>
      <w:r>
        <w:rPr>
          <w:rtl/>
        </w:rPr>
        <w:t xml:space="preserve"> در سطح مؤلفه، امتیاز هر مؤلفه برابر میانگین امتیاز گویه‌های زیرمجموعه آن است.</w:t>
      </w:r>
      <w:r>
        <w:rPr>
          <w:rtl/>
        </w:rPr>
        <w:t xml:space="preserve"> محاسبه دوسطحی، هم امکان اولویت‌بندی عملیاتی در سطح چالش‌های مشخص را فراهم می‌کند و هم تصویری کلان از اهمیت نسبی دسته‌های چالش ارائه می‌دهد.</w:t>
      </w:r>
    </w:p>
    <w:p>
      <w:pPr>
        <w:bidi/>
        <w:spacing w:after="80" w:line="276" w:lineRule="auto"/>
        <w:ind w:firstLine="720"/>
        <w:jc w:val="both"/>
      </w:pPr>
      <w:r>
        <w:rPr>
          <w:rtl/>
        </w:rPr>
        <w:t xml:space="preserve">برای سنجش آماری این فرایند از سه دسته شاخص استفاده شد.</w:t>
      </w:r>
      <w:r>
        <w:rPr>
          <w:rtl/>
        </w:rPr>
        <w:t xml:space="preserve"> نخست، شاخص‌های توصیفی امتیاز هر گویه در هر دور، یعنی میانگین، میانه، انحراف معیار و دامنه بین‌چارکی.</w:t>
      </w:r>
      <w:r>
        <w:rPr>
          <w:rtl/>
        </w:rPr>
        <w:t xml:space="preserve"> دوم، ضریب هماهنگی کندال (</w:t>
      </w:r>
      <w:r>
        <w:rPr>
          <w:rFonts w:ascii="Times New Roman" w:hAnsi="Times New Roman" w:cs="Times New Roman" w:eastAsia="Times New Roman"/>
          <w:i/>
          <w:iCs/>
          <w:sz w:val="26"/>
          <w:szCs w:val="26"/>
        </w:rPr>
        <w:t xml:space="preserve">W</w:t>
      </w:r>
      <w:r>
        <w:rPr>
          <w:rtl/>
        </w:rPr>
        <w:t xml:space="preserve">) برای سنجش میزان توافق میان رتبه‌های حاصل از امتیازهای اعضای پانل در هر دور، که در دلفی‌های مبتنی بر رتبه‌بندی به کار می‌رود (اشمیت، ۱۹۹۷)</w:t>
      </w:r>
      <w:r>
        <w:rPr>
          <w:rStyle w:val="FootnoteReference"/>
        </w:rPr>
        <w:footnoteReference w:id="105"/>
      </w:r>
      <w:r>
        <w:rPr>
          <w:rtl/>
        </w:rPr>
        <w:t xml:space="preserve">؛ برای محاسبه آن، امتیازهای هر عضو به رتبه تبدیل شد و امتیازهای برابر میانگین رتبه‌های خود را گرفتند؛ معناداری آن با آزمون مجذور کای ارزیابی می‌شود.</w:t>
      </w:r>
      <w:r>
        <w:rPr>
          <w:rtl/>
        </w:rPr>
        <w:t xml:space="preserve"> سوم، ضریب همبستگی رتبه‌ای اسپیرمن میان امتیازهای دور دوم و دور سوم برای سنجش ثبات رتبه‌بندی میان دو دور؛ این ضریب هم در سطح گویه‌ها، که ملاک توقف دورها بود، و هم در سطح مؤلفه‌ها محاسبه شد.</w:t>
      </w:r>
      <w:r>
        <w:rPr>
          <w:rtl/>
        </w:rPr>
        <w:t xml:space="preserve"> نتایج این محاسبه‌ها در بخش ۴ گزارش شده است و پاسخ‌های کامل‌شده اعضای پانل در اختیار داوران قرار دارد.</w:t>
      </w:r>
    </w:p>
    <w:p>
      <w:pPr>
        <w:pStyle w:val="Heading3"/>
        <w:keepNext/>
        <w:bidi/>
        <w:spacing w:before="180" w:after="80"/>
      </w:pPr>
      <w:bookmarkStart w:id="41" w:name="_Toc200000041"/>
      <w:r>
        <w:t xml:space="preserve">۳ـ۷ـ۳ رتبه‌بندی و وزن‌دهی به روش AHP</w:t>
      </w:r>
      <w:bookmarkEnd w:id="41"/>
    </w:p>
    <w:p>
      <w:pPr>
        <w:bidi/>
        <w:spacing w:after="80" w:line="276" w:lineRule="auto"/>
        <w:ind w:firstLine="720"/>
        <w:jc w:val="both"/>
      </w:pPr>
      <w:r>
        <w:rPr>
          <w:rtl/>
        </w:rPr>
        <w:t xml:space="preserve">گام سوم، وزن‌دهی و رتبه‌بندی به روش فرایند تحلیل سلسله‌مراتبی (</w:t>
      </w:r>
      <w:r>
        <w:rPr>
          <w:rFonts w:ascii="Times New Roman" w:hAnsi="Times New Roman" w:cs="Times New Roman" w:eastAsia="Times New Roman"/>
          <w:sz w:val="26"/>
          <w:szCs w:val="26"/>
        </w:rPr>
        <w:t xml:space="preserve">AHP</w:t>
      </w:r>
      <w:r>
        <w:rPr>
          <w:rtl/>
        </w:rPr>
        <w:t xml:space="preserve">) انجام شد (ساعتی، ۱۹۸۰)</w:t>
      </w:r>
      <w:r>
        <w:rPr>
          <w:rStyle w:val="FootnoteReference"/>
        </w:rPr>
        <w:footnoteReference w:id="106"/>
      </w:r>
      <w:r>
        <w:rPr>
          <w:rtl/>
        </w:rPr>
        <w:t xml:space="preserve">.</w:t>
      </w:r>
      <w:r>
        <w:rPr>
          <w:rtl/>
        </w:rPr>
        <w:t xml:space="preserve"> سلسله‌مراتب تصمیم در سه سطح تعریف شد: هدف، که شناسایی و اولویت‌بندی چالش‌های فروش است؛ نُه مؤلفه؛ و ۲۹ گویه زیر هر مؤلفه.</w:t>
      </w:r>
      <w:r>
        <w:rPr>
          <w:rtl/>
        </w:rPr>
        <w:t xml:space="preserve"> وزن‌ها بدون محاسبه‌ی مقایسه‌های زوجی و مستقیماً از میانگین امتیاز هر گویه در دور سوم به دست آمدند.</w:t>
      </w:r>
    </w:p>
    <w:p>
      <w:pPr>
        <w:bidi/>
        <w:spacing w:after="80" w:line="276" w:lineRule="auto"/>
        <w:ind w:firstLine="720"/>
        <w:jc w:val="both"/>
      </w:pPr>
      <w:r>
        <w:rPr>
          <w:rtl/>
        </w:rPr>
        <w:t xml:space="preserve">وزن هر مؤلفه برابر است با سهم میانگین آن از مجموع میانگین‌های نُه مؤلفه.</w:t>
      </w:r>
      <w:r>
        <w:rPr>
          <w:rtl/>
        </w:rPr>
        <w:t xml:space="preserve"> وزن محلی هر گویه برابر است با سهم میانگین آن از مجموع میانگین‌های گویه‌های همان مؤلفه، و وزن سراسری گویه حاصل ضرب وزن مؤلفه در وزن محلی آن است.</w:t>
      </w:r>
      <w:r>
        <w:rPr>
          <w:rtl/>
        </w:rPr>
        <w:t xml:space="preserve"> مجموع وزن‌های سراسری ۲۹ گویه برابر یک است.</w:t>
      </w:r>
      <w:r>
        <w:rPr>
          <w:rtl/>
        </w:rPr>
        <w:t xml:space="preserve"/>
      </w:r>
    </w:p>
    <w:p>
      <w:pPr>
        <w:pStyle w:val="Heading3"/>
        <w:keepNext/>
        <w:bidi/>
        <w:spacing w:before="180" w:after="80"/>
      </w:pPr>
      <w:bookmarkStart w:id="42" w:name="_Toc200000042"/>
      <w:r>
        <w:t xml:space="preserve">۳ـ۷ـ۴ چرایی انتخاب روش دلفی در میان رویکردهای رقیب</w:t>
      </w:r>
      <w:bookmarkEnd w:id="42"/>
    </w:p>
    <w:p>
      <w:pPr>
        <w:bidi/>
        <w:spacing w:after="80" w:line="276" w:lineRule="auto"/>
        <w:ind w:firstLine="720"/>
        <w:jc w:val="both"/>
      </w:pPr>
      <w:r>
        <w:rPr>
          <w:rtl/>
        </w:rPr>
        <w:t xml:space="preserve">انتخاب روش دلفی در پژوهش حاضر بر سه دلیل استوار است. نخست، امکان دستیابی به اجماع گروهی بدون نیاز به گردهم‌آوردن فیزیکی خبرگانی که در مناطق و شرکت‌های مختلف پراکنده‌اند </w:t>
      </w:r>
      <w:r>
        <w:rPr>
          <w:rFonts/>
          <w:rtl/>
        </w:rPr>
        <w:t xml:space="preserve">مزیتی که روش دلفی را از گروه‌های کانونی حضوری متمایز می‌کند</w:t>
      </w:r>
      <w:r>
        <w:rPr>
          <w:rtl/>
        </w:rPr>
        <w:t xml:space="preserve">. دوم، ناشناس ماندن پاسخ‌ها در هر دور، که اثر فشار اجتماعی سلسله‌مراتب شغلی بر نظر اعضای کم‌سابقه‌تر پانل را کاهش می‌دهد. سوم، امکان بازبینی </w:t>
      </w:r>
      <w:r>
        <w:rPr>
          <w:rtl/>
        </w:rPr>
        <w:t xml:space="preserve">تدریجی نظرها در پرتو بازخورد گروهی، </w:t>
      </w:r>
      <w:r>
        <w:rPr>
          <w:rtl/>
        </w:rPr>
        <w:t xml:space="preserve">که ناسا و همکاران (۲۰۲۱)</w:t>
      </w:r>
      <w:r>
        <w:rPr>
          <w:rStyle w:val="FootnoteReference"/>
        </w:rPr>
        <w:footnoteReference w:id="107"/>
      </w:r>
      <w:r>
        <w:rPr>
          <w:rtl/>
        </w:rPr>
        <w:t xml:space="preserve"> آن را از ویژگی‌های اصلی این روش دانسته‌اند.</w:t>
      </w:r>
    </w:p>
    <w:p>
      <w:pPr>
        <w:bidi/>
        <w:spacing w:after="80" w:line="276" w:lineRule="auto"/>
        <w:ind w:firstLine="720"/>
        <w:jc w:val="both"/>
      </w:pPr>
      <w:r>
        <w:rPr>
          <w:rtl/>
        </w:rPr>
        <w:t xml:space="preserve">اندازه پانل پژوهش حاضر </w:t>
      </w:r>
      <w:r>
        <w:rPr>
          <w:rFonts/>
          <w:rtl/>
        </w:rPr>
        <w:t>هفت</w:t>
      </w:r>
      <w:r>
        <w:rPr>
          <w:rtl/>
        </w:rPr>
        <w:t xml:space="preserve"> </w:t>
      </w:r>
      <w:r>
        <w:rPr>
          <w:rFonts/>
          <w:rtl/>
        </w:rPr>
        <w:t>نفر</w:t>
      </w:r>
      <w:r>
        <w:rPr>
          <w:rtl/>
        </w:rPr>
        <w:t xml:space="preserve"> </w:t>
      </w:r>
      <w:r>
        <w:rPr>
          <w:rFonts/>
          <w:rtl/>
        </w:rPr>
        <w:t>در</w:t>
      </w:r>
      <w:r>
        <w:rPr>
          <w:rtl/>
        </w:rPr>
        <w:t xml:space="preserve"> </w:t>
      </w:r>
      <w:r>
        <w:rPr>
          <w:rFonts/>
          <w:rtl/>
        </w:rPr>
        <w:t>محدوده‌ای</w:t>
      </w:r>
      <w:r>
        <w:rPr>
          <w:rtl/>
        </w:rPr>
        <w:t xml:space="preserve"> </w:t>
      </w:r>
      <w:r>
        <w:rPr>
          <w:rFonts/>
          <w:rtl/>
        </w:rPr>
        <w:t>است</w:t>
      </w:r>
      <w:r>
        <w:rPr>
          <w:rtl/>
        </w:rPr>
        <w:t xml:space="preserve"> </w:t>
      </w:r>
      <w:r>
        <w:rPr>
          <w:rtl/>
        </w:rPr>
        <w:t>که شیفانو و نیدربرگر (۲۰۲۵)</w:t>
      </w:r>
      <w:r>
        <w:rPr>
          <w:rStyle w:val="FootnoteReference"/>
        </w:rPr>
        <w:footnoteReference w:id="108"/>
      </w:r>
      <w:r>
        <w:rPr>
          <w:rtl/>
        </w:rPr>
        <w:t xml:space="preserve"> برای مطالعات دلفی گزارش کرده‌اند، هرچند نسبت به میانه گزارش‌شده در ادبیات این حوزه کوچک‌تر است. این انتخاب، با توافق استاد راهنما و با توجه به محدودیت‌های اجرایی پژوهش، صورت گرفته است. با این حال، صداقت روش‌شناختی ایجاب می‌کند</w:t>
      </w:r>
      <w:r>
        <w:rPr>
          <w:rtl/>
        </w:rPr>
        <w:t xml:space="preserve"> صریح گفته شود که در پانل‌های کوچک‌تر، تأثیر نظر هر عضو بر نتیجه نهایی بیشتر از پانل‌های بزرگ‌تر است؛ از این رو یافته‌های نهایی با توجه به همین محدودیت تفسیر می‌شوند.</w:t>
      </w:r>
    </w:p>
    <w:p>
      <w:pPr>
        <w:pStyle w:val="Heading2"/>
        <w:keepNext/>
        <w:bidi/>
        <w:spacing w:before="240" w:after="80"/>
      </w:pPr>
      <w:bookmarkStart w:id="43" w:name="_Toc200000043"/>
      <w:r>
        <w:t>۳ـ۸ ملاحظات اخلاقی پژوهش</w:t>
      </w:r>
      <w:bookmarkEnd w:id="43"/>
    </w:p>
    <w:p>
      <w:pPr>
        <w:bidi/>
        <w:spacing w:after="80"/>
        <w:ind w:firstLine="720"/>
        <w:jc w:val="both"/>
      </w:pPr>
      <w:r>
        <w:rPr>
          <w:rtl/>
        </w:rPr>
        <w:t xml:space="preserve">پیش از آغاز دور نخست، هدف پژوهش و نحوه استفاده از داده‌ها برای هر عضو پانل تشریح شد و مشارکت او با رضایت آگاهانه و به صورت داوطلبانه صورت گرفت.</w:t>
      </w:r>
      <w:r>
        <w:rPr>
          <w:rtl/>
        </w:rPr>
        <w:t xml:space="preserve"> درج نام در فرم‌های پژوهش اختیاری بود و اعضای پانل در گزارش پژوهش با کدهای خ۱ تا خ۷ نشان داده شده‌اند تا محرمانگی هویت آنان و نام شرکت‌های محل فعالیتشان حفظ شود.</w:t>
      </w:r>
    </w:p>
    <w:p>
      <w:pPr>
        <w:bidi/>
        <w:spacing w:after="80" w:line="276" w:lineRule="auto"/>
        <w:ind w:firstLine="720"/>
        <w:jc w:val="both"/>
        <w:sectPr>
          <w:footerReference w:type="default" r:id="rId6"/>
          <w:footerReference w:type="first" r:id="rId5"/>
          <w:pgSz w:w="11906" w:h="16838"/>
          <w:pgMar w:top="1701" w:right="1701" w:bottom="1417" w:left="1417" w:header="709" w:footer="709" w:gutter="0"/>
          <w:pgNumType w:fmt="decimal"/>
          <w:cols w:space="720"/>
          <w:titlePg/>
          <w:docGrid w:linePitch="360"/>
        </w:sectPr>
      </w:pPr>
      <w:r>
        <w:rPr>
          <w:rtl/>
        </w:rPr>
        <w:t>داده‌های گردآوری‌شده تنها برای مقاصد این پژوهش به کار رفته و در نقل پاسخ‌های اعضای پانل، امانت‌داری رعایت شده است. بخشی از پاسخ‌هایی که جنبه راهکاری داشت و در پژوهش مورد استفاده قرار گرفت، به این ترتیب است که محتوای آن به طور مستقل و بدون انتساب به فرد خاص در بخش پیشنهادها آمده است. همچنین در تدوین مبانی نظری و پیشینه، منابع مورد استفاده به دقت ارجاع داده شده‌اند.</w:t>
      </w:r>
    </w:p>
    <w:tbl>
      <w:tblPr>
        <w:tblW w:w="8788" w:type="dxa"/>
        <w:tblLayout w:type="fixed"/>
        <w:tblLook w:val="0000"/>
      </w:tblPr>
      <w:tblGrid>
        <w:gridCol w:w="8788"/>
      </w:tblGrid>
      <w:tr>
        <w:trPr>
          <w:cantSplit/>
          <w:trHeight w:val="12000" w:hRule="exact"/>
        </w:trPr>
        <w:tc>
          <w:tcPr>
            <w:tcW w:w="8788" w:type="dxa"/>
            <w:vAlign w:val="center"/>
          </w:tcPr>
          <w:p>
            <w:pPr>
              <w:pStyle w:val="Heading1"/>
              <w:bidi/>
              <w:jc w:val="center"/>
            </w:pPr>
            <w:bookmarkStart w:id="44" w:name="_Toc200000044"/>
            <w:r>
              <w:rPr>
                <w:rtl/>
              </w:rPr>
              <w:t xml:space="preserve">فصل چهارم: تجزیه و تحلیل داده‌ها</w:t>
            </w:r>
            <w:bookmarkEnd w:id="44"/>
          </w:p>
        </w:tc>
      </w:tr>
    </w:tbl>
    <w:p>
      <w:pPr>
        <w:pStyle w:val="Heading2"/>
        <w:keepNext/>
        <w:pageBreakBefore/>
        <w:bidi/>
        <w:spacing w:before="240" w:after="80"/>
      </w:pPr>
      <w:bookmarkStart w:id="45" w:name="_Toc200000045"/>
      <w:r>
        <w:t xml:space="preserve">۴ـ۱ مقدمه</w:t>
      </w:r>
      <w:bookmarkEnd w:id="45"/>
    </w:p>
    <w:p>
      <w:pPr>
        <w:bidi/>
        <w:spacing w:after="80"/>
        <w:ind w:firstLine="720"/>
        <w:jc w:val="both"/>
      </w:pPr>
      <w:r>
        <w:rPr>
          <w:rtl/>
        </w:rPr>
        <w:t xml:space="preserve">این فصل یافته‌های سه دور دلفی را به ترتیبی که اجرا شدند گزارش می‌کند. نخست، ترکیب پانل خبرگان توصیف می‌شود. سپس دور نخست می‌آید که مصاحبه‌ای با یک پرسش باز بود؛ اعضا بدون دریافت فهرست پیشنهادی به آن پاسخ دادند؛ پاسخ‌ها با روش تحلیل مضمون کدگذاری شد؛ کدها با چالش‌های برگرفته از ادبیات (جدول ۲-۱) ترکیب و بررسی شدند و به فهرستی از ۲۹ گویه در ۹ مؤلفه انجامیدند. پس از آن، دور دوم و دور سوم می‌آیند؛ در این دو دور اعضا اهمیت گویه‌ها را بر طیف پنج‌درجه‌ای امتیاز دادند و دور سوم با ارائه بازخورد ناشناس گروهی از نتایج دور دوم انجام شد. برای سنجش اجماع، از آمار توصیفی امتیاز هر گویه، ضریب هماهنگی کندال و ضریب همبستگی رتبه‌ای اسپیرمن (بخش ۳-۷-۲) استفاده شده است. در پایان، رتبه‌بندی نهایی مؤلفه‌ها و گویه‌ها و وزن‌های </w:t>
      </w:r>
      <w:r>
        <w:rPr>
          <w:rFonts w:ascii="Times New Roman" w:hAnsi="Times New Roman" w:cs="Times New Roman" w:eastAsia="Times New Roman"/>
          <w:sz w:val="26"/>
          <w:szCs w:val="26"/>
        </w:rPr>
        <w:t xml:space="preserve">AHP</w:t>
      </w:r>
      <w:r>
        <w:rPr>
          <w:rtl/>
        </w:rPr>
        <w:t xml:space="preserve"> آن‌ها گزارش می‌شود.</w:t>
      </w:r>
    </w:p>
    <w:p>
      <w:pPr>
        <w:bidi/>
        <w:spacing w:after="80"/>
        <w:ind w:firstLine="720"/>
        <w:jc w:val="both"/>
      </w:pPr>
      <w:r>
        <w:rPr>
          <w:rtl/>
        </w:rPr>
        <w:t xml:space="preserve">این فصل در شش بخش سامان یافته است: ترکیب پانل خبرگان، دور نخست دلفی، دور دوم دلفی، دور سوم دلفی، پاسخ به پرسش‌های پژوهش و رتبه‌بندی نهایی و جمع‌بندی فصل.</w:t>
      </w:r>
    </w:p>
    <w:p>
      <w:pPr>
        <w:pStyle w:val="Heading2"/>
        <w:keepNext/>
        <w:bidi/>
        <w:spacing w:before="240" w:after="80"/>
      </w:pPr>
      <w:bookmarkStart w:id="46" w:name="_Toc200000046"/>
      <w:r>
        <w:t xml:space="preserve">۴ـ۲ ترکیب پانل خبرگان</w:t>
      </w:r>
      <w:bookmarkEnd w:id="46"/>
    </w:p>
    <w:p>
      <w:pPr>
        <w:bidi/>
        <w:spacing w:after="80"/>
        <w:ind w:firstLine="720"/>
        <w:jc w:val="both"/>
      </w:pPr>
      <w:r>
        <w:rPr>
          <w:rtl/>
        </w:rPr>
        <w:t xml:space="preserve">جدول ۴-۱ ترکیب پانل پژوهش را از چهار منظر جایگاه شغلی، سطح تحصیلات، سابقه فعالیت و نوع محصول شرکت محل فعالیت نشان می‌دهد. ترکیب واقعی پانل بخشی از یافته‌های پژوهش است؛ فصل سوم تنها معیارهای ورود به پانل را توضیح می‌دهد (بخش ۳-۴-۱).</w:t>
      </w:r>
    </w:p>
    <w:p>
      <w:pPr>
        <w:pStyle w:val="TableCaption"/>
        <w:keepNext/>
        <w:spacing w:before="160" w:after="80"/>
        <w:jc w:val="center"/>
        <w:rPr>
          <w:vanish/>
        </w:rPr>
      </w:pPr>
      <w:bookmarkStart w:id="47" w:name="_Toc200000047"/>
      <w:r>
        <w:fldChar w:fldCharType="begin"/>
      </w:r>
      <w:r>
        <w:instrText xml:space="preserve"> TC "جدول ۴-۱ ترکیب نمونه پژوهش" \f T \l 4 </w:instrText>
      </w:r>
      <w:r>
        <w:fldChar w:fldCharType="end"/>
      </w:r>
      <w:r>
        <w:t>جدول ۴-۱ ترکیب نمونه پژوهش</w:t>
      </w:r>
      <w:r>
        <w:t xml:space="preserve"> (منبع: یافته‌های پژوهش)</w:t>
      </w:r>
      <w:bookmarkEnd w:id="47"/>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588"/>
      </w:tblGrid>
      <w:tr>
        <w:trPr>
          <w:tblHeade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منظر</w:t>
            </w:r>
          </w:p>
        </w:tc>
        <w:tc>
          <w:tcPr>
            <w:tcW w:w="65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ترکیب</w:t>
            </w:r>
          </w:p>
        </w:tc>
      </w:tr>
      <w:tr>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جایگاه شغلی</w:t>
            </w:r>
          </w:p>
        </w:tc>
        <w:tc>
          <w:tcPr>
            <w:tcW w:w="65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یک عضو هیئت علمی، دو مدیر فروش، سه کارشناس فروش، </w:t>
            </w:r>
            <w:r>
              <w:rPr>
                <w:sz w:val="22"/>
                <w:szCs w:val="22"/>
                <w:rtl/>
              </w:rPr>
              <w:t xml:space="preserve">یک مدیر برنامه‌ریزی تولید</w:t>
            </w:r>
          </w:p>
        </w:tc>
      </w:tr>
      <w:tr>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سطح تحصیلات</w:t>
            </w:r>
          </w:p>
        </w:tc>
        <w:tc>
          <w:tcPr>
            <w:tcW w:w="65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سه دکترا، یک کارشناسی ارشد، یک کارشناسی، دو دیپلم</w:t>
            </w:r>
          </w:p>
        </w:tc>
      </w:tr>
      <w:tr>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سابقه فعالیت</w:t>
            </w:r>
          </w:p>
        </w:tc>
        <w:tc>
          <w:tcPr>
            <w:tcW w:w="65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پنج تا بیست سال؛ میانگین نزدیک به دوازده سال</w:t>
            </w:r>
          </w:p>
        </w:tc>
      </w:tr>
      <w:tr>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نوع محصول</w:t>
            </w:r>
          </w:p>
        </w:tc>
        <w:tc>
          <w:tcPr>
            <w:tcW w:w="65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فرآورده‌های لبنی، کره، حلوا ارده (برای سه نفر، نوع محصول در فرم </w:t>
            </w:r>
            <w:r>
              <w:rPr>
                <w:sz w:val="22"/>
                <w:szCs w:val="22"/>
                <w:rtl/>
              </w:rPr>
              <w:t>ثبت نشده است)</w:t>
            </w:r>
          </w:p>
        </w:tc>
      </w:tr>
    </w:tbl>
    <w:p>
      <w:pPr>
        <w:bidi/>
        <w:jc w:val="both"/>
      </w:pPr>
    </w:p>
    <w:p>
      <w:pPr>
        <w:pStyle w:val="Heading3"/>
        <w:keepNext/>
        <w:bidi/>
        <w:spacing w:before="180" w:after="80"/>
      </w:pPr>
      <w:bookmarkStart w:id="48" w:name="_Toc200000048"/>
      <w:r>
        <w:t xml:space="preserve">۴ـ۲ـ۱ توزیع فراوانی متغیرهای جمعیت‌شناختی پانل</w:t>
      </w:r>
      <w:bookmarkEnd w:id="48"/>
    </w:p>
    <w:p>
      <w:pPr>
        <w:bidi/>
        <w:spacing w:after="80"/>
        <w:ind w:firstLine="720"/>
        <w:jc w:val="both"/>
      </w:pPr>
      <w:r>
        <w:rPr>
          <w:rtl/>
        </w:rPr>
        <w:t xml:space="preserve">توزیع هر یک از متغیرهای جمعیت‌شناختی پانل به‌طور جداگانه، همراه با نمودار مربوط به آن، در جدول‌های ۴-۲ تا ۴-۵ ارائه شده است.</w:t>
      </w:r>
    </w:p>
    <w:p>
      <w:pPr>
        <w:pStyle w:val="TableCaption"/>
        <w:keepNext/>
        <w:spacing w:before="160" w:after="80"/>
        <w:jc w:val="center"/>
        <w:rPr>
          <w:vanish/>
        </w:rPr>
      </w:pPr>
      <w:bookmarkStart w:id="49" w:name="_Toc200000049"/>
      <w:r>
        <w:fldChar w:fldCharType="begin"/>
      </w:r>
      <w:r>
        <w:instrText xml:space="preserve"> TC "جدول ۴-۲ توزیع جایگاه شغلی اعضای پانل خبرگان" \f T \l 4 </w:instrText>
      </w:r>
      <w:r>
        <w:fldChar w:fldCharType="end"/>
      </w:r>
      <w:r>
        <w:t>جدول ۴-۲ توزیع جایگاه شغلی اعضای پانل خبرگان</w:t>
      </w:r>
      <w:r>
        <w:t xml:space="preserve"> (منبع: یافته‌های پژوهش)</w:t>
      </w:r>
      <w:bookmarkEnd w:id="49"/>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200"/>
        <w:gridCol w:w="2088"/>
      </w:tblGrid>
      <w:tr>
        <w:trPr>
          <w:tblHeade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ردیف</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جایگاه شغلی</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فراوانی</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درصد</w:t>
            </w:r>
          </w:p>
        </w:tc>
      </w:tr>
      <w:tr>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عضو هیئت علمی</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۱۴٫۳٪</w:t>
            </w:r>
          </w:p>
        </w:tc>
      </w:tr>
      <w:tr>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مدیر فروش</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۲۸٫۶٪</w:t>
            </w:r>
          </w:p>
        </w:tc>
      </w:tr>
      <w:tr>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کارشناس فروش</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۴۲٫۹٪</w:t>
            </w:r>
          </w:p>
        </w:tc>
      </w:tr>
      <w:tr>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مدیر برنامه‌ریزی تولید</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۱۴٫۳٪</w:t>
            </w:r>
          </w:p>
        </w:tc>
      </w:tr>
      <w:tr>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جمع</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۷</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۱۰۰٪</w:t>
            </w:r>
          </w:p>
        </w:tc>
      </w:tr>
    </w:tbl>
    <w:p>
      <w:pPr>
        <w:bidi/>
        <w:jc w:val="both"/>
      </w:pPr>
    </w:p>
    <w:p>
      <w:pPr>
        <w:keepNext/>
        <w:keepLines/>
        <w:bidi/>
        <w:spacing w:before="60" w:after="120" w:line="240" w:lineRule="auto"/>
        <w:jc w:val="center"/>
      </w:pPr>
      <w:r>
        <w:rPr>
          <w:noProof/>
        </w:rPr>
        <w:drawing>
          <wp:inline distT="0" distB="0" distL="0" distR="0">
            <wp:extent cx="5486400" cy="2926080"/>
            <wp:effectExtent l="0" t="0" r="0" b="0"/>
            <wp:docPr id="3" name="نمودار ۴-۱" descr="نمودار دایره‌ای توزیع جایگاه شغلی اعضای پانل خبرگان: عضو هیئت علمی ۱ نفر (۱۴٫۳٪)، مدیر فروش ۲ نفر (۲۸٫۶٪)، کارشناس فروش ۳ نفر (۴۲٫۹٪)، کارشناس برنامه‌ریزی تولید ۱ نفر (۱۴٫۳٪)"/>
            <wp:cNvGraphicFramePr/>
            <a:graphic xmlns:a="http://schemas.openxmlformats.org/drawingml/2006/main">
              <a:graphicData uri="http://schemas.openxmlformats.org/drawingml/2006/chart">
                <c:chart xmlns:c="http://schemas.openxmlformats.org/drawingml/2006/chart" r:id="rId12"/>
              </a:graphicData>
            </a:graphic>
          </wp:inline>
        </w:drawing>
      </w:r>
    </w:p>
    <w:p>
      <w:pPr>
        <w:pStyle w:val="FigureCaption"/>
        <w:spacing w:before="80" w:after="160"/>
      </w:pPr>
      <w:bookmarkStart w:id="50" w:name="_Toc200000050"/>
      <w:r>
        <w:fldChar w:fldCharType="begin"/>
      </w:r>
      <w:r>
        <w:instrText xml:space="preserve"> TC "نمودار ۴-۱ نمودار دایره‌ای توزیع جایگاه شغلی اعضای پانل خبرگان" \f F \l 4 </w:instrText>
      </w:r>
      <w:r>
        <w:fldChar w:fldCharType="end"/>
      </w:r>
      <w:r>
        <w:t xml:space="preserve">نمودار ۴-۱ نمودار </w:t>
      </w:r>
      <w:r>
        <w:t>دایره‌ای توزیع جایگاه شغلی اعضای پانل خبرگان</w:t>
      </w:r>
      <w:r>
        <w:t xml:space="preserve"> (منبع: یافته‌های پژوهش)</w:t>
      </w:r>
      <w:bookmarkEnd w:id="50"/>
    </w:p>
    <w:p>
      <w:pPr>
        <w:bidi/>
        <w:jc w:val="both"/>
      </w:pPr>
    </w:p>
    <w:p>
      <w:pPr>
        <w:pStyle w:val="TableCaption"/>
        <w:keepNext/>
        <w:spacing w:before="160" w:after="80"/>
        <w:jc w:val="center"/>
        <w:rPr>
          <w:vanish/>
        </w:rPr>
      </w:pPr>
      <w:bookmarkStart w:id="51" w:name="_Toc200000051"/>
      <w:r>
        <w:fldChar w:fldCharType="begin"/>
      </w:r>
      <w:r>
        <w:instrText xml:space="preserve"> TC "جدول ۴-۳ توزیع سطح تحصیلات اعضای پانل خبرگان" \f T \l 4 </w:instrText>
      </w:r>
      <w:r>
        <w:fldChar w:fldCharType="end"/>
      </w:r>
      <w:r>
        <w:t>جدول ۴-۳ توزیع سطح تحصیلات اعضای پانل خبرگان</w:t>
      </w:r>
      <w:r>
        <w:t xml:space="preserve"> (منبع: یافته‌های پژوهش)</w:t>
      </w:r>
      <w:bookmarkEnd w:id="51"/>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200"/>
        <w:gridCol w:w="2088"/>
      </w:tblGrid>
      <w:tr>
        <w:trPr>
          <w:tblHeade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ردیف</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سطح تحصیلات</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فراوانی</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درصد</w:t>
            </w:r>
          </w:p>
        </w:tc>
      </w:tr>
      <w:tr>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دکترا</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۴۲٫۹٪</w:t>
            </w:r>
          </w:p>
        </w:tc>
      </w:tr>
      <w:tr>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کارشناسی ارشد</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۱۴٫۳٪</w:t>
            </w:r>
          </w:p>
        </w:tc>
      </w:tr>
      <w:tr>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کارشناسی</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۱۴٫۳٪</w:t>
            </w:r>
          </w:p>
        </w:tc>
      </w:tr>
      <w:tr>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دیپلم</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۲۸٫۶٪</w:t>
            </w:r>
          </w:p>
        </w:tc>
      </w:tr>
      <w:tr>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جمع</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۷</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۱۰۰٪</w:t>
            </w:r>
          </w:p>
        </w:tc>
      </w:tr>
    </w:tbl>
    <w:p>
      <w:pPr>
        <w:bidi/>
        <w:jc w:val="both"/>
      </w:pPr>
    </w:p>
    <w:p>
      <w:pPr>
        <w:keepNext/>
        <w:keepLines/>
        <w:bidi/>
        <w:spacing w:before="60" w:after="120" w:line="240" w:lineRule="auto"/>
        <w:jc w:val="center"/>
      </w:pPr>
      <w:r>
        <w:rPr>
          <w:noProof/>
        </w:rPr>
        <w:drawing>
          <wp:inline distT="0" distB="0" distL="0" distR="0">
            <wp:extent cx="5486400" cy="2926080"/>
            <wp:effectExtent l="0" t="0" r="0" b="0"/>
            <wp:docPr id="4" name="نمودار ۴-۲" descr="نمودار دایره‌ای توزیع سطح تحصیلات اعضای پانل خبرگان: دکترا ۳ نفر (۴۲٫۹٪)، کارشناسی ارشد ۱ نفر (۱۴٫۳٪)، کارشناسی ۱ نفر (۱۴٫۳٪)، دیپلم ۲ نفر (۲۸٫۶٪)"/>
            <wp:cNvGraphicFramePr/>
            <a:graphic xmlns:a="http://schemas.openxmlformats.org/drawingml/2006/main">
              <a:graphicData uri="http://schemas.openxmlformats.org/drawingml/2006/chart">
                <c:chart xmlns:c="http://schemas.openxmlformats.org/drawingml/2006/chart" r:id="rId13"/>
              </a:graphicData>
            </a:graphic>
          </wp:inline>
        </w:drawing>
      </w:r>
    </w:p>
    <w:p>
      <w:pPr>
        <w:pStyle w:val="FigureCaption"/>
        <w:spacing w:before="80" w:after="160"/>
      </w:pPr>
      <w:bookmarkStart w:id="52" w:name="_Toc200000052"/>
      <w:r>
        <w:fldChar w:fldCharType="begin"/>
      </w:r>
      <w:r>
        <w:instrText xml:space="preserve"> TC "نمودار ۴-۲ نمودار دایره‌ای توزیع سطح تحصیلات اعضای پانل خبرگان" \f F \l 4 </w:instrText>
      </w:r>
      <w:r>
        <w:fldChar w:fldCharType="end"/>
      </w:r>
      <w:r>
        <w:t>نمودار ۴-۲ نمودار دایره‌ای توزیع سطح تحصیلات اعضای پانل خبرگان</w:t>
      </w:r>
      <w:r>
        <w:t xml:space="preserve"> (منبع: یافته‌های پژوهش)</w:t>
      </w:r>
      <w:bookmarkEnd w:id="52"/>
    </w:p>
    <w:p>
      <w:pPr>
        <w:bidi/>
        <w:jc w:val="both"/>
      </w:pPr>
    </w:p>
    <w:p>
      <w:pPr>
        <w:pStyle w:val="TableCaption"/>
        <w:keepNext/>
        <w:spacing w:before="160" w:after="80"/>
        <w:jc w:val="center"/>
        <w:rPr>
          <w:vanish/>
        </w:rPr>
      </w:pPr>
      <w:bookmarkStart w:id="53" w:name="_Toc200000053"/>
      <w:r>
        <w:fldChar w:fldCharType="begin"/>
      </w:r>
      <w:r>
        <w:instrText xml:space="preserve"> TC "جدول ۴-۴ توزیع سابقه فعالیت اعضای پانل خبرگان" \f T \l 4 </w:instrText>
      </w:r>
      <w:r>
        <w:fldChar w:fldCharType="end"/>
      </w:r>
      <w:r>
        <w:t>جدول ۴-۴ توزیع سابقه فعالیت اعضای پانل خبرگان</w:t>
      </w:r>
      <w:r>
        <w:t xml:space="preserve"> (منبع: یافته‌های پژوهش)</w:t>
      </w:r>
      <w:bookmarkEnd w:id="53"/>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200"/>
        <w:gridCol w:w="2088"/>
      </w:tblGrid>
      <w:tr>
        <w:trPr>
          <w:tblHeade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ردیف</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سابقه فعالیت (سال)</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فراوانی</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درصد</w:t>
            </w:r>
          </w:p>
        </w:tc>
      </w:tr>
      <w:tr>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کمتر از ۵ سال</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w:t>
            </w:r>
          </w:p>
        </w:tc>
      </w:tr>
      <w:tr>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 تا ۱۰ سال</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۵۷٫۱٪</w:t>
            </w:r>
          </w:p>
        </w:tc>
      </w:tr>
      <w:tr>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۱۱ تا ۲۰ سال</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۴۲٫۹٪</w:t>
            </w:r>
          </w:p>
        </w:tc>
      </w:tr>
      <w:tr>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بیش از ۲۰ سال</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w:t>
            </w:r>
          </w:p>
        </w:tc>
      </w:tr>
      <w:tr>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جمع</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۷</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۱۰۰٪</w:t>
            </w:r>
          </w:p>
        </w:tc>
      </w:tr>
    </w:tbl>
    <w:p>
      <w:pPr>
        <w:bidi/>
        <w:jc w:val="both"/>
      </w:pPr>
    </w:p>
    <w:p>
      <w:pPr>
        <w:keepNext/>
        <w:keepLines/>
        <w:bidi/>
        <w:spacing w:before="60" w:after="120" w:line="240" w:lineRule="auto"/>
        <w:jc w:val="center"/>
      </w:pPr>
      <w:r>
        <w:rPr>
          <w:noProof/>
        </w:rPr>
        <w:drawing>
          <wp:inline distT="0" distB="0" distL="0" distR="0">
            <wp:extent cx="5486400" cy="2926080"/>
            <wp:effectExtent l="0" t="0" r="0" b="0"/>
            <wp:docPr id="5" name="نمودار ۴-۳" descr="نمودار دایره‌ای توزیع سابقه فعالیت اعضای پانل خبرگان: کمتر از ۵ سال ۰ نفر (۰٪)، ‏۵ تا ۱۰ سال ۴ نفر (۵۷٫۱٪)، ‏۱۱ تا ۲۰ سال ۳ نفر (۴۲٫۹٪)، بیش از ۲۰ سال ۰ نفر (۰٪)"/>
            <wp:cNvGraphicFramePr/>
            <a:graphic xmlns:a="http://schemas.openxmlformats.org/drawingml/2006/main">
              <a:graphicData uri="http://schemas.openxmlformats.org/drawingml/2006/chart">
                <c:chart xmlns:c="http://schemas.openxmlformats.org/drawingml/2006/chart" r:id="rId14"/>
              </a:graphicData>
            </a:graphic>
          </wp:inline>
        </w:drawing>
      </w:r>
    </w:p>
    <w:p>
      <w:pPr>
        <w:pStyle w:val="FigureCaption"/>
        <w:spacing w:before="80" w:after="160"/>
      </w:pPr>
      <w:bookmarkStart w:id="54" w:name="_Toc200000054"/>
      <w:r>
        <w:fldChar w:fldCharType="begin"/>
      </w:r>
      <w:r>
        <w:instrText xml:space="preserve"> TC "نمودار ۴-۳ نمودار دایره‌ای توزیع سابقه فعالیت اعضای پانل خبرگان" \f F \l 4 </w:instrText>
      </w:r>
      <w:r>
        <w:fldChar w:fldCharType="end"/>
      </w:r>
      <w:r>
        <w:t>نمودار ۴-۳ نمودار دایره‌ای توزیع سابقه فعالیت اعضای پانل خبرگان</w:t>
      </w:r>
      <w:r>
        <w:t xml:space="preserve"> (منبع: یافته‌های پژوهش)</w:t>
      </w:r>
      <w:bookmarkEnd w:id="54"/>
    </w:p>
    <w:p>
      <w:pPr>
        <w:bidi/>
        <w:jc w:val="both"/>
      </w:pPr>
    </w:p>
    <w:p>
      <w:pPr>
        <w:pStyle w:val="TableCaption"/>
        <w:keepNext/>
        <w:spacing w:before="160" w:after="80"/>
        <w:jc w:val="center"/>
        <w:rPr>
          <w:vanish/>
        </w:rPr>
      </w:pPr>
      <w:bookmarkStart w:id="55" w:name="_Toc200000055"/>
      <w:r>
        <w:fldChar w:fldCharType="begin"/>
      </w:r>
      <w:r>
        <w:instrText xml:space="preserve"> TC "جدول ۴-۵ توزیع نوع محصول شرکت محل فعالیت اعضای پانل" \f T \l 4 </w:instrText>
      </w:r>
      <w:r>
        <w:fldChar w:fldCharType="end"/>
      </w:r>
      <w:r>
        <w:t>جدول ۴-۵ توزیع نوع محصول شرکت محل فعالیت اعضای پانل</w:t>
      </w:r>
      <w:r>
        <w:t xml:space="preserve"> (منبع: یافته‌های پژوهش)</w:t>
      </w:r>
      <w:bookmarkEnd w:id="55"/>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200"/>
        <w:gridCol w:w="2088"/>
      </w:tblGrid>
      <w:tr>
        <w:trPr>
          <w:tblHeade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ردیف</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نوع محصول</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فراوانی</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درصد</w:t>
            </w:r>
          </w:p>
        </w:tc>
      </w:tr>
      <w:tr>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فرآورده‌های لبنی</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۱۴٫۳٪</w:t>
            </w:r>
          </w:p>
        </w:tc>
      </w:tr>
      <w:tr>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کره</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۲۸٫۶٪</w:t>
            </w:r>
          </w:p>
        </w:tc>
      </w:tr>
      <w:tr>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حلوا ارده</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۱۴٫۳٪</w:t>
            </w:r>
          </w:p>
        </w:tc>
      </w:tr>
      <w:tr>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ثبت‌نشده / سایر</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۴۲٫۹٪</w:t>
            </w:r>
          </w:p>
        </w:tc>
      </w:tr>
      <w:tr>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جمع</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۷</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۱۰۰٪</w:t>
            </w:r>
          </w:p>
        </w:tc>
      </w:tr>
    </w:tbl>
    <w:p>
      <w:pPr>
        <w:bidi/>
        <w:jc w:val="both"/>
      </w:pPr>
    </w:p>
    <w:p>
      <w:pPr>
        <w:keepNext/>
        <w:keepLines/>
        <w:bidi/>
        <w:spacing w:before="60" w:after="120" w:line="240" w:lineRule="auto"/>
        <w:jc w:val="center"/>
      </w:pPr>
      <w:r>
        <w:rPr>
          <w:noProof/>
        </w:rPr>
        <w:drawing>
          <wp:inline distT="0" distB="0" distL="0" distR="0">
            <wp:extent cx="5486400" cy="2926080"/>
            <wp:effectExtent l="0" t="0" r="0" b="0"/>
            <wp:docPr id="6" name="نمودار ۴-۴" descr="نمودار دایره‌ای توزیع نوع محصول شرکت محل فعالیت اعضای پانل: فرآورده‌های لبنی ۱ نفر (۱۴٫۳٪)، کره ۲ نفر (۲۸٫۶٪)، حلوا ارده ۱ نفر (۱۴٫۳٪)، ثبت‌نشده / سایر ۳ نفر (۴۲٫۹٪)"/>
            <wp:cNvGraphicFramePr/>
            <a:graphic xmlns:a="http://schemas.openxmlformats.org/drawingml/2006/main">
              <a:graphicData uri="http://schemas.openxmlformats.org/drawingml/2006/chart">
                <c:chart xmlns:c="http://schemas.openxmlformats.org/drawingml/2006/chart" r:id="rId15"/>
              </a:graphicData>
            </a:graphic>
          </wp:inline>
        </w:drawing>
      </w:r>
    </w:p>
    <w:p>
      <w:pPr>
        <w:pStyle w:val="FigureCaption"/>
        <w:spacing w:before="80" w:after="160"/>
      </w:pPr>
      <w:bookmarkStart w:id="56" w:name="_Toc200000056"/>
      <w:r>
        <w:fldChar w:fldCharType="begin"/>
      </w:r>
      <w:r>
        <w:instrText xml:space="preserve"> TC "نمودار ۴-۴ نمودار دایره‌ای توزیع نوع محصول شرکت محل فعالیت اعضای پانل" \f F \l 4 </w:instrText>
      </w:r>
      <w:r>
        <w:fldChar w:fldCharType="end"/>
      </w:r>
      <w:r>
        <w:t>نمودار ۴-۴ نمودار دایره‌ای توزیع نوع محصول شرکت محل فعالیت اعضای پانل</w:t>
      </w:r>
      <w:r>
        <w:t xml:space="preserve"> (منبع: یافته‌های پژوهش)</w:t>
      </w:r>
      <w:bookmarkEnd w:id="56"/>
    </w:p>
    <w:p>
      <w:pPr>
        <w:bidi/>
        <w:jc w:val="both"/>
      </w:pPr>
    </w:p>
    <w:p>
      <w:pPr>
        <w:pStyle w:val="Heading2"/>
        <w:keepNext/>
        <w:bidi/>
        <w:spacing w:before="180" w:after="80"/>
      </w:pPr>
      <w:bookmarkStart w:id="57" w:name="_Toc200000057"/>
      <w:r>
        <w:t xml:space="preserve">۴ـ۳ دور نخست دلفی: شناسایی گویه‌ها و مؤلفه‌ها</w:t>
      </w:r>
      <w:bookmarkEnd w:id="57"/>
    </w:p>
    <w:p>
      <w:pPr>
        <w:bidi/>
        <w:spacing w:after="80"/>
        <w:ind w:firstLine="720"/>
        <w:jc w:val="both"/>
      </w:pPr>
      <w:r>
        <w:rPr>
          <w:rtl/>
        </w:rPr>
        <w:t xml:space="preserve">در مصاحبه‌ی دور نخست، از اعضای پانل خواسته شد بدون ارائه هیچ فهرست پیشنهادی، به این پرسش باز پاسخ دهند: «از نظر شما، چالش‌های فروش محصولات تک‌محصولی چیست؟» پاسخ‌های باز با روش تحلیل مضمون (براون و کلارک، ۲۰۲۱)</w:t>
      </w:r>
      <w:r>
        <w:rPr>
          <w:rStyle w:val="FootnoteReference"/>
        </w:rPr>
        <w:footnoteReference w:id="109"/>
      </w:r>
      <w:r>
        <w:rPr>
          <w:rtl/>
        </w:rPr>
        <w:t xml:space="preserve"> در شش مرحله کدگذاری و تحلیل شدند (شرح کامل این فرایند در بخش ۳-۷-۱ آمده است). کدهای استخراج‌شده با چالش‌های برگرفته از ادبیات (جدول ۲-۱) سنجیده و ترکیب شدند؛ هر گویه دست‌کم در پاسخ یک عضو پانل بازتاب داشت و گویه‌ها در قالب ۹ مؤلفه و ۲۹ گویه سامان یافتند: پنج مؤلفه درون‌سازمانی با ۱۸ گویه و چهار مؤلفه برون‌سازمانی با ۱۱ گویه. جدول ۴-۶ فهرست گویه‌ها را به تفکیک مؤلفه، به همراه کد اعضایی که به هر گویه اشاره کرده‌اند، نشان می‌دهد. این فهرست در دور دوم برای امتیازدهی در اختیار خبرگان قرار گرفت. همچنین، این فهرست با چالش‌های برگرفته از مبانی نظری (جدول ۲-۱) سنجیده شد؛ نتیجه این مقایسه در فصل پنجم بحث می‌شود.</w:t>
      </w:r>
    </w:p>
    <w:p>
      <w:pPr>
        <w:bidi/>
        <w:spacing w:after="80"/>
        <w:ind w:firstLine="720"/>
        <w:jc w:val="both"/>
      </w:pPr>
      <w:r>
        <w:rPr>
          <w:i/>
          <w:iCs/>
          <w:rtl/>
        </w:rPr>
        <w:t xml:space="preserve">کدهای خ۱ تا خ۷ برای حفظ ناشناس بودن اعضای پانل به کار رفته‌اند (بخش ۳-۸).</w:t>
      </w:r>
    </w:p>
    <w:p>
      <w:pPr>
        <w:pStyle w:val="TableCaption"/>
        <w:keepNext/>
        <w:spacing w:before="160" w:after="80"/>
        <w:jc w:val="center"/>
        <w:rPr>
          <w:vanish/>
        </w:rPr>
      </w:pPr>
      <w:bookmarkStart w:id="58" w:name="_Toc200000058"/>
      <w:r>
        <w:fldChar w:fldCharType="begin"/>
      </w:r>
      <w:r>
        <w:instrText xml:space="preserve"> TC "جدول ۴-۶ گویه‌های استخراج‌شده از دور نخست به تفکیک مؤلفه و اعضای اشاره‌کننده" \f T \l 4 </w:instrText>
      </w:r>
      <w:r>
        <w:fldChar w:fldCharType="end"/>
      </w:r>
      <w:r>
        <w:t>جدول ۴-۶ گویه‌های استخراج‌شده از دور نخست به تفکیک مؤلفه و اعضای اشاره‌کننده</w:t>
      </w:r>
      <w:r>
        <w:t xml:space="preserve"> (منبع: یافته‌های پژوهش)</w:t>
      </w:r>
      <w:bookmarkEnd w:id="58"/>
    </w:p>
    <w:tbl>
      <w:tblPr>
        <w:bidiVisual/>
        <w:tblW w:w="8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7"/>
        <w:gridCol w:w="2377"/>
        <w:gridCol w:w="3559"/>
        <w:gridCol w:w="1775"/>
      </w:tblGrid>
      <w:tr>
        <w:trPr>
          <w:tblHeade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ردیف</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مؤلفه</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گویه</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اعضای اشاره‌کننده</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آسیب‌پذیری ساختاری ناشی از تمرکز بر محصول واحد</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وابستگی کامل درآمد و سودآوری شرکت به تقاضای یک محصول</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خ۱، خ۲، خ۳</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نبود امکان جبران افت فروش از محل سایر اقلام سبد محصول</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خ۲، خ۳، خ۴</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کاهش انعطاف‌پذیری و کندی واکنش شرکت به تغییرات بازار</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خ۲، خ۴، خ۵</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ضعف برندسازی و دشواری تمایز محصول</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ضعف در برندسازی و تبلیغات و کمرنگ بودن جایگاه برند در ذهن مشتری</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خ۲، خ۳، خ۵</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دشواری ایجاد تمایز نسبت به محصولات رقیب</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خ۲، خ۳</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۶</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نبود نوآوری و توسعه محصول</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خ۵</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۷</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کم‌توجهی به تحقیقات بازار و مطالعه رفتار مصرف‌کننده</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خ۲</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۸</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دشواری جذب و حفظ مشتری و وفاداری پایین</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دشواری جذب مشتری جدید</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خ۳، خ۴</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۹</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وفاداری پایین مشتری به شرکت </w:t>
            </w:r>
            <w:r>
              <w:rPr>
                <w:sz w:val="22"/>
                <w:szCs w:val="22"/>
                <w:rtl/>
              </w:rPr>
              <w:t>تک‌محصولی</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خ۳</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۱۰</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نبود پیشنهاد تازه برای حفظ و فعال‌سازی مجدد مشتریان فعلی</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خ۳</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۱۱</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ضعف در برنامه‌ریزی، پیش‌بینی و مدیریت فروش</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ضعف در پیش‌بینی دقیق تقاضای بازار</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خ۲، خ۶</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۱۲</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ضعف در برنامه‌ریزی و مدیریت موجودی</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خ۲، خ۶</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۱۳</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ضعف در نظام برنامه‌ریزی و </w:t>
            </w:r>
            <w:r>
              <w:rPr>
                <w:sz w:val="22"/>
                <w:szCs w:val="22"/>
                <w:rtl/>
              </w:rPr>
              <w:t>اطلاعات فروش</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خ۶</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۱۴</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محدودیت منابع مالی برای توزیع و ترویج محصول</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خ۶</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۱۵</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ناکارآمدی و هزینه‌بری شبکه توزیع و فروش</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هزینه بالای پخش و توزیع به ازای یک قلم کالا</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خ۳، خ۵، خ۷</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۱۶</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کوچک بودن شبکه فروش و پوشش محدود بازار</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خ۵</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۱۷</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کاهش قدرت چانه‌زنی در برابر شبکه </w:t>
            </w:r>
            <w:r>
              <w:rPr>
                <w:sz w:val="22"/>
                <w:szCs w:val="22"/>
                <w:rtl/>
              </w:rPr>
              <w:t>توزیع و خرده‌فروشی چندمحصولی</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خ۲، خ۳</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۱۸</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وابستگی به تعداد محدودی مشتری یا کانال فروش</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خ۲</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۱۹</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شدت رقابت و فشار قیمتی بازار</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ورود رقبای جدید و افزایش شدت رقابت</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خ۱، خ۲، خ۳، خ۶</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۲۰</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حضور محصولات جایگزین و برندهای رقیب دارای سبد متنوع</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خ۱، خ۲، خ۳</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۲۱</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رقابت </w:t>
            </w:r>
            <w:r>
              <w:rPr>
                <w:sz w:val="22"/>
                <w:szCs w:val="22"/>
                <w:rtl/>
              </w:rPr>
              <w:t>قیمتی و نوسان قیمت رقبا</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خ۳، خ۴، خ۶</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۲۲</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تغییر ذائقه مصرف‌کننده و محدودیت بازار هدف</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تغییر سریع ذائقه و ترجیحات مصرف‌کننده در گذر زمان</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خ۱، خ۲، خ۳، خ۶</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۲۳</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محدود بودن بازار هدف به یک گروه خاص از مشتریان</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خ۱، خ۲، خ۳، خ۴</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۲۴</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افت ناگهانی تقاضا</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خ۲، خ۳</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۲۵</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ناپایداری تأمین و نوسان بهای مواد اولیه</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نوسان و کمبود در تأمین مواد اولیه</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خ۱، خ۲، خ۴، خ۷</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۲۶</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وابستگی تأمین به واردات و اثر تحریم و محدودیت‌های اقتصادی</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خ۱، خ۴</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۲۷</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ناپیوستگی عرضه و کسری محصول در بازار</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خ۴، خ۷</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۲۸</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فشارهای اقتصاد کلان و کاهش قدرت خرید</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افزایش بهای تمام‌شده و فشار بر حاشیه سود</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خ۲، خ۳، خ۴، خ۷</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۲۹</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کاهش قدرت خرید و مشکلات اقتصادی مصرف‌کننده</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خ۴</w:t>
            </w:r>
          </w:p>
        </w:tc>
      </w:tr>
    </w:tbl>
    <w:p>
      <w:pPr>
        <w:bidi/>
        <w:jc w:val="both"/>
      </w:pPr>
    </w:p>
    <w:p>
      <w:pPr>
        <w:bidi/>
        <w:spacing w:after="80"/>
        <w:ind w:firstLine="720"/>
        <w:jc w:val="both"/>
      </w:pPr>
      <w:r>
        <w:rPr>
          <w:rtl/>
        </w:rPr>
        <w:t>جدول ۴-۷ شمار گویه‌های هر مؤلفه و شمار اعضای پانل را که دست‌کم به یکی از گویه‌های آن مؤلفه اشاره کرده‌اند، نشان می‌دهد.</w:t>
      </w:r>
    </w:p>
    <w:p>
      <w:pPr>
        <w:pStyle w:val="TableCaption"/>
        <w:keepNext/>
        <w:spacing w:before="160" w:after="80"/>
        <w:jc w:val="center"/>
        <w:rPr>
          <w:vanish/>
        </w:rPr>
      </w:pPr>
      <w:bookmarkStart w:id="59" w:name="_Toc200000059"/>
      <w:r>
        <w:fldChar w:fldCharType="begin"/>
      </w:r>
      <w:r>
        <w:instrText xml:space="preserve"> TC "جدول ۴-۷ شمار گویه‌ها و گستره اشاره اعضا به هر مؤلفه" \f T \l 4 </w:instrText>
      </w:r>
      <w:r>
        <w:fldChar w:fldCharType="end"/>
      </w:r>
      <w:r>
        <w:t>جدول ۴-۷ شمار گویه‌ها و گستره اشاره اعضا به هر مؤلفه</w:t>
      </w:r>
      <w:r>
        <w:t xml:space="preserve"> (منبع: یافته‌های پژوهش)</w:t>
      </w:r>
      <w:bookmarkEnd w:id="59"/>
    </w:p>
    <w:tbl>
      <w:tblPr>
        <w:bidiVisual/>
        <w:tblW w:w="8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7"/>
        <w:gridCol w:w="2864"/>
        <w:gridCol w:w="1589"/>
        <w:gridCol w:w="1090"/>
        <w:gridCol w:w="1286"/>
        <w:gridCol w:w="982"/>
      </w:tblGrid>
      <w:tr>
        <w:trPr>
          <w:tblHeade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ردیف</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مؤلفه</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دسته</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شمار گویه</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شمار اعضا</w:t>
            </w:r>
          </w:p>
        </w:tc>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درصد</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آسیب‌پذیری ساختاری ناشی از تمرکز بر </w:t>
            </w:r>
            <w:r>
              <w:rPr>
                <w:sz w:val="22"/>
                <w:szCs w:val="22"/>
                <w:rtl/>
              </w:rPr>
              <w:t>محصول واحد</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درون‌سازمانی</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w:t>
            </w:r>
          </w:p>
        </w:tc>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۷۱٫۴٪</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ضعف برندسازی و دشواری تمایز محصول</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درون‌سازمانی</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۴۲٫۹٪</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دشواری جذب و حفظ مشتری و وفاداری پایین</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درون‌سازمانی</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w:t>
            </w:r>
          </w:p>
        </w:tc>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۲۸٫۶٪</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ضعف در برنامه‌ریزی، پیش‌بینی و مدیریت فروش</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درون‌سازمانی</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w:t>
            </w:r>
          </w:p>
        </w:tc>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۲۸٫۶٪</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ناکارآمدی و </w:t>
            </w:r>
            <w:r>
              <w:rPr>
                <w:sz w:val="22"/>
                <w:szCs w:val="22"/>
                <w:rtl/>
              </w:rPr>
              <w:t>هزینه‌بری شبکه توزیع و فروش</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درون‌سازمانی</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۵۷٫۱٪</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۶</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شدت رقابت و فشار قیمتی بازار</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برون‌سازمانی</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w:t>
            </w:r>
          </w:p>
        </w:tc>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۷۱٫۴٪</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۷</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تغییر ذائقه مصرف‌کننده و محدودیت بازار هدف</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برون‌سازمانی</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w:t>
            </w:r>
          </w:p>
        </w:tc>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۷۱٫۴٪</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۸</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ناپایداری تأمین و نوسان بهای مواد اولیه</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برون‌سازمانی</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۵۷٫۱٪</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۹</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فشارهای اقتصاد کلان و کاهش قدرت خرید</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برون‌سازمانی</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۵۷٫۱٪</w:t>
            </w:r>
          </w:p>
        </w:tc>
      </w:tr>
    </w:tbl>
    <w:p>
      <w:pPr>
        <w:bidi/>
        <w:jc w:val="both"/>
      </w:pPr>
    </w:p>
    <w:p>
      <w:pPr>
        <w:bidi/>
        <w:spacing w:after="80"/>
        <w:ind w:firstLine="720"/>
        <w:jc w:val="both"/>
      </w:pPr>
      <w:r>
        <w:rPr>
          <w:rtl/>
        </w:rPr>
        <w:t>بیست‌ونه گویه شناسایی‌شده به‌صورت نامتوازن میان مؤلفه‌ها توزیع شده‌اند؛ مؤلفه‌های ضعف برندسازی، ضعف برنامه‌ریزی فروش و ناکارآمدی شبکه توزیع هر یک چهار گویه دارند، حال آنکه مؤلفه فشارهای اقتصاد کلان تنها دو گویه را در بر می‌گیرد.</w:t>
      </w:r>
    </w:p>
    <w:p>
      <w:pPr>
        <w:pStyle w:val="Heading2"/>
        <w:keepNext/>
        <w:bidi/>
        <w:spacing w:before="180" w:after="80"/>
      </w:pPr>
      <w:bookmarkStart w:id="60" w:name="_Toc200000060"/>
      <w:r>
        <w:t xml:space="preserve">۴ـ۴ دور دوم دلفی: امتیازدهی و سنجش نخستین توافق</w:t>
      </w:r>
      <w:bookmarkEnd w:id="60"/>
    </w:p>
    <w:p>
      <w:pPr>
        <w:bidi/>
        <w:spacing w:after="80"/>
        <w:ind w:firstLine="720"/>
        <w:jc w:val="both"/>
      </w:pPr>
      <w:r>
        <w:rPr>
          <w:rtl/>
        </w:rPr>
        <w:t xml:space="preserve">در دور دوم، فهرست ۲۹ گویه‌ای دور نخست در اختیار هر هفت عضو پانل قرار گرفت تا اهمیت هر گویه را بر طیف پنج‌درجه‌ای امتیاز دهند: ۱ بدون اهمیت یا کم‌ارتباط با چالش‌های فروش، ۲ کم‌اهمیت، ۳ تا حدی مهم، ۴ مهم، و ۵ بسیار مهم و تعیین‌کننده (بخش ۳-۷-۲). هر هفت عضو در این دور مشارکت کامل داشتند. جدول ۴-۸ میانگین، میانه، انحراف معیار و دامنه بین‌چارکی امتیاز هر گویه را نشان می‌دهد.</w:t>
      </w:r>
    </w:p>
    <w:p>
      <w:pPr>
        <w:pStyle w:val="TableCaption"/>
        <w:keepNext/>
        <w:spacing w:before="160" w:after="80"/>
        <w:jc w:val="center"/>
        <w:rPr>
          <w:vanish/>
        </w:rPr>
      </w:pPr>
      <w:bookmarkStart w:id="61" w:name="_Toc200000061"/>
      <w:r>
        <w:fldChar w:fldCharType="begin"/>
      </w:r>
      <w:r>
        <w:instrText xml:space="preserve"> TC "جدول ۴-۸ آمار توصیفی امتیاز اهمیت گویه‌ها در دور دوم" \f T \l 4 </w:instrText>
      </w:r>
      <w:r>
        <w:fldChar w:fldCharType="end"/>
      </w:r>
      <w:r>
        <w:t xml:space="preserve">جدول ۴-۸ آمار توصیفی </w:t>
      </w:r>
      <w:r>
        <w:t xml:space="preserve">امتیاز اهمیت گویه‌ها در دور دوم</w:t>
      </w:r>
      <w:r>
        <w:t xml:space="preserve"> (منبع: یافته‌های پژوهش)</w:t>
      </w:r>
      <w:bookmarkEnd w:id="61"/>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73"/>
        <w:gridCol w:w="1210"/>
        <w:gridCol w:w="1210"/>
        <w:gridCol w:w="1396"/>
        <w:gridCol w:w="1199"/>
      </w:tblGrid>
      <w:tr>
        <w:trPr>
          <w:tblHeade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ردیف</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گویه</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میانگین</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میانه</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انحراف معیار</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دامنه بین‌چارکی</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وابستگی کامل </w:t>
            </w:r>
            <w:r>
              <w:rPr>
                <w:sz w:val="22"/>
                <w:szCs w:val="22"/>
                <w:rtl/>
              </w:rPr>
              <w:t>درآمد و سودآوری شرکت به تقاضای یک محصول</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نبود امکان جبران افت فروش از محل سایر اقلام سبد محصول</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کاهش انعطاف‌پذیری و کندی واکنش شرکت به تغییرات بازار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۴٫۲۹</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۰٫۷۶</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ضعف در برندسازی و تبلیغات و کمرنگ بودن جایگاه </w:t>
            </w:r>
            <w:r>
              <w:rPr>
                <w:sz w:val="22"/>
                <w:szCs w:val="22"/>
                <w:rtl/>
              </w:rPr>
              <w:t>برند در ذهن مشتری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۳٫۸۶</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۱٫۰۷</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۲٫۰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دشواری ایجاد تمایز نسبت به محصولات رقیب</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۳٫۸۶</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۰٫۹۰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۱٫۵</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۶</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نبود نوآوری و توسعه محصول</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۰٫۷۹</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۰٫۵</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۷</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کم‌توجهی به تحقیقات بازار و مطالعه رفتار مصرف‌کننده</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۳٫۲۹</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۰٫۹۵</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۰٫۵</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۸</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دشواری جذب مشتری جدید</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۰٫۸۲</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۹</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وفاداری پایین مشتری به شرکت تک‌محصولی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۳٫۷۱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۰٫۷۶</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۱۰</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نبود پیشنهاد تازه برای حفظ و فعال‌سازی مجدد مشتریان فعلی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۳٫۵۷</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۰٫۷۹</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۱۱</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ضعف در پیش‌بینی دقیق تقاضای بازار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۰٫۸۲</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۱۲</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ضعف در برنامه‌ریزی و مدیریت موجودی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۳٫۸۶</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۰٫۹۰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۱٫۵</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۱۳</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ضعف در </w:t>
            </w:r>
            <w:r>
              <w:rPr>
                <w:sz w:val="22"/>
                <w:szCs w:val="22"/>
                <w:rtl/>
              </w:rPr>
              <w:t>نظام برنامه‌ریزی و اطلاعات فروش</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۰٫۷۹</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۰٫۵</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۱۴</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محدودیت منابع مالی برای توزیع و ترویج محصول</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۳٫۸۶</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۰٫۶۹</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۰٫۵</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۱۵</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هزینه بالای پخش و توزیع به ازای یک قلم کالا</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۱۶</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کوچک بودن شبکه فروش و پوشش محدود بازار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۳٫۷۱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۰٫۷۶</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۱۷</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کاهش قدرت </w:t>
            </w:r>
            <w:r>
              <w:rPr>
                <w:sz w:val="22"/>
                <w:szCs w:val="22"/>
                <w:rtl/>
              </w:rPr>
              <w:t>چانه‌زنی در برابر شبکه توزیع و خرده‌فروشی چندمحصولی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۴٫۱۴</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۰٫۶۹</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۰٫۵</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۱۸</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وابستگی به تعداد محدودی مشتری یا کانال فروش</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۳٫۸۶</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۰٫۶۹</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۰٫۵</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۱۹</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ورود رقبای جدید و افزایش شدت رقابت</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۴٫۵۷</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۵</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۲۰</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حضور محصولات جایگزین و برندهای رقیب دارای سبد متنوع</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۲۱</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رقابت قیمتی و نوسان قیمت رقبا</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۲۲</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تغییر سریع ذائقه و ترجیحات مصرف‌کننده در گذر زمان</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۵</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۰٫۷۹</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۲۳</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محدود بودن بازار هدف به یک گروه خاص از مشتریان</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۵</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۰٫۷۹</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۲۴</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افت ناگهانی تقاضا</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۴٫۱۴</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۰٫۶۹</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۰٫۵</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۲۵</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نوسان و کمبود در </w:t>
            </w:r>
            <w:r>
              <w:rPr>
                <w:sz w:val="22"/>
                <w:szCs w:val="22"/>
                <w:rtl/>
              </w:rPr>
              <w:t>تأمین مواد اولیه</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۴٫۲۹</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۵</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۰٫۹۵</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۱٫۵</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۲۶</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وابستگی تأمین به واردات و اثر تحریم و محدودیت‌های اقتصادی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۳٫۸۶</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۰٫۹۰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۱٫۵</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۲۷</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ناپیوستگی عرضه و کسری محصول در بازار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۳٫۸۶</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۰٫۹۰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۱٫۵</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۲۸</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افزایش بهای تمام‌شده و فشار بر حاشیه سود</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۴٫۵۷</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۵</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۲۹</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کاهش قدرت خرید و </w:t>
            </w:r>
            <w:r>
              <w:rPr>
                <w:sz w:val="22"/>
                <w:szCs w:val="22"/>
                <w:rtl/>
              </w:rPr>
              <w:t>مشکلات اقتصادی مصرف‌کننده</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۴٫۱۴</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۰٫۳۸</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۰٫۰</w:t>
            </w:r>
          </w:p>
        </w:tc>
      </w:tr>
    </w:tbl>
    <w:p>
      <w:pPr>
        <w:bidi/>
        <w:spacing w:after="80"/>
        <w:ind w:firstLine="720"/>
        <w:jc w:val="both"/>
      </w:pPr>
      <w:r>
        <w:rPr>
          <w:rtl/>
        </w:rPr>
        <w:t xml:space="preserve">در دور دوم هیچ گویه‌ای میانگین زیر ۳ نداشت؛ کمترین میانگین ۳٫۲۹ بود. از این رو فهرست ۲۹ گویه‌ای بدون تغییر به دور سوم رفت و توافق اعضا با ضریب هماهنگی کندال بر کل این فهرست سنجیده شد.</w:t>
      </w:r>
    </w:p>
    <w:p>
      <w:pPr>
        <w:bidi/>
        <w:spacing w:after="80"/>
        <w:ind w:firstLine="720"/>
        <w:jc w:val="both"/>
      </w:pPr>
      <w:r>
        <w:rPr>
          <w:rtl/>
        </w:rPr>
        <w:t xml:space="preserve">میانگین انحراف معیار گویه‌ها در دور دوم ۰٫۷۳ بود و هیچ گویه‌ای انحراف معیار صفر نداشت؛ یعنی هیچ گویه‌ای را همه اعضا به یک شکل امتیاز نداده بودند. ضریب هماهنگی کندال برای دور دوم ۰٫۲۲۴ به دست آمد که توافقی ضعیف است؛ با این حال سطح معناداری آن (۰٫۰۲۸۶) نشان می‌دهد که بعید است این میزان توافق از روی تصادف به دست آمده باشد (جدول ۴-۱۰).</w:t>
      </w:r>
    </w:p>
    <w:p>
      <w:pPr>
        <w:pStyle w:val="Heading2"/>
        <w:keepNext/>
        <w:bidi/>
        <w:spacing w:before="180" w:after="80"/>
      </w:pPr>
      <w:bookmarkStart w:id="62" w:name="_Toc200000062"/>
      <w:r>
        <w:t xml:space="preserve">۴ـ۵ دور سوم دلفی: بازخورد گروهی و همگرایی پاسخ‌ها</w:t>
      </w:r>
      <w:bookmarkEnd w:id="62"/>
    </w:p>
    <w:p>
      <w:pPr>
        <w:bidi/>
        <w:spacing w:after="80"/>
        <w:ind w:firstLine="720"/>
        <w:jc w:val="both"/>
      </w:pPr>
      <w:r>
        <w:rPr>
          <w:rtl/>
        </w:rPr>
        <w:t xml:space="preserve">در دور سوم، میانگین و میانه امتیاز هر گویه در دور دوم، به همراه امتیاز خود هر عضو، به‌صورت ناشناس در اختیار همه اعضا قرار گرفت و از آنان خواسته شد با توجه به این بازخورد گروهی، امتیازهای خود را در صورت تمایل بازبینی کنند (بخش ۳-۷-۲). جدول ۴-۹ شاخص‌های توصیفی امتیاز هر گویه را در دور سوم نشان می‌دهد؛ پاسخ‌های کامل‌شده اعضای پانل در اختیار داوران قرار دارد.</w:t>
      </w:r>
    </w:p>
    <w:p>
      <w:pPr>
        <w:bidi/>
        <w:jc w:val="both"/>
      </w:pPr>
    </w:p>
    <w:p>
      <w:pPr>
        <w:pStyle w:val="TableCaption"/>
        <w:keepNext/>
        <w:spacing w:before="160" w:after="80"/>
        <w:jc w:val="center"/>
        <w:rPr>
          <w:vanish/>
        </w:rPr>
      </w:pPr>
      <w:bookmarkStart w:id="63" w:name="_Toc200000063"/>
      <w:r>
        <w:fldChar w:fldCharType="begin"/>
      </w:r>
      <w:r>
        <w:instrText xml:space="preserve"> TC "جدول ۴-۹ آمار توصیفی امتیاز اهمیت گویه‌ها در دور سوم" \f T \l 4 </w:instrText>
      </w:r>
      <w:r>
        <w:fldChar w:fldCharType="end"/>
      </w:r>
      <w:r>
        <w:t xml:space="preserve">جدول ۴-۹ آمار توصیفی </w:t>
      </w:r>
      <w:r>
        <w:t xml:space="preserve">امتیاز اهمیت گویه‌ها در دور سوم</w:t>
      </w:r>
      <w:r>
        <w:t xml:space="preserve"> (منبع: یافته‌های پژوهش)</w:t>
      </w:r>
      <w:bookmarkEnd w:id="63"/>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73"/>
        <w:gridCol w:w="1210"/>
        <w:gridCol w:w="1210"/>
        <w:gridCol w:w="1396"/>
        <w:gridCol w:w="1199"/>
      </w:tblGrid>
      <w:tr>
        <w:trPr>
          <w:tblHeade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ردیف</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گویه</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میانگین</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میانه</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انحراف معیار</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دامنه بین‌چارکی</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وابستگی کامل </w:t>
            </w:r>
            <w:r>
              <w:rPr>
                <w:sz w:val="22"/>
                <w:szCs w:val="22"/>
                <w:rtl/>
              </w:rPr>
              <w:t>درآمد و سودآوری شرکت به تقاضای یک محصول</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نبود امکان جبران افت فروش از محل سایر اقلام سبد محصول</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کاهش انعطاف‌پذیری و کندی واکنش شرکت به تغییرات بازار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ضعف در برندسازی و تبلیغات و کمرنگ بودن جایگاه </w:t>
            </w:r>
            <w:r>
              <w:rPr>
                <w:sz w:val="22"/>
                <w:szCs w:val="22"/>
                <w:rtl/>
              </w:rPr>
              <w:t>برند در ذهن مشتری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دشواری ایجاد تمایز نسبت به محصولات رقیب</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۶</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نبود نوآوری و توسعه محصول</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۳٫۱۴</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۰٫۳۸</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۷</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کم‌توجهی به تحقیقات بازار و مطالعه رفتار مصرف‌کننده</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۳٫۱۴</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۰٫۳۸</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۸</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دشواری جذب مشتری جدید</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۹</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وفاداری پایین مشتری به شرکت تک‌محصولی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۱۰</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نبود پیشنهاد تازه برای حفظ و فعال‌سازی مجدد مشتریان فعلی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۱۱</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ضعف در پیش‌بینی دقیق تقاضای بازار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۱۲</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ضعف در برنامه‌ریزی و مدیریت موجودی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۱۳</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ضعف در </w:t>
            </w:r>
            <w:r>
              <w:rPr>
                <w:sz w:val="22"/>
                <w:szCs w:val="22"/>
                <w:rtl/>
              </w:rPr>
              <w:t>نظام برنامه‌ریزی و اطلاعات فروش</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۳٫۱۴</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۰٫۳۸</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۱۴</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محدودیت منابع مالی برای توزیع و ترویج محصول</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۱۵</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هزینه بالای پخش و توزیع به ازای یک قلم کالا</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۱۶</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کوچک بودن شبکه فروش و پوشش محدود بازار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۱۷</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کاهش قدرت </w:t>
            </w:r>
            <w:r>
              <w:rPr>
                <w:sz w:val="22"/>
                <w:szCs w:val="22"/>
                <w:rtl/>
              </w:rPr>
              <w:t>چانه‌زنی در برابر شبکه توزیع و خرده‌فروشی چندمحصولی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۱۸</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وابستگی به تعداد محدودی مشتری یا کانال فروش</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۱۹</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ورود رقبای جدید و افزایش شدت رقابت</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۲۰</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حضور محصولات جایگزین و برندهای رقیب دارای سبد متنوع</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۲۱</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رقابت قیمتی و نوسان قیمت رقبا</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۲۲</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تغییر سریع ذائقه و ترجیحات مصرف‌کننده در گذر زمان</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۴٫۷۱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۰٫۴۹</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۰٫۵</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۲۳</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محدود بودن بازار هدف به یک گروه خاص از مشتریان</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۴٫۵۷</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۲۴</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افت ناگهانی تقاضا</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۲۵</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نوسان و کمبود در </w:t>
            </w:r>
            <w:r>
              <w:rPr>
                <w:sz w:val="22"/>
                <w:szCs w:val="22"/>
                <w:rtl/>
              </w:rPr>
              <w:t>تأمین مواد اولیه</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۴٫۵۷</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۲۶</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وابستگی تأمین به واردات و اثر تحریم و محدودیت‌های اقتصادی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۲۷</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ناپیوستگی عرضه و کسری محصول در بازار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۲۸</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افزایش بهای تمام‌شده و فشار بر حاشیه سود</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۲۹</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کاهش قدرت خرید و </w:t>
            </w:r>
            <w:r>
              <w:rPr>
                <w:sz w:val="22"/>
                <w:szCs w:val="22"/>
                <w:rtl/>
              </w:rPr>
              <w:t>مشکلات اقتصادی مصرف‌کننده</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w:t>
            </w:r>
          </w:p>
        </w:tc>
      </w:tr>
    </w:tbl>
    <w:p>
      <w:pPr>
        <w:bidi/>
        <w:jc w:val="both"/>
      </w:pPr>
    </w:p>
    <w:p>
      <w:pPr>
        <w:bidi/>
        <w:spacing w:after="80"/>
        <w:ind w:firstLine="720"/>
        <w:jc w:val="both"/>
      </w:pPr>
      <w:r>
        <w:rPr>
          <w:rtl/>
        </w:rPr>
        <w:t xml:space="preserve">مقایسه دو جدول نشان می‌دهد که بازخورد کنترل‌شده پراکندگی پاسخ‌ها را به‌طور چشمگیری کاهش داده است: میانگین انحراف معیار گویه‌ها از ۰٫۷۳ در دور دوم به ۰٫۱۷ در دور سوم رسید </w:t>
      </w:r>
      <w:r>
        <w:rPr>
          <w:rtl/>
        </w:rPr>
        <w:t xml:space="preserve">و انحراف معیار ۲۶ گویه از ۲۹ گویه کاهش یافت و هیچ گویه‌ای افزایش نیافت</w:t>
      </w:r>
      <w:r>
        <w:rPr>
          <w:rtl/>
        </w:rPr>
        <w:t xml:space="preserve">. در دور دوم برای هیچ گویه‌ای توافق کامل میان اعضا وجود نداشت، حال آنکه در دور سوم برای نوزده گویه هر هفت عضو پانل امتیاز یکسانی دادند (انحراف معیار صفر). دامنه بین‌چارکی نیز در دور دوم برای بیست‌وسه گویه و در دور سوم برای هر بیست‌ونه گویه از ۱ بیشتر نبود. در مقابل، میانگین گویه‌ها جابه‌جایی چندانی نداشت: هیچ گویه‌ای بیش از ۰٫۴۳ واحد تغییر نکرد؛ بیشترین تغییر، افزایش میانگین دو گویه «ورود رقبای جدید و افزایش شدت رقابت» و «افزایش بهای تمام‌شده و فشار بر حاشیه سود» از ۴٫۵۷ به ۵٫۰۰ و کاهش میانگین دو گویه «حضور محصولات جایگزین و برندهای رقیب دارای سبد متنوع» و «رقابت قیمتی و نوسان قیمت رقبا» از ۴٫۴۳ به ۴٫۰۰ بود. بنابراین بازخورد دور دوم بیش از آنکه جهت قضاوت گروهی را تغییر دهد، نظرها را به یکدیگر نزدیک کرد.</w:t>
      </w:r>
    </w:p>
    <w:p>
      <w:pPr>
        <w:pStyle w:val="Heading3"/>
        <w:keepNext/>
        <w:bidi/>
        <w:spacing w:before="180" w:after="80"/>
      </w:pPr>
      <w:bookmarkStart w:id="64" w:name="_Toc200000064"/>
      <w:r>
        <w:t xml:space="preserve">۴ـ۵ـ۱ توافق اعضا: ضریب هماهنگی کندال</w:t>
      </w:r>
      <w:bookmarkEnd w:id="64"/>
    </w:p>
    <w:p>
      <w:pPr>
        <w:bidi/>
        <w:spacing w:after="80"/>
        <w:ind w:firstLine="720"/>
        <w:jc w:val="both"/>
      </w:pPr>
      <w:r>
        <w:rPr>
          <w:rtl/>
        </w:rPr>
        <w:t xml:space="preserve">در روش دلفی، آمار استنباطی نه برای تعمیم نتایج به یک جامعه آماری بزرگ‌تر، بلکه برای سنجش معناداری آماری اجماع میان اعضای پانل و میزان ثبات رتبه‌بندی‌ها در طول دورهای متوالی به کار می‌رود. شیفانو و </w:t>
      </w:r>
      <w:r>
        <w:rPr>
          <w:rtl/>
        </w:rPr>
        <w:t>نیدربرگر (۲۰۲۵)</w:t>
      </w:r>
      <w:r>
        <w:rPr>
          <w:rStyle w:val="FootnoteReference"/>
        </w:rPr>
        <w:footnoteReference w:id="110"/>
      </w:r>
      <w:r>
        <w:rPr>
          <w:rtl/>
        </w:rPr>
        <w:t xml:space="preserve"> </w:t>
      </w:r>
      <w:r>
        <w:rPr>
          <w:rtl/>
        </w:rPr>
        <w:t xml:space="preserve">در مرور دامنه‌ای خود بر مطالعات دلفی در علوم سلامت نشان دادند که اجماع در بیشتر مطالعات (۸۱ درصد) به صورت درصد توافق تعریف می‌شود و شاخص‌های آماری تنها در حدود ۳۰ درصد مطالعات به کار رفته است. در پژوهش حاضر، افزون بر شاخص‌های توصیفی، ضریب هماهنگی کندال (</w:t>
      </w:r>
      <w:r>
        <w:rPr>
          <w:rFonts w:ascii="Times New Roman" w:hAnsi="Times New Roman" w:cs="Times New Roman" w:eastAsia="Times New Roman"/>
          <w:i/>
          <w:iCs/>
          <w:sz w:val="26"/>
          <w:szCs w:val="26"/>
        </w:rPr>
        <w:t xml:space="preserve">W</w:t>
      </w:r>
      <w:r>
        <w:rPr>
          <w:rtl/>
        </w:rPr>
        <w:t xml:space="preserve">) </w:t>
      </w:r>
      <w:r>
        <w:rPr>
          <w:rtl/>
        </w:rPr>
        <w:t xml:space="preserve">به عنوان آزمونی برای سنجش میزان توافق </w:t>
      </w:r>
      <w:r>
        <w:rPr>
          <w:rtl/>
        </w:rPr>
        <w:t xml:space="preserve">میان رتبه‌های حاصل از امتیازهای اعضای پانل به کار رفت</w:t>
      </w:r>
      <w:r>
        <w:rPr>
          <w:rtl/>
        </w:rPr>
        <w:t xml:space="preserve"> (اشمیت، ۱۹۹۷)</w:t>
      </w:r>
      <w:r>
        <w:rPr>
          <w:rStyle w:val="FootnoteReference"/>
        </w:rPr>
        <w:footnoteReference w:id="111"/>
      </w:r>
      <w:r>
        <w:rPr>
          <w:rtl/>
        </w:rPr>
        <w:t xml:space="preserve">؛</w:t>
      </w:r>
      <w:r>
        <w:rPr>
          <w:rtl/>
        </w:rPr>
        <w:t xml:space="preserve"> ضریبی که دامنه آن از صفر (نبود هیچ توافق) تا یک (توافق کامل) است و معناداری آماری آن با آزمون مجذور کای ارزیابی می‌شود.</w:t>
      </w:r>
    </w:p>
    <w:p>
      <w:pPr>
        <w:bidi/>
        <w:spacing w:after="80"/>
        <w:ind w:firstLine="720"/>
        <w:jc w:val="both"/>
      </w:pPr>
      <w:r>
        <w:rPr>
          <w:rtl/>
        </w:rPr>
        <w:t xml:space="preserve">این آزمون به رتبه‌های هر عضو در هر دور نیاز دارد</w:t>
      </w:r>
      <w:r>
        <w:rPr>
          <w:rtl/>
        </w:rPr>
        <w:t xml:space="preserve">. ضریب هماهنگی کندال برای دور دوم و دور سوم، که هر دو با مشارکت کامل هفت عضو پانل اجرا شدند، محاسبه و در جدول ۴-۱۰ گزارش شده است.</w:t>
      </w:r>
    </w:p>
    <w:p>
      <w:pPr>
        <w:pStyle w:val="TableCaption"/>
        <w:keepNext/>
        <w:spacing w:before="160" w:after="80"/>
        <w:jc w:val="center"/>
        <w:rPr>
          <w:vanish/>
        </w:rPr>
      </w:pPr>
      <w:bookmarkStart w:id="65" w:name="_Toc200000065"/>
      <w:r>
        <w:fldChar w:fldCharType="begin"/>
      </w:r>
      <w:r>
        <w:instrText xml:space="preserve"> TC "جدول ۴-۱۰ نتایج آزمون ضریب هماهنگی کندال (W) برای سنجش اجماع در دورهای دلفی" \f T \l 4 </w:instrText>
      </w:r>
      <w:r>
        <w:fldChar w:fldCharType="end"/>
      </w:r>
      <w:r>
        <w:t xml:space="preserve">جدول ۴-۱۰ نتایج آزمون ضریب هماهنگی کندال (W) برای سنجش اجماع در دورهای دلفی (منبع: یافته‌های پژوهش)</w:t>
      </w:r>
      <w:bookmarkEnd w:id="65"/>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1722"/>
        <w:gridCol w:w="1722"/>
        <w:gridCol w:w="1722"/>
        <w:gridCol w:w="2475"/>
      </w:tblGrid>
      <w:tr>
        <w:trPr>
          <w:tblHeader/>
          <w:cantSplit/>
        </w:trPr>
        <w:tc>
          <w:tcPr>
            <w:tcW w:w="11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دور</w:t>
            </w:r>
          </w:p>
        </w:tc>
        <w:tc>
          <w:tcPr>
            <w:tcW w:w="17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 xml:space="preserve">ضریب </w:t>
            </w:r>
            <w:r>
              <w:rPr>
                <w:rFonts w:ascii="Times New Roman" w:hAnsi="Times New Roman" w:cs="Times New Roman" w:eastAsia="Times New Roman"/>
                <w:b/>
                <w:bCs/>
                <w:i/>
                <w:iCs/>
                <w:sz w:val="20"/>
                <w:szCs w:val="20"/>
              </w:rPr>
              <w:t xml:space="preserve">W</w:t>
            </w:r>
            <w:r>
              <w:rPr>
                <w:b/>
                <w:bCs/>
                <w:sz w:val="22"/>
                <w:szCs w:val="22"/>
                <w:rtl/>
              </w:rPr>
              <w:t xml:space="preserve"> کندال</w:t>
            </w:r>
          </w:p>
        </w:tc>
        <w:tc>
          <w:tcPr>
            <w:tcW w:w="17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 xml:space="preserve">آماره مجذور </w:t>
            </w:r>
            <w:r>
              <w:rPr>
                <w:b/>
                <w:bCs/>
                <w:sz w:val="22"/>
                <w:szCs w:val="22"/>
                <w:rtl/>
              </w:rPr>
              <w:t>کای</w:t>
            </w:r>
          </w:p>
        </w:tc>
        <w:tc>
          <w:tcPr>
            <w:tcW w:w="17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سطح معناداری</w:t>
            </w:r>
          </w:p>
        </w:tc>
        <w:tc>
          <w:tcPr>
            <w:tcW w:w="24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نتیجه</w:t>
            </w:r>
          </w:p>
        </w:tc>
      </w:tr>
      <w:tr>
        <w:trPr>
          <w:cantSplit/>
        </w:trPr>
        <w:tc>
          <w:tcPr>
            <w:tcW w:w="11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دوم</w:t>
            </w:r>
          </w:p>
        </w:tc>
        <w:tc>
          <w:tcPr>
            <w:tcW w:w="17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۰٫۲۲۴</w:t>
            </w:r>
          </w:p>
        </w:tc>
        <w:tc>
          <w:tcPr>
            <w:tcW w:w="17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۴۳٫۸۷ (</w:t>
            </w:r>
            <w:r>
              <w:rPr>
                <w:rFonts w:ascii="Times New Roman" w:hAnsi="Times New Roman" w:cs="Times New Roman" w:eastAsia="Times New Roman"/>
                <w:i/>
                <w:iCs/>
                <w:sz w:val="20"/>
                <w:szCs w:val="20"/>
              </w:rPr>
              <w:t xml:space="preserve">df</w:t>
            </w:r>
            <w:r>
              <w:rPr>
                <w:sz w:val="22"/>
                <w:szCs w:val="22"/>
                <w:rtl/>
              </w:rPr>
              <w:t xml:space="preserve">=۲۸)</w:t>
            </w:r>
          </w:p>
        </w:tc>
        <w:tc>
          <w:tcPr>
            <w:tcW w:w="17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۰٫۰۲۸۶</w:t>
            </w:r>
          </w:p>
        </w:tc>
        <w:tc>
          <w:tcPr>
            <w:tcW w:w="24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توافق معنادار (</w:t>
            </w:r>
            <w:r>
              <w:rPr>
                <w:rFonts w:ascii="Times New Roman" w:hAnsi="Times New Roman" w:cs="Times New Roman" w:eastAsia="Times New Roman"/>
                <w:i/>
                <w:iCs/>
                <w:sz w:val="20"/>
                <w:szCs w:val="20"/>
              </w:rPr>
              <w:t xml:space="preserve">p</w:t>
            </w:r>
            <w:r>
              <w:rPr>
                <w:sz w:val="22"/>
                <w:szCs w:val="22"/>
                <w:rtl/>
              </w:rPr>
              <w:t xml:space="preserve">&lt;۰٫۰۵)؛ </w:t>
            </w:r>
            <w:r>
              <w:rPr>
                <w:sz w:val="22"/>
                <w:szCs w:val="22"/>
                <w:rtl/>
              </w:rPr>
              <w:t xml:space="preserve">میزان توافق ضعیف</w:t>
            </w:r>
          </w:p>
        </w:tc>
      </w:tr>
      <w:tr>
        <w:trPr>
          <w:cantSplit/>
        </w:trPr>
        <w:tc>
          <w:tcPr>
            <w:tcW w:w="11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سوم</w:t>
            </w:r>
          </w:p>
        </w:tc>
        <w:tc>
          <w:tcPr>
            <w:tcW w:w="17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۰٫۷۵۶</w:t>
            </w:r>
          </w:p>
        </w:tc>
        <w:tc>
          <w:tcPr>
            <w:tcW w:w="17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۱۴۸٫۱۹ (</w:t>
            </w:r>
            <w:r>
              <w:rPr>
                <w:rFonts w:ascii="Times New Roman" w:hAnsi="Times New Roman" w:cs="Times New Roman" w:eastAsia="Times New Roman"/>
                <w:i/>
                <w:iCs/>
                <w:sz w:val="20"/>
                <w:szCs w:val="20"/>
              </w:rPr>
              <w:t xml:space="preserve">df</w:t>
            </w:r>
            <w:r>
              <w:rPr>
                <w:sz w:val="22"/>
                <w:szCs w:val="22"/>
                <w:rtl/>
              </w:rPr>
              <w:t xml:space="preserve">=۲۸)</w:t>
            </w:r>
          </w:p>
        </w:tc>
        <w:tc>
          <w:tcPr>
            <w:tcW w:w="17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کمتر از ۰٫۰۰۰۱</w:t>
            </w:r>
          </w:p>
        </w:tc>
        <w:tc>
          <w:tcPr>
            <w:tcW w:w="24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توافق معنادار (</w:t>
            </w:r>
            <w:r>
              <w:rPr>
                <w:rFonts w:ascii="Times New Roman" w:hAnsi="Times New Roman" w:cs="Times New Roman" w:eastAsia="Times New Roman"/>
                <w:i/>
                <w:iCs/>
                <w:sz w:val="20"/>
                <w:szCs w:val="20"/>
              </w:rPr>
              <w:t xml:space="preserve">p</w:t>
            </w:r>
            <w:r>
              <w:rPr>
                <w:sz w:val="22"/>
                <w:szCs w:val="22"/>
                <w:rtl/>
              </w:rPr>
              <w:t xml:space="preserve">&lt;۰٫۰۵)؛ میزان توافق قوی</w:t>
            </w:r>
          </w:p>
        </w:tc>
      </w:tr>
    </w:tbl>
    <w:p>
      <w:pPr>
        <w:bidi/>
        <w:jc w:val="both"/>
      </w:pPr>
    </w:p>
    <w:p>
      <w:pPr>
        <w:bidi/>
        <w:spacing w:after="80"/>
        <w:ind w:firstLine="720"/>
        <w:jc w:val="both"/>
      </w:pPr>
      <w:r>
        <w:rPr>
          <w:rtl/>
        </w:rPr>
        <w:t xml:space="preserve">همان‌گونه که جدول ۴-۱۰ نشان می‌دهد، ضریب </w:t>
      </w:r>
      <w:r>
        <w:rPr>
          <w:rFonts w:ascii="Times New Roman" w:hAnsi="Times New Roman" w:cs="Times New Roman" w:eastAsia="Times New Roman"/>
          <w:i/>
          <w:iCs/>
          <w:sz w:val="26"/>
          <w:szCs w:val="26"/>
        </w:rPr>
        <w:t xml:space="preserve">W</w:t>
      </w:r>
      <w:r>
        <w:rPr>
          <w:rtl/>
        </w:rPr>
        <w:t xml:space="preserve"> کندال از دور دوم (۰٫۲۲۴) به دور سوم (۰٫۷۵۶) افزایش چشمگیری یافته است؛ این افزایش، اثربخشی بازخورد کنترل‌شده و ناشناس دور سوم را در نزدیک‌تر کردن دیدگاه اعضای پانل به یکدیگر نشان می‌دهد </w:t>
      </w:r>
      <w:r>
        <w:rPr>
          <w:rtl/>
        </w:rPr>
        <w:t xml:space="preserve">و با الگوی مورد انتظار در فرایندهای دلفی سازگار است. بر پایه راهنمای تفسیر اشمیت (۱۹۹۷)</w:t>
      </w:r>
      <w:r>
        <w:rPr>
          <w:rStyle w:val="FootnoteReference"/>
        </w:rPr>
        <w:footnoteReference w:id="112"/>
      </w:r>
      <w:r>
        <w:rPr>
          <w:rtl/>
        </w:rPr>
        <w:t xml:space="preserve">، مقادیر </w:t>
      </w:r>
      <w:r>
        <w:rPr>
          <w:rFonts w:ascii="Times New Roman" w:hAnsi="Times New Roman" w:cs="Times New Roman" w:eastAsia="Times New Roman"/>
          <w:i/>
          <w:iCs/>
          <w:sz w:val="26"/>
          <w:szCs w:val="26"/>
        </w:rPr>
        <w:t xml:space="preserve">W</w:t>
      </w:r>
      <w:r>
        <w:rPr>
          <w:rtl/>
        </w:rPr>
        <w:t xml:space="preserve"> کمتر از ۰٫۳ توافق ضعیف و مقادیر بالاتر از ۰٫۷ توافق قوی را نشان می‌دهد؛ از این رو توافق دور دوم ضعیف و توافق دور سوم قوی ارزیابی می‌شود.</w:t>
      </w:r>
    </w:p>
    <w:p>
      <w:pPr>
        <w:pStyle w:val="Heading3"/>
        <w:keepNext/>
        <w:bidi/>
        <w:spacing w:before="240" w:after="80"/>
      </w:pPr>
      <w:bookmarkStart w:id="66" w:name="_Toc200000066"/>
      <w:r>
        <w:t xml:space="preserve">۴ـ۵ـ۲ ثبات رتبه‌بندی: ضریب همبستگی اسپیرمن</w:t>
      </w:r>
      <w:bookmarkEnd w:id="66"/>
    </w:p>
    <w:p>
      <w:pPr>
        <w:bidi/>
        <w:spacing w:after="80"/>
        <w:ind w:firstLine="720"/>
        <w:jc w:val="both"/>
      </w:pPr>
      <w:r>
        <w:rPr>
          <w:rtl/>
        </w:rPr>
        <w:t xml:space="preserve">علاوه بر معناداری توافق درون هر دور، ثبات نسبی رتبه‌بندی‌ها میان دو دور متوالی — که در بخش ۳-۷-۲ به عنوان ملاک توقف دورهای دلفی معرفی شد — نیز به‌صورت آماری بررسی شد. جدول ۴-۱۱ ضریب همبستگی رتبه‌ای اسپیرمن میان امتیازهای میانگین گویه‌ها و میانگین مؤلفه‌ها در دور دوم و دور سوم را، به همراه سطح معناداری آن، نشان می‌دهد. رسیدن همبستگی به سطح بالا و معنادار، ملاک توقف فرایند دلفی در پژوهش حاضر </w:t>
      </w:r>
      <w:r>
        <w:rPr>
          <w:rtl/>
        </w:rPr>
        <w:t xml:space="preserve">بود؛ ثبات پاسخ‌ها میان دورها از ملاک‌های توقف گزارش‌شده در مطالعات دلفی است (شیفانو و نیدربرگر، ۲۰۲۵)</w:t>
      </w:r>
      <w:r>
        <w:rPr>
          <w:rStyle w:val="FootnoteReference"/>
        </w:rPr>
        <w:footnoteReference w:id="113"/>
      </w:r>
      <w:r>
        <w:rPr>
          <w:rtl/>
        </w:rPr>
        <w:t>.</w:t>
      </w:r>
    </w:p>
    <w:p>
      <w:pPr>
        <w:pStyle w:val="TableCaption"/>
        <w:keepNext/>
        <w:spacing w:before="160" w:after="80"/>
        <w:jc w:val="center"/>
        <w:rPr>
          <w:vanish/>
        </w:rPr>
      </w:pPr>
      <w:bookmarkStart w:id="67" w:name="_Toc200000067"/>
      <w:r>
        <w:fldChar w:fldCharType="begin"/>
      </w:r>
      <w:r>
        <w:instrText xml:space="preserve"> TC "جدول ۴-۱۱ ضریب همبستگی رتبه‌ای میان امتیازهای گویه‌ها و مؤلفه‌ها در دور دوم و دور سوم" \f T \l 4 </w:instrText>
      </w:r>
      <w:r>
        <w:fldChar w:fldCharType="end"/>
      </w:r>
      <w:r>
        <w:t xml:space="preserve">جدول ۴-۱۱ ضریب همبستگی رتبه‌ای میان امتیازهای گویه‌ها و مؤلفه‌ها در دور دوم و دور سوم (منبع: یافته‌های پژوهش)</w:t>
      </w:r>
      <w:bookmarkEnd w:id="67"/>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9"/>
        <w:gridCol w:w="1953"/>
        <w:gridCol w:w="1953"/>
        <w:gridCol w:w="1953"/>
      </w:tblGrid>
      <w:tr>
        <w:trPr>
          <w:tblHeader/>
          <w:cantSplit/>
        </w:trPr>
        <w:tc>
          <w:tcPr>
            <w:tcW w:w="29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مقایسه</w:t>
            </w:r>
          </w:p>
        </w:tc>
        <w:tc>
          <w:tcPr>
            <w:tcW w:w="19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ضریب همبستگی اسپیرمن</w:t>
            </w:r>
          </w:p>
        </w:tc>
        <w:tc>
          <w:tcPr>
            <w:tcW w:w="19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سطح معناداری</w:t>
            </w:r>
          </w:p>
        </w:tc>
        <w:tc>
          <w:tcPr>
            <w:tcW w:w="19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نتیجه</w:t>
            </w:r>
          </w:p>
        </w:tc>
      </w:tr>
      <w:tr>
        <w:trPr>
          <w:cantSplit/>
        </w:trPr>
        <w:tc>
          <w:tcPr>
            <w:tcW w:w="29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دور دوم با دور سوم (سطح گویه، ۲۹ گویه)</w:t>
            </w:r>
          </w:p>
        </w:tc>
        <w:tc>
          <w:tcPr>
            <w:tcW w:w="19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۰٫۸۴۷</w:t>
            </w:r>
          </w:p>
        </w:tc>
        <w:tc>
          <w:tcPr>
            <w:tcW w:w="19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کمتر از ۰٫۰۰۰۱</w:t>
            </w:r>
          </w:p>
        </w:tc>
        <w:tc>
          <w:tcPr>
            <w:tcW w:w="19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همبستگی بالا و معنادار</w:t>
            </w:r>
          </w:p>
        </w:tc>
      </w:tr>
      <w:tr>
        <w:trPr>
          <w:cantSplit/>
        </w:trPr>
        <w:tc>
          <w:tcPr>
            <w:tcW w:w="29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دور دوم با دور سوم (سطح مؤلفه، ۹ مؤلفه)</w:t>
            </w:r>
          </w:p>
        </w:tc>
        <w:tc>
          <w:tcPr>
            <w:tcW w:w="19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۰٫۸۳۳</w:t>
            </w:r>
          </w:p>
        </w:tc>
        <w:tc>
          <w:tcPr>
            <w:tcW w:w="19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کمتر از ۰٫۰۱</w:t>
            </w:r>
          </w:p>
        </w:tc>
        <w:tc>
          <w:tcPr>
            <w:tcW w:w="19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همبستگی بالا و معنادار</w:t>
            </w:r>
          </w:p>
        </w:tc>
      </w:tr>
    </w:tbl>
    <w:p>
      <w:pPr>
        <w:bidi/>
        <w:jc w:val="both"/>
      </w:pPr>
    </w:p>
    <w:p>
      <w:pPr>
        <w:pStyle w:val="Heading2"/>
        <w:keepNext/>
        <w:bidi/>
        <w:spacing w:before="180" w:after="80"/>
      </w:pPr>
      <w:bookmarkStart w:id="68" w:name="_Toc200000068"/>
      <w:r>
        <w:t xml:space="preserve">۴ـ۶ پاسخ به پرسش‌های پژوهش و رتبه‌بندی نهایی</w:t>
      </w:r>
      <w:bookmarkEnd w:id="68"/>
    </w:p>
    <w:p>
      <w:pPr>
        <w:bidi/>
        <w:spacing w:after="80"/>
        <w:ind w:firstLine="720"/>
        <w:jc w:val="both"/>
      </w:pPr>
      <w:r>
        <w:rPr>
          <w:rtl/>
        </w:rPr>
        <w:t xml:space="preserve">پرسش نخست پژوهش عبارت بود از: «چالش‌های فروش در شرکت‌های تک‌محصولی فعال در صنعت مواد غذایی کدام‌اند؟» جدول ۴-۱۲، بر پایه تحلیل مضمون پاسخ‌های دور نخست پانل (بخش ۴-۳)، پاسخ این پرسش را در قالب نُه مؤلفه و بیست‌ونه گویه نشان می‌دهد.</w:t>
      </w:r>
    </w:p>
    <w:p>
      <w:pPr>
        <w:pStyle w:val="TableCaption"/>
        <w:keepNext/>
        <w:spacing w:before="160" w:after="80"/>
        <w:jc w:val="center"/>
        <w:rPr>
          <w:vanish/>
        </w:rPr>
      </w:pPr>
      <w:bookmarkStart w:id="69" w:name="_Toc200000069"/>
      <w:r>
        <w:fldChar w:fldCharType="begin"/>
      </w:r>
      <w:r>
        <w:instrText xml:space="preserve"> TC "جدول ۴-۱۲ فهرست چالش‌های فروش شناسایی‌شده به تفکیک مؤلفه" \f T \l 4 </w:instrText>
      </w:r>
      <w:r>
        <w:fldChar w:fldCharType="end"/>
      </w:r>
      <w:r>
        <w:t xml:space="preserve">جدول ۴-۱۲ فهرست چالش‌های فروش شناسایی‌شده به تفکیک مؤلفه (منبع: یافته‌های پژوهش)</w:t>
      </w:r>
      <w:bookmarkEnd w:id="69"/>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7"/>
        <w:gridCol w:w="2303"/>
        <w:gridCol w:w="5908"/>
      </w:tblGrid>
      <w:tr>
        <w:trPr>
          <w:tblHeader/>
          <w:cantSplit/>
        </w:trPr>
        <w:tc>
          <w:tcPr>
            <w:tcW w:w="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ردیف</w:t>
            </w:r>
          </w:p>
        </w:tc>
        <w:tc>
          <w:tcPr>
            <w:tcW w:w="23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مؤلفه</w:t>
            </w:r>
          </w:p>
        </w:tc>
        <w:tc>
          <w:tcPr>
            <w:tcW w:w="5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گویه‌های زیرمجموعه</w:t>
            </w:r>
          </w:p>
        </w:tc>
      </w:tr>
      <w:tr>
        <w:trPr>
          <w:cantSplit/>
        </w:trPr>
        <w:tc>
          <w:tcPr>
            <w:tcW w:w="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w:t>
            </w:r>
          </w:p>
        </w:tc>
        <w:tc>
          <w:tcPr>
            <w:tcW w:w="23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آسیب‌پذیری ساختاری ناشی از تمرک</w:t>
            </w:r>
            <w:r>
              <w:rPr>
                <w:sz w:val="22"/>
                <w:szCs w:val="22"/>
                <w:rtl/>
              </w:rPr>
              <w:t>ز بر محصول واحد</w:t>
            </w:r>
          </w:p>
        </w:tc>
        <w:tc>
          <w:tcPr>
            <w:tcW w:w="5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spacing w:after="60"/>
              <w:jc w:val="center"/>
            </w:pPr>
            <w:r>
              <w:rPr>
                <w:sz w:val="22"/>
                <w:szCs w:val="22"/>
                <w:rtl/>
              </w:rPr>
              <w:t xml:space="preserve">وابستگی کامل درآمد و سودآوری شرکت به تقاضای یک محصول</w:t>
            </w:r>
          </w:p>
          <w:p>
            <w:pPr>
              <w:bidi/>
              <w:spacing w:after="60"/>
              <w:jc w:val="center"/>
            </w:pPr>
            <w:r>
              <w:rPr>
                <w:sz w:val="22"/>
                <w:szCs w:val="22"/>
                <w:rtl/>
              </w:rPr>
              <w:t xml:space="preserve">نبود امکان جبران افت فروش از محل سایر اقلام سبد محصول</w:t>
            </w:r>
          </w:p>
          <w:p>
            <w:pPr>
              <w:bidi/>
              <w:jc w:val="center"/>
            </w:pPr>
            <w:r>
              <w:rPr>
                <w:sz w:val="22"/>
                <w:szCs w:val="22"/>
                <w:rtl/>
              </w:rPr>
              <w:t xml:space="preserve">کاهش انعطاف‌پذیری و کندی واکنش شرکت به تغییرات بازار</w:t>
            </w:r>
          </w:p>
        </w:tc>
      </w:tr>
      <w:tr>
        <w:trPr>
          <w:cantSplit/>
        </w:trPr>
        <w:tc>
          <w:tcPr>
            <w:tcW w:w="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w:t>
            </w:r>
          </w:p>
        </w:tc>
        <w:tc>
          <w:tcPr>
            <w:tcW w:w="23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ضعف برندسازی و دشواری تمایز محصول</w:t>
            </w:r>
          </w:p>
        </w:tc>
        <w:tc>
          <w:tcPr>
            <w:tcW w:w="5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spacing w:after="60"/>
              <w:jc w:val="center"/>
            </w:pPr>
            <w:r>
              <w:rPr>
                <w:sz w:val="22"/>
                <w:szCs w:val="22"/>
                <w:rtl/>
              </w:rPr>
              <w:t xml:space="preserve">ضعف در برندسازی و تبلیغات و کمرنگ بودن جایگاه برند در ذهن مشتری</w:t>
            </w:r>
          </w:p>
          <w:p>
            <w:pPr>
              <w:bidi/>
              <w:spacing w:after="60"/>
              <w:jc w:val="center"/>
            </w:pPr>
            <w:r>
              <w:rPr>
                <w:sz w:val="22"/>
                <w:szCs w:val="22"/>
                <w:rtl/>
              </w:rPr>
              <w:t xml:space="preserve">دشواری ایجاد تمایز نسبت به محصولات رقیب</w:t>
            </w:r>
          </w:p>
          <w:p>
            <w:pPr>
              <w:bidi/>
              <w:spacing w:after="60"/>
              <w:jc w:val="center"/>
            </w:pPr>
            <w:r>
              <w:rPr>
                <w:sz w:val="22"/>
                <w:szCs w:val="22"/>
                <w:rtl/>
              </w:rPr>
              <w:t xml:space="preserve">نبود نوآوری و توسعه محصول</w:t>
            </w:r>
          </w:p>
          <w:p>
            <w:pPr>
              <w:bidi/>
              <w:jc w:val="center"/>
            </w:pPr>
            <w:r>
              <w:rPr>
                <w:sz w:val="22"/>
                <w:szCs w:val="22"/>
                <w:rtl/>
              </w:rPr>
              <w:t xml:space="preserve">کم‌توجهی به تحقیقات بازار و مطالعه رفتار مصرف‌کننده</w:t>
            </w:r>
          </w:p>
        </w:tc>
      </w:tr>
      <w:tr>
        <w:trPr>
          <w:cantSplit/>
        </w:trPr>
        <w:tc>
          <w:tcPr>
            <w:tcW w:w="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23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دشواری جذب و حفظ مشتری و وفاداری پایین</w:t>
            </w:r>
          </w:p>
        </w:tc>
        <w:tc>
          <w:tcPr>
            <w:tcW w:w="5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spacing w:after="60"/>
              <w:jc w:val="center"/>
            </w:pPr>
            <w:r>
              <w:rPr>
                <w:sz w:val="22"/>
                <w:szCs w:val="22"/>
                <w:rtl/>
              </w:rPr>
              <w:t xml:space="preserve">دشواری جذب مشتری جدید</w:t>
            </w:r>
          </w:p>
          <w:p>
            <w:pPr>
              <w:bidi/>
              <w:spacing w:after="60"/>
              <w:jc w:val="center"/>
            </w:pPr>
            <w:r>
              <w:rPr>
                <w:sz w:val="22"/>
                <w:szCs w:val="22"/>
                <w:rtl/>
              </w:rPr>
              <w:t xml:space="preserve">وفاداری پایین مشتری به شرکت تک‌محصولی</w:t>
            </w:r>
          </w:p>
          <w:p>
            <w:pPr>
              <w:bidi/>
              <w:jc w:val="center"/>
            </w:pPr>
            <w:r>
              <w:rPr>
                <w:sz w:val="22"/>
                <w:szCs w:val="22"/>
                <w:rtl/>
              </w:rPr>
              <w:t xml:space="preserve">نبود پیشنهاد تازه برای حفظ و فعال‌سازی مجدد مشتریان فعلی</w:t>
            </w:r>
          </w:p>
        </w:tc>
      </w:tr>
      <w:tr>
        <w:trPr>
          <w:cantSplit/>
        </w:trPr>
        <w:tc>
          <w:tcPr>
            <w:tcW w:w="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23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ضعف در </w:t>
            </w:r>
            <w:r>
              <w:rPr>
                <w:sz w:val="22"/>
                <w:szCs w:val="22"/>
                <w:rtl/>
              </w:rPr>
              <w:t>برنامه‌ریزی، پیش‌بینی و مدیریت فروش</w:t>
            </w:r>
          </w:p>
        </w:tc>
        <w:tc>
          <w:tcPr>
            <w:tcW w:w="5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spacing w:after="60"/>
              <w:jc w:val="center"/>
            </w:pPr>
            <w:r>
              <w:rPr>
                <w:sz w:val="22"/>
                <w:szCs w:val="22"/>
                <w:rtl/>
              </w:rPr>
              <w:t xml:space="preserve">ضعف در پیش‌بینی دقیق تقاضای بازار</w:t>
            </w:r>
          </w:p>
          <w:p>
            <w:pPr>
              <w:bidi/>
              <w:spacing w:after="60"/>
              <w:jc w:val="center"/>
            </w:pPr>
            <w:r>
              <w:rPr>
                <w:sz w:val="22"/>
                <w:szCs w:val="22"/>
                <w:rtl/>
              </w:rPr>
              <w:t xml:space="preserve">ضعف در برنامه‌ریزی و مدیریت موجودی</w:t>
            </w:r>
          </w:p>
          <w:p>
            <w:pPr>
              <w:bidi/>
              <w:spacing w:after="60"/>
              <w:jc w:val="center"/>
            </w:pPr>
            <w:r>
              <w:rPr>
                <w:sz w:val="22"/>
                <w:szCs w:val="22"/>
                <w:rtl/>
              </w:rPr>
              <w:t xml:space="preserve">ضعف در نظام برنامه‌ریزی و اطلاعات فروش</w:t>
            </w:r>
          </w:p>
          <w:p>
            <w:pPr>
              <w:bidi/>
              <w:jc w:val="center"/>
            </w:pPr>
            <w:r>
              <w:rPr>
                <w:sz w:val="22"/>
                <w:szCs w:val="22"/>
                <w:rtl/>
              </w:rPr>
              <w:t xml:space="preserve">محدودیت منابع مالی برای توزیع و ترویج محصول</w:t>
            </w:r>
          </w:p>
        </w:tc>
      </w:tr>
      <w:tr>
        <w:trPr>
          <w:cantSplit/>
        </w:trPr>
        <w:tc>
          <w:tcPr>
            <w:tcW w:w="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w:t>
            </w:r>
          </w:p>
        </w:tc>
        <w:tc>
          <w:tcPr>
            <w:tcW w:w="23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ناکارآمدی و هزینه‌بری شبکه توزیع و فروش</w:t>
            </w:r>
          </w:p>
        </w:tc>
        <w:tc>
          <w:tcPr>
            <w:tcW w:w="5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spacing w:after="60"/>
              <w:jc w:val="center"/>
            </w:pPr>
            <w:r>
              <w:rPr>
                <w:sz w:val="22"/>
                <w:szCs w:val="22"/>
                <w:rtl/>
              </w:rPr>
              <w:t xml:space="preserve">هزینه بالای پخش و توزیع به ازای یک قلم کالا</w:t>
            </w:r>
          </w:p>
          <w:p>
            <w:pPr>
              <w:bidi/>
              <w:spacing w:after="60"/>
              <w:jc w:val="center"/>
            </w:pPr>
            <w:r>
              <w:rPr>
                <w:sz w:val="22"/>
                <w:szCs w:val="22"/>
                <w:rtl/>
              </w:rPr>
              <w:t xml:space="preserve">کوچک بودن شبکه فروش و پوشش محدود بازار</w:t>
            </w:r>
          </w:p>
          <w:p>
            <w:pPr>
              <w:bidi/>
              <w:spacing w:after="60"/>
              <w:jc w:val="center"/>
            </w:pPr>
            <w:r>
              <w:rPr>
                <w:sz w:val="22"/>
                <w:szCs w:val="22"/>
                <w:rtl/>
              </w:rPr>
              <w:t xml:space="preserve">کاهش قدرت چانه‌زنی در برابر شبکه توزیع و خرده‌فروشی چندمحصولی</w:t>
            </w:r>
          </w:p>
          <w:p>
            <w:pPr>
              <w:bidi/>
              <w:jc w:val="center"/>
            </w:pPr>
            <w:r>
              <w:rPr>
                <w:sz w:val="22"/>
                <w:szCs w:val="22"/>
                <w:rtl/>
              </w:rPr>
              <w:t xml:space="preserve">وابستگی به تعداد محدودی مشتری یا کانال فروش</w:t>
            </w:r>
          </w:p>
        </w:tc>
      </w:tr>
      <w:tr>
        <w:trPr>
          <w:cantSplit/>
        </w:trPr>
        <w:tc>
          <w:tcPr>
            <w:tcW w:w="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۶</w:t>
            </w:r>
          </w:p>
        </w:tc>
        <w:tc>
          <w:tcPr>
            <w:tcW w:w="23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شدت رقابت و فشار قیمتی بازار</w:t>
            </w:r>
          </w:p>
        </w:tc>
        <w:tc>
          <w:tcPr>
            <w:tcW w:w="5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spacing w:after="60"/>
              <w:jc w:val="center"/>
            </w:pPr>
            <w:r>
              <w:rPr>
                <w:sz w:val="22"/>
                <w:szCs w:val="22"/>
                <w:rtl/>
              </w:rPr>
              <w:t xml:space="preserve">ورود رقبای جدید و افزایش شدت رقابت</w:t>
            </w:r>
          </w:p>
          <w:p>
            <w:pPr>
              <w:bidi/>
              <w:spacing w:after="60"/>
              <w:jc w:val="center"/>
            </w:pPr>
            <w:r>
              <w:rPr>
                <w:sz w:val="22"/>
                <w:szCs w:val="22"/>
                <w:rtl/>
              </w:rPr>
              <w:t xml:space="preserve">حضور محصولات جایگزین و برندهای رقیب دارای سبد متنوع</w:t>
            </w:r>
          </w:p>
          <w:p>
            <w:pPr>
              <w:bidi/>
              <w:jc w:val="center"/>
            </w:pPr>
            <w:r>
              <w:rPr>
                <w:sz w:val="22"/>
                <w:szCs w:val="22"/>
                <w:rtl/>
              </w:rPr>
              <w:t xml:space="preserve">رقابت قیمتی و نوسان قیمت رقبا</w:t>
            </w:r>
          </w:p>
        </w:tc>
      </w:tr>
      <w:tr>
        <w:trPr>
          <w:cantSplit/>
        </w:trPr>
        <w:tc>
          <w:tcPr>
            <w:tcW w:w="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۷</w:t>
            </w:r>
          </w:p>
        </w:tc>
        <w:tc>
          <w:tcPr>
            <w:tcW w:w="23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تغییر ذائقه </w:t>
            </w:r>
            <w:r>
              <w:rPr>
                <w:sz w:val="22"/>
                <w:szCs w:val="22"/>
                <w:rtl/>
              </w:rPr>
              <w:t>مصرف‌کننده و محدودیت بازار هدف</w:t>
            </w:r>
          </w:p>
        </w:tc>
        <w:tc>
          <w:tcPr>
            <w:tcW w:w="5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spacing w:after="60"/>
              <w:jc w:val="center"/>
            </w:pPr>
            <w:r>
              <w:rPr>
                <w:sz w:val="22"/>
                <w:szCs w:val="22"/>
                <w:rtl/>
              </w:rPr>
              <w:t xml:space="preserve">تغییر سریع ذائقه و ترجیحات مصرف‌کننده در گذر زمان</w:t>
            </w:r>
          </w:p>
          <w:p>
            <w:pPr>
              <w:bidi/>
              <w:spacing w:after="60"/>
              <w:jc w:val="center"/>
            </w:pPr>
            <w:r>
              <w:rPr>
                <w:sz w:val="22"/>
                <w:szCs w:val="22"/>
                <w:rtl/>
              </w:rPr>
              <w:t xml:space="preserve">محدود بودن بازار هدف به یک گروه خاص از مشتریان</w:t>
            </w:r>
          </w:p>
          <w:p>
            <w:pPr>
              <w:bidi/>
              <w:jc w:val="center"/>
            </w:pPr>
            <w:r>
              <w:rPr>
                <w:sz w:val="22"/>
                <w:szCs w:val="22"/>
                <w:rtl/>
              </w:rPr>
              <w:t xml:space="preserve">افت ناگهانی تقاضا</w:t>
            </w:r>
          </w:p>
        </w:tc>
      </w:tr>
      <w:tr>
        <w:trPr>
          <w:cantSplit/>
        </w:trPr>
        <w:tc>
          <w:tcPr>
            <w:tcW w:w="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۸</w:t>
            </w:r>
          </w:p>
        </w:tc>
        <w:tc>
          <w:tcPr>
            <w:tcW w:w="23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ناپایداری تأمین و نوسان بهای مواد اولیه</w:t>
            </w:r>
          </w:p>
        </w:tc>
        <w:tc>
          <w:tcPr>
            <w:tcW w:w="5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spacing w:after="60"/>
              <w:jc w:val="center"/>
            </w:pPr>
            <w:r>
              <w:rPr>
                <w:sz w:val="22"/>
                <w:szCs w:val="22"/>
                <w:rtl/>
              </w:rPr>
              <w:t xml:space="preserve">نوسان و کمبود در تأمین مواد اولیه</w:t>
            </w:r>
          </w:p>
          <w:p>
            <w:pPr>
              <w:bidi/>
              <w:spacing w:after="60"/>
              <w:jc w:val="center"/>
            </w:pPr>
            <w:r>
              <w:rPr>
                <w:sz w:val="22"/>
                <w:szCs w:val="22"/>
                <w:rtl/>
              </w:rPr>
              <w:t xml:space="preserve">وابستگی تأمین به واردات و اثر تحریم و محدودیت‌های اقتصادی</w:t>
            </w:r>
          </w:p>
          <w:p>
            <w:pPr>
              <w:bidi/>
              <w:jc w:val="center"/>
            </w:pPr>
            <w:r>
              <w:rPr>
                <w:sz w:val="22"/>
                <w:szCs w:val="22"/>
                <w:rtl/>
              </w:rPr>
              <w:t xml:space="preserve">ناپیوستگی عرضه و کسری محصول در بازار</w:t>
            </w:r>
          </w:p>
        </w:tc>
      </w:tr>
      <w:tr>
        <w:trPr>
          <w:cantSplit/>
        </w:trPr>
        <w:tc>
          <w:tcPr>
            <w:tcW w:w="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۹</w:t>
            </w:r>
          </w:p>
        </w:tc>
        <w:tc>
          <w:tcPr>
            <w:tcW w:w="23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فشارهای اقتصاد کلان و کاهش قدرت خرید</w:t>
            </w:r>
          </w:p>
        </w:tc>
        <w:tc>
          <w:tcPr>
            <w:tcW w:w="5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spacing w:after="60"/>
              <w:jc w:val="center"/>
            </w:pPr>
            <w:r>
              <w:rPr>
                <w:sz w:val="22"/>
                <w:szCs w:val="22"/>
                <w:rtl/>
              </w:rPr>
              <w:t xml:space="preserve">افزایش بهای تمام‌شده و فشار بر حاشیه سود</w:t>
            </w:r>
          </w:p>
          <w:p>
            <w:pPr>
              <w:bidi/>
              <w:jc w:val="center"/>
            </w:pPr>
            <w:r>
              <w:rPr>
                <w:sz w:val="22"/>
                <w:szCs w:val="22"/>
                <w:rtl/>
              </w:rPr>
              <w:t xml:space="preserve">کاهش قدرت خرید و مشکلات اقتصادی مصرف‌کننده</w:t>
            </w:r>
          </w:p>
        </w:tc>
      </w:tr>
    </w:tbl>
    <w:p>
      <w:pPr>
        <w:bidi/>
        <w:jc w:val="both"/>
      </w:pPr>
    </w:p>
    <w:p>
      <w:pPr>
        <w:bidi/>
        <w:spacing w:after="80"/>
        <w:ind w:firstLine="720"/>
        <w:jc w:val="both"/>
      </w:pPr>
      <w:r>
        <w:rPr>
          <w:rtl/>
        </w:rPr>
        <w:t xml:space="preserve">پرسش دوم پژوهش عبارت بود از: «اولویت چالش‌های فروش در شرکت‌های تک‌محصولی فعال در صنعت مواد غذایی چگونه است؟» رتبه‌بندی نهایی مؤلفه‌ها بر پایه میانگین امتیاز گویه‌های هر مؤلفه در دور سوم، که دور پایانی بود، محاسبه شد (بخش ۴-۵). جدول ۴-۱۳ این رتبه‌بندی را به همراه میانگین دور دوم برای مقایسه نشان می‌دهد.</w:t>
      </w:r>
    </w:p>
    <w:p>
      <w:pPr>
        <w:pStyle w:val="TableCaption"/>
        <w:keepNext/>
        <w:spacing w:before="160" w:after="80"/>
        <w:jc w:val="center"/>
        <w:rPr>
          <w:vanish/>
        </w:rPr>
      </w:pPr>
      <w:bookmarkStart w:id="70" w:name="_Toc200000070"/>
      <w:r>
        <w:fldChar w:fldCharType="begin"/>
      </w:r>
      <w:r>
        <w:instrText xml:space="preserve"> TC "جدول ۴-۱۳ رتبه‌بندی نهایی مؤلفه‌های چالش فروش بر پایه اجماع پانل دلفی (دور سوم)" \f T \l 4 </w:instrText>
      </w:r>
      <w:r>
        <w:fldChar w:fldCharType="end"/>
      </w:r>
      <w:r>
        <w:t xml:space="preserve">جدول ۴-۱۳ رتبه‌بندی نهایی مؤلفه‌های چالش فروش بر پایه اجماع پانل دلفی (دور سوم) (منبع: یافته‌های پژوهش)</w:t>
      </w:r>
      <w:bookmarkEnd w:id="70"/>
    </w:p>
    <w:tbl>
      <w:tblPr>
        <w:bidiVisual/>
        <w:tblW w:w="8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1600"/>
        <w:gridCol w:w="1600"/>
        <w:gridCol w:w="1788"/>
      </w:tblGrid>
      <w:tr>
        <w:trPr>
          <w:tblHeade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ردیف</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مؤلفه</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میانگین امتیاز (دور سوم)</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میانگین امتیاز (دور دوم</w:t>
            </w:r>
            <w:r>
              <w:rPr>
                <w:b/>
                <w:bCs/>
                <w:sz w:val="22"/>
                <w:szCs w:val="22"/>
                <w:rtl/>
              </w:rPr>
              <w:t>)</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رتبه</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فشارهای اقتصاد کلان و کاهش قدرت خرید</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۴٫۵۰</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۴٫۳۶</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۱</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تغییر ذائقه مصرف‌کننده و محدودیت بازار هدف</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۴٫۴۳</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۴٫۳۳</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۲</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شدت رقابت و فشار قیمتی بازار</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۴٫۳۳</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۴٫۴۸</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آسیب‌پذیری ساختاری ناشی از تمرکز بر محصول واحد</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۴٫۲۹</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۴٫۳۸</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ناپایداری تأمین و نوسان </w:t>
            </w:r>
            <w:r>
              <w:rPr>
                <w:sz w:val="22"/>
                <w:szCs w:val="22"/>
                <w:rtl/>
              </w:rPr>
              <w:t>بهای مواد اولیه</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۴٫۱۹</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۴٫۰۰</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۵</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۶</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ناکارآمدی و هزینه‌بری شبکه توزیع و فروش</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۴٫۱۱</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۴٫۰۴</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۶</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۷</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دشواری جذب و حفظ مشتری و وفاداری پایین</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۳٫۸۱</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۳٫۷۶</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۷</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۸</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ضعف در برنامه‌ریزی، پیش‌بینی و مدیریت فروش</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۳٫۷۹</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۳٫۷۹</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۸</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۹</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ضعف برندسازی و دشواری تمایز محصول</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۳٫۵۷</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۳٫۶۱</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۹</w:t>
            </w:r>
          </w:p>
        </w:tc>
      </w:tr>
    </w:tbl>
    <w:p>
      <w:pPr>
        <w:bidi/>
        <w:jc w:val="both"/>
      </w:pPr>
    </w:p>
    <w:p>
      <w:pPr>
        <w:bidi/>
        <w:spacing w:after="80"/>
        <w:ind w:firstLine="720"/>
        <w:jc w:val="both"/>
      </w:pPr>
      <w:r>
        <w:rPr>
          <w:rtl/>
        </w:rPr>
        <w:t xml:space="preserve">در مقایسه با رتبه‌بندی دور دوم، ترتیب چند مؤلفه نخست در دور سوم دستخوش جابه‌جایی جزئی شد؛ برای نمونه، مؤلفه «فشارهای اقتصاد کلان و کاهش قدرت خرید» از رتبه سوم به رتبه نخست رسید. این جابه‌جایی با همبستگی رتبه‌ای بالا و معنادار گزارش‌شده در جدول ۴-۱۱ — هم در سطح گویه‌ها و هم در سطح مؤلفه‌ها — ناسازگار نیست و از نوسان طبیعی رتبه‌بندی در میان گزینه‌های دارای امتیاز نزدیک به هم ناشی می‌شود.</w:t>
      </w:r>
    </w:p>
    <w:p>
      <w:pPr>
        <w:bidi/>
        <w:spacing w:after="80"/>
        <w:ind w:firstLine="720"/>
        <w:jc w:val="both"/>
      </w:pPr>
      <w:r>
        <w:rPr>
          <w:rtl/>
        </w:rPr>
        <w:t xml:space="preserve">تفکیک مؤلفه‌ها بر پایه دسته نیز الگوی روشنی نشان می‌دهد: هر چهار مؤلفه برون‌سازمانی (رتبه‌های ۱، ۲، ۳ و ۵) در پنج رتبه نخست جای دارند و میانگین آن‌ها (۴٫۳۶) از میانگین پنج مؤلفه درون‌سازمانی (۳٫۹۱) بیشتر است؛ تفسیر این الگو در فصل پنجم ارائه خواهد شد.</w:t>
      </w:r>
    </w:p>
    <w:p>
      <w:pPr>
        <w:bidi/>
        <w:spacing w:after="80"/>
        <w:ind w:firstLine="720"/>
        <w:jc w:val="both"/>
      </w:pPr>
      <w:r>
        <w:rPr>
          <w:rtl/>
        </w:rPr>
        <w:t xml:space="preserve">رتبه‌بندی نهایی در سطح گویه، که در بخش ۳-۷-۲ به عنوان سطح نخست رتبه‌بندی معرفی شد، در جدول ۴-۱۴ بر پایه میانگین امتیاز هر گویه در دور سوم ارائه شده است؛ گویه‌های دارای میانگین یکسان، رتبه یکسان گرفته‌اند.</w:t>
      </w:r>
    </w:p>
    <w:p>
      <w:pPr>
        <w:pStyle w:val="TableCaption"/>
        <w:keepNext/>
        <w:spacing w:before="160" w:after="80"/>
        <w:jc w:val="center"/>
        <w:rPr>
          <w:vanish/>
        </w:rPr>
      </w:pPr>
      <w:bookmarkStart w:id="71" w:name="_Toc200000071"/>
      <w:r>
        <w:fldChar w:fldCharType="begin"/>
      </w:r>
      <w:r>
        <w:instrText xml:space="preserve"> TC "جدول ۴-۱۴ رتبه‌بندی نهایی گویه‌های چالش فروش بر پایه اجماع پانل دلفی (دور سوم)" \f T \l 4 </w:instrText>
      </w:r>
      <w:r>
        <w:fldChar w:fldCharType="end"/>
      </w:r>
      <w:r>
        <w:t xml:space="preserve">جدول ۴-۱۴ رتبه‌بندی نهایی گویه‌های چالش فروش بر پایه اجماع پانل دلفی (دور سوم) (منبع: یافته‌های پژوهش)</w:t>
      </w:r>
      <w:bookmarkEnd w:id="71"/>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3700"/>
        <w:gridCol w:w="2960"/>
        <w:gridCol w:w="1488"/>
      </w:tblGrid>
      <w:tr>
        <w:trPr>
          <w:tblHeade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 xml:space="preserve">رتبه</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 xml:space="preserve">گویه</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 xml:space="preserve">مؤلفه</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 xml:space="preserve">میانگین امتیاز (دور سوم)</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ورود رقبای جدید و افزایش شدت رقابت</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شدت رقابت و فشار قیمتی بازار</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۵٫۰۰</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افزایش بهای تمام‌شده و فشار بر حاشیه سود</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فشارهای اقتصاد کلان و کاهش قدرت خرید</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۵٫۰۰</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تغییر سریع ذائقه و ترجیحات مصرف‌کننده در گذر زمان</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تغییر ذائقه مصرف‌کننده و محدودیت بازار هدف</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۴٫۷۱</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محدود بودن بازار هدف به یک گروه خاص از مشتریان</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تغییر ذائقه مصرف‌کننده و محدودیت بازار هدف</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۴٫۵۷</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نوسان و کمبود در تأمین مواد اولیه</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ناپایداری تأمین و نوسان بهای مواد اولیه</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۴٫۵۷</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۶</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وابستگی کامل درآمد و سودآوری شرکت به تقاضای یک محصول</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آسیب‌پذیری ساختاری ناشی از تمرکز بر محصول واحد</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۴٫۴۳</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۶</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نبود امکان جبران افت فروش از محل سایر اقلام سبد محصول</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آسیب‌پذیری ساختاری ناشی از تمرکز بر محصول واحد</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۴٫۴۳</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۶</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هزینه بالای پخش و توزیع به ازای یک قلم کالا</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ناکارآمدی و هزینه‌بری شبکه توزیع و فروش</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۴٫۴۳</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کاهش انعطاف‌پذیری و کندی واکنش شرکت به تغییرات بازار</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آسیب‌پذیری ساختاری ناشی از تمرکز بر محصول واحد</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۴٫۰۰</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ضعف در برندسازی و تبلیغات و کمرنگ بودن جایگاه برند در ذهن مشتری</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ضعف برندسازی و دشواری تمایز محصول</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۴٫۰۰</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دشواری ایجاد تمایز نسبت به محصولات رقیب</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ضعف برندسازی و دشواری تمایز محصول</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۴٫۰۰</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دشواری جذب مشتری جدید</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دشواری جذب و حفظ مشتری و وفاداری پایین</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۴٫۰۰</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وفاداری پایین مشتری به شرکت تک‌محصولی</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دشواری جذب و حفظ مشتری و وفاداری پایین</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۴٫۰۰</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ضعف در پیش‌بینی دقیق تقاضای بازار</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ضعف در برنامه‌ریزی، پیش‌بینی و مدیریت فروش</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۴٫۰۰</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ضعف در برنامه‌ریزی و مدیریت موجودی</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ضعف در برنامه‌ریزی، پیش‌بینی و مدیریت فروش</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۴٫۰۰</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محدودیت منابع مالی برای توزیع و ترویج محصول</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ضعف در برنامه‌ریزی، پیش‌بینی و مدیریت فروش</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۴٫۰۰</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کوچک بودن شبکه فروش و پوشش محدود بازار</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ناکارآمدی و هزینه‌بری شبکه توزیع و فروش</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۴٫۰۰</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کاهش قدرت چانه‌زنی در برابر شبکه توزیع و خرده‌فروشی چندمحصولی</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ناکارآمدی و هزینه‌بری شبکه توزیع و فروش</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۴٫۰۰</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وابستگی به تعداد محدودی مشتری یا کانال فروش</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ناکارآمدی و هزینه‌بری شبکه توزیع و فروش</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۴٫۰۰</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حضور محصولات جایگزین و برندهای رقیب دارای سبد متنوع</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شدت رقابت و فشار قیمتی بازار</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۴٫۰۰</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رقابت قیمتی و نوسان قیمت رقبا</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شدت رقابت و فشار قیمتی بازار</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۴٫۰۰</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افت ناگهانی تقاضا</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تغییر ذائقه مصرف‌کننده و محدودیت بازار هدف</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۴٫۰۰</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وابستگی تأمین به واردات و اثر تحریم و محدودیت‌های اقتصادی</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ناپایداری تأمین و نوسان بهای مواد اولیه</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۴٫۰۰</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ناپیوستگی عرضه و کسری محصول در بازار</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ناپایداری تأمین و نوسان بهای مواد اولیه</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۴٫۰۰</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کاهش قدرت خرید و مشکلات اقتصادی مصرف‌کننده</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فشارهای اقتصاد کلان و کاهش قدرت خرید</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۴٫۰۰</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۲۶</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نبود پیشنهاد تازه برای حفظ و فعال‌سازی مجدد مشتریان فعلی</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دشواری جذب و حفظ مشتری و وفاداری پایین</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۳٫۴۳</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۲۷</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نبود نوآوری و توسعه محصول</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ضعف برندسازی و دشواری تمایز محصول</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۳٫۱۴</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۲۷</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کم‌توجهی به تحقیقات بازار و مطالعه رفتار مصرف‌کننده</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ضعف برندسازی و دشواری تمایز محصول</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۳٫۱۴</w:t>
            </w:r>
          </w:p>
        </w:tc>
      </w:tr>
      <w:tr>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۲۷</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ضعف در نظام برنامه‌ریزی و اطلاعات فروش</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ضعف در برنامه‌ریزی، پیش‌بینی و مدیریت فروش</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۳٫۱۴</w:t>
            </w:r>
          </w:p>
        </w:tc>
      </w:tr>
    </w:tbl>
    <w:p>
      <w:pPr>
        <w:bidi/>
        <w:jc w:val="both"/>
      </w:pPr>
    </w:p>
    <w:p>
      <w:pPr>
        <w:bidi/>
        <w:spacing w:after="80"/>
        <w:ind w:firstLine="720"/>
        <w:jc w:val="both"/>
      </w:pPr>
      <w:r>
        <w:rPr>
          <w:rtl/>
        </w:rPr>
        <w:t xml:space="preserve">همان‌گونه که جدول ۴-۱۴ نشان می‌دهد، دو گویه «ورود رقبای جدید و افزایش شدت رقابت» و «افزایش بهای تمام‌شده و فشار بر حاشیه سود» با میانگین ۵٫۰۰ در رتبه نخست قرار دارند؛ پس از آن‌ها گویه «تغییر سریع ذائقه و ترجیحات مصرف‌کننده در گذر زمان» (۴٫۷۱) و دو گویه «محدود بودن بازار هدف به یک گروه خاص از مشتریان» و «نوسان و کمبود در تأمین مواد اولیه» (هر دو ۴٫۵۷) آمده‌اند. هر پنج گویه‌ای که میانگین آن‌ها دست‌کم ۴٫۵۷ است، به مؤلفه‌های برون‌سازمانی تعلق دارند. در سوی دیگر، گویه‌های «نبود نوآوری و توسعه محصول»، «کم‌توجهی به تحقیقات بازار و مطالعه رفتار مصرف‌کننده» و «ضعف در نظام برنامه‌ریزی و اطلاعات فروش» با میانگین ۳٫۱۴ در پایین‌ترین رتبه جای دارند و هر سه درون‌سازمانی‌اند. هفده گویه نیز میانگین دقیقاً ۴٫۰۰ و انحراف معیار صفر دارند؛ یعنی هر هفت عضو پانل به آن‌ها امتیاز ۴ داده‌اند و از این رو میان این گویه‌ها تمایز رتبه‌ای وجود ندارد.</w:t>
      </w:r>
    </w:p>
    <w:p>
      <w:pPr>
        <w:pStyle w:val="Heading3"/>
        <w:keepNext/>
        <w:bidi/>
        <w:spacing w:before="240" w:after="80"/>
      </w:pPr>
      <w:bookmarkStart w:id="72" w:name="_Toc200000072"/>
      <w:r>
        <w:t xml:space="preserve">۴ـ۶ـ۱ وزن‌دهی و رتبه‌بندی به روش AHP</w:t>
      </w:r>
      <w:bookmarkEnd w:id="72"/>
    </w:p>
    <w:p>
      <w:pPr>
        <w:bidi/>
        <w:spacing w:after="80"/>
        <w:ind w:firstLine="720"/>
        <w:jc w:val="both"/>
      </w:pPr>
      <w:r>
        <w:rPr>
          <w:rtl/>
        </w:rPr>
        <w:t xml:space="preserve">وزن‌دهی و رتبه‌بندی با روش فرایند تحلیل سلسله‌مراتبی (</w:t>
      </w:r>
      <w:r>
        <w:rPr>
          <w:rFonts w:ascii="Times New Roman" w:hAnsi="Times New Roman" w:cs="Times New Roman" w:eastAsia="Times New Roman"/>
          <w:sz w:val="26"/>
          <w:szCs w:val="26"/>
        </w:rPr>
        <w:t xml:space="preserve">AHP</w:t>
      </w:r>
      <w:r>
        <w:rPr>
          <w:rtl/>
        </w:rPr>
        <w:t xml:space="preserve">) انجام شد (ساعتی، ۱۹۸۰)</w:t>
      </w:r>
      <w:r>
        <w:rPr>
          <w:rStyle w:val="FootnoteReference"/>
        </w:rPr>
        <w:footnoteReference w:id="114"/>
      </w:r>
      <w:r>
        <w:rPr>
          <w:rtl/>
        </w:rPr>
        <w:t xml:space="preserve">. سلسله‌مراتب تصمیم در سه سطح تعریف شد: هدف، که شناسایی و اولویت‌بندی چالش‌های فروش است؛ نُه مؤلفه؛ و ۲۹ گویه زیر هر مؤلفه. وزن‌ها بدون محاسبه‌ی مقایسه‌های زوجی و مستقیماً از میانگین امتیاز هر گویه در دور سوم به دست آمدند.</w:t>
      </w:r>
    </w:p>
    <w:p>
      <w:pPr>
        <w:bidi/>
        <w:spacing w:after="80"/>
        <w:ind w:firstLine="720"/>
        <w:jc w:val="both"/>
      </w:pPr>
      <w:r>
        <w:rPr>
          <w:rtl/>
        </w:rPr>
        <w:t xml:space="preserve">وزن هر مؤلفه برابر است با سهم میانگین آن از مجموع میانگین‌های نُه مؤلفه. وزن محلی هر گویه برابر است با سهم میانگین آن از مجموع میانگین‌های گویه‌های همان مؤلفه، و وزن سراسری گویه حاصل ضرب وزن مؤلفه در وزن محلی آن است؛ مجموع وزن‌های سراسری ۲۹ گویه برابر یک است. جدول ۴-۱۵ وزن و رتبه مؤلفه‌ها و جدول ۴-۱۶ وزن سراسری گویه‌ها را نشان می‌دهد.</w:t>
      </w:r>
    </w:p>
    <w:p>
      <w:pPr>
        <w:pStyle w:val="TableCaption"/>
        <w:keepNext/>
        <w:spacing w:before="160" w:after="80"/>
        <w:jc w:val="center"/>
        <w:rPr>
          <w:vanish/>
        </w:rPr>
      </w:pPr>
      <w:bookmarkStart w:id="73" w:name="_Toc200000073"/>
      <w:r>
        <w:fldChar w:fldCharType="begin"/>
      </w:r>
      <w:r>
        <w:instrText xml:space="preserve"> TC "جدول ۴-۱۵ وزن AHP و رتبه‌بندی مؤلفه‌های چالش فروش" \f T \l 4 </w:instrText>
      </w:r>
      <w:r>
        <w:fldChar w:fldCharType="end"/>
      </w:r>
      <w:r>
        <w:t xml:space="preserve">جدول ۴-۱۵ وزن AHP و رتبه‌بندی مؤلفه‌های چالش فروش (منبع: یافته‌های پژوهش)</w:t>
      </w:r>
      <w:bookmarkEnd w:id="73"/>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900"/>
        <w:gridCol w:w="4888"/>
        <w:gridCol w:w="1500"/>
        <w:gridCol w:w="1500"/>
      </w:tblGrid>
      <w:tr>
        <w:trPr>
          <w:cantSplit/>
          <w:tblHeader/>
        </w:trPr>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0"/>
                <w:szCs w:val="20"/>
                <w:rtl/>
              </w:rPr>
              <w:t xml:space="preserve">رتبه</w:t>
            </w:r>
          </w:p>
        </w:tc>
        <w:tc>
          <w:tcPr>
            <w:tcW w:w="48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b/>
                <w:bCs/>
                <w:sz w:val="20"/>
                <w:szCs w:val="20"/>
                <w:rtl/>
              </w:rPr>
              <w:t xml:space="preserve">مؤلفه</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0"/>
                <w:szCs w:val="20"/>
                <w:rtl/>
              </w:rPr>
              <w:t xml:space="preserve">میانگین امتیاز (دور سوم)</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0"/>
                <w:szCs w:val="20"/>
                <w:rtl/>
              </w:rPr>
              <w:t xml:space="preserve">وزن </w:t>
            </w:r>
            <w:r>
              <w:rPr>
                <w:rFonts w:ascii="Times New Roman" w:hAnsi="Times New Roman" w:cs="Times New Roman" w:eastAsia="Times New Roman"/>
                <w:b/>
                <w:bCs/>
                <w:sz w:val="20"/>
                <w:szCs w:val="20"/>
              </w:rPr>
              <w:t xml:space="preserve">AHP</w:t>
            </w:r>
          </w:p>
        </w:tc>
      </w:tr>
      <w:tr>
        <w:trPr>
          <w:cantSplit/>
        </w:trPr>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w:t>
            </w:r>
          </w:p>
        </w:tc>
        <w:tc>
          <w:tcPr>
            <w:tcW w:w="48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0"/>
                <w:szCs w:val="20"/>
                <w:rtl/>
              </w:rPr>
              <w:t xml:space="preserve">فشارهای اقتصاد کلان و کاهش قدرت خرید</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۴٫۵۰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۰٫۱۲۲</w:t>
            </w:r>
          </w:p>
        </w:tc>
      </w:tr>
      <w:tr>
        <w:trPr>
          <w:cantSplit/>
        </w:trPr>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w:t>
            </w:r>
          </w:p>
        </w:tc>
        <w:tc>
          <w:tcPr>
            <w:tcW w:w="48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0"/>
                <w:szCs w:val="20"/>
                <w:rtl/>
              </w:rPr>
              <w:t xml:space="preserve">تغییر ذائقه مصرف‌کننده و محدودیت بازار هدف</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۴٫۴۳</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۰٫۱۲۰</w:t>
            </w:r>
          </w:p>
        </w:tc>
      </w:tr>
      <w:tr>
        <w:trPr>
          <w:cantSplit/>
        </w:trPr>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w:t>
            </w:r>
          </w:p>
        </w:tc>
        <w:tc>
          <w:tcPr>
            <w:tcW w:w="48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0"/>
                <w:szCs w:val="20"/>
                <w:rtl/>
              </w:rPr>
              <w:t xml:space="preserve">شدت رقابت و فشار قیمتی بازار</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۴٫۳۳</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۰٫۱۱۷</w:t>
            </w:r>
          </w:p>
        </w:tc>
      </w:tr>
      <w:tr>
        <w:trPr>
          <w:cantSplit/>
        </w:trPr>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w:t>
            </w:r>
          </w:p>
        </w:tc>
        <w:tc>
          <w:tcPr>
            <w:tcW w:w="48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0"/>
                <w:szCs w:val="20"/>
                <w:rtl/>
              </w:rPr>
              <w:t xml:space="preserve">آسیب‌پذیری ساختاری ناشی از تمرکز بر محصول واحد</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۴٫۲۹</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۰٫۱۱۶</w:t>
            </w:r>
          </w:p>
        </w:tc>
      </w:tr>
      <w:tr>
        <w:trPr>
          <w:cantSplit/>
        </w:trPr>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۵</w:t>
            </w:r>
          </w:p>
        </w:tc>
        <w:tc>
          <w:tcPr>
            <w:tcW w:w="48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0"/>
                <w:szCs w:val="20"/>
                <w:rtl/>
              </w:rPr>
              <w:t xml:space="preserve">ناپایداری تأمین و نوسان بهای مواد اولیه</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۴٫۱۹</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۰٫۱۱۳</w:t>
            </w:r>
          </w:p>
        </w:tc>
      </w:tr>
      <w:tr>
        <w:trPr>
          <w:cantSplit/>
        </w:trPr>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۶</w:t>
            </w:r>
          </w:p>
        </w:tc>
        <w:tc>
          <w:tcPr>
            <w:tcW w:w="48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0"/>
                <w:szCs w:val="20"/>
                <w:rtl/>
              </w:rPr>
              <w:t xml:space="preserve">ناکارآمدی و هزینه‌بری شبکه توزیع و فروش</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۴٫۱۱</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۰٫۱۱۱</w:t>
            </w:r>
          </w:p>
        </w:tc>
      </w:tr>
      <w:tr>
        <w:trPr>
          <w:cantSplit/>
        </w:trPr>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۷</w:t>
            </w:r>
          </w:p>
        </w:tc>
        <w:tc>
          <w:tcPr>
            <w:tcW w:w="48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0"/>
                <w:szCs w:val="20"/>
                <w:rtl/>
              </w:rPr>
              <w:t xml:space="preserve">دشواری جذب و حفظ مشتری و وفاداری پایین</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۳٫۸۱</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۰٫۱۰۳</w:t>
            </w:r>
          </w:p>
        </w:tc>
      </w:tr>
      <w:tr>
        <w:trPr>
          <w:cantSplit/>
        </w:trPr>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۸</w:t>
            </w:r>
          </w:p>
        </w:tc>
        <w:tc>
          <w:tcPr>
            <w:tcW w:w="48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0"/>
                <w:szCs w:val="20"/>
                <w:rtl/>
              </w:rPr>
              <w:t xml:space="preserve">ضعف در برنامه‌ریزی، پیش‌بینی و مدیریت فروش</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۳٫۷۹</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۰٫۱۰۲</w:t>
            </w:r>
          </w:p>
        </w:tc>
      </w:tr>
      <w:tr>
        <w:trPr>
          <w:cantSplit/>
        </w:trPr>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۹</w:t>
            </w:r>
          </w:p>
        </w:tc>
        <w:tc>
          <w:tcPr>
            <w:tcW w:w="48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0"/>
                <w:szCs w:val="20"/>
                <w:rtl/>
              </w:rPr>
              <w:t xml:space="preserve">ضعف برندسازی و دشواری تمایز محصول</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۳٫۵۷</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۰٫۰۹۶</w:t>
            </w:r>
          </w:p>
        </w:tc>
      </w:tr>
    </w:tbl>
    <w:p>
      <w:pPr>
        <w:bidi/>
        <w:spacing w:after="80"/>
        <w:ind w:firstLine="720"/>
        <w:jc w:val="both"/>
      </w:pPr>
      <w:r>
        <w:rPr>
          <w:rtl/>
        </w:rPr>
        <w:t xml:space="preserve">ترتیب مؤلفه‌ها بر پایه وزن </w:t>
      </w:r>
      <w:r>
        <w:rPr>
          <w:rFonts w:ascii="Times New Roman" w:hAnsi="Times New Roman" w:cs="Times New Roman" w:eastAsia="Times New Roman"/>
          <w:sz w:val="26"/>
          <w:szCs w:val="26"/>
        </w:rPr>
        <w:t xml:space="preserve">AHP</w:t>
      </w:r>
      <w:r>
        <w:rPr>
          <w:rtl/>
        </w:rPr>
        <w:t xml:space="preserve"> با ترتیب بر پایه میانگین امتیاز دور سوم یکسان است، زیرا وزن هر مؤلفه با میانگین آن متناسب است (جدول ۴-۱۵).</w:t>
      </w:r>
    </w:p>
    <w:p>
      <w:pPr>
        <w:pStyle w:val="TableCaption"/>
        <w:keepNext/>
        <w:spacing w:before="160" w:after="80"/>
        <w:jc w:val="center"/>
        <w:rPr>
          <w:vanish/>
        </w:rPr>
      </w:pPr>
      <w:bookmarkStart w:id="74" w:name="_Toc200000074"/>
      <w:r>
        <w:fldChar w:fldCharType="begin"/>
      </w:r>
      <w:r>
        <w:instrText xml:space="preserve"> TC "جدول ۴-۱۶ وزن AHP سراسری و رتبه‌بندی گویه‌های چالش فروش" \f T \l 4 </w:instrText>
      </w:r>
      <w:r>
        <w:fldChar w:fldCharType="end"/>
      </w:r>
      <w:r>
        <w:t xml:space="preserve">جدول ۴-۱۶ وزن AHP سراسری و رتبه‌بندی گویه‌های چالش فروش (منبع: یافته‌های پژوهش)</w:t>
      </w:r>
      <w:bookmarkEnd w:id="74"/>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700"/>
        <w:gridCol w:w="3300"/>
        <w:gridCol w:w="2200"/>
        <w:gridCol w:w="900"/>
        <w:gridCol w:w="1000"/>
        <w:gridCol w:w="688"/>
      </w:tblGrid>
      <w:tr>
        <w:trPr>
          <w:cantSplit/>
          <w:tblHeader/>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18"/>
                <w:szCs w:val="18"/>
                <w:rtl/>
              </w:rPr>
              <w:t xml:space="preserve">رتبه</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b/>
                <w:bCs/>
                <w:sz w:val="18"/>
                <w:szCs w:val="18"/>
                <w:rtl/>
              </w:rPr>
              <w:t xml:space="preserve">گویه</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b/>
                <w:bCs/>
                <w:sz w:val="18"/>
                <w:szCs w:val="18"/>
                <w:rtl/>
              </w:rPr>
              <w:t xml:space="preserve">مؤلفه</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18"/>
                <w:szCs w:val="18"/>
                <w:rtl/>
              </w:rPr>
              <w:t xml:space="preserve">وزن محلی</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18"/>
                <w:szCs w:val="18"/>
                <w:rtl/>
              </w:rPr>
              <w:t xml:space="preserve">وزن سراسری</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18"/>
                <w:szCs w:val="18"/>
                <w:rtl/>
              </w:rPr>
              <w:t xml:space="preserve">میانگین (دور سوم)</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افزایش بهای تمام‌شده و فشار بر حاشیه سود</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فشارهای اقتصاد کلان و کاهش قدرت خرید</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۰٫۵۵۶</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۰٫۰۶۷۵</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۵٫۰۰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۲</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کاهش قدرت خرید و مشکلات اقتصادی مصرف‌کننده</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فشارهای اقتصاد کلان و کاهش قدرت خرید</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۰٫۴۴۴</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۰٫۰۵۴۰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۳</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ورود رقبای جدید و افزایش شدت رقابت</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شدت رقابت و فشار قیمتی بازار</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۰٫۳۸۵</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۰٫۰۴۵۰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۵٫۰۰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تغییر سریع ذائقه و ترجیحات مصرف‌کننده در گذر زمان</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تغییر ذائقه مصرف‌کننده و محدودیت بازار هدف</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۰٫۳۵۵</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۰٫۰۴۲۵</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۴٫۷۱</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۵</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محدود بودن بازار هدف به یک گروه خاص از مشتریان</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تغییر ذائقه مصرف‌کننده و محدودیت بازار هدف</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۰٫۳۴۴</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۰٫۰۴۱۲</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۴٫۵۷</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۵</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نوسان و کمبود در تأمین مواد اولیه</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ناپایداری تأمین و نوسان بهای مواد اولیه</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۰٫۳۶۴</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۰٫۰۴۱۲</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۴٫۵۷</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۷</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وابستگی کامل درآمد و سودآوری شرکت به تقاضای یک محصول</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آسیب‌پذیری ساختاری ناشی از تمرکز بر محصول واحد</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۰٫۳۴۴</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۰٫۰۳۹۹</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۴٫۴۳</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۷</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نبود امکان جبران افت فروش از محل سایر اقلام سبد محصول</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آسیب‌پذیری ساختاری ناشی از تمرکز بر محصول واحد</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۰٫۳۴۴</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۰٫۰۳۹۹</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۴٫۴۳</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کاهش انعطاف‌پذیری و کندی واکنش شرکت به تغییرات بازار</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آسیب‌پذیری ساختاری ناشی از تمرکز بر محصول واحد</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۰٫۳۱۱</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۰٫۰۳۶۰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دشواری جذب مشتری جدید</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دشواری جذب و حفظ مشتری و وفاداری پایین</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۰٫۳۵۰</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۰٫۰۳۶۰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وفاداری پایین مشتری به شرکت تک‌محصولی</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دشواری جذب و حفظ مشتری و وفاداری پایین</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۰٫۳۵۰</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۰٫۰۳۶۰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حضور محصولات جایگزین و برندهای رقیب دارای سبد متنوع</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شدت رقابت و فشار قیمتی بازار</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۰٫۳۰۸</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۰٫۰۳۶۰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رقابت قیمتی و نوسان قیمت رقبا</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شدت رقابت و فشار قیمتی بازار</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۰٫۳۰۸</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۰٫۰۳۶۰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افت ناگهانی تقاضا</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تغییر ذائقه مصرف‌کننده و محدودیت بازار هدف</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۰٫۳۰۱</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۰٫۰۳۶۰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وابستگی تأمین به واردات و اثر تحریم و محدودیت‌های اقتصادی</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ناپایداری تأمین و نوسان بهای مواد اولیه</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۰٫۳۱۸</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۰٫۰۳۶۰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ناپیوستگی عرضه و کسری محصول در بازار</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ناپایداری تأمین و نوسان بهای مواد اولیه</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۰٫۳۱۸</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۰٫۰۳۶۰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۱۷</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نبود پیشنهاد تازه برای حفظ و فعال‌سازی مجدد مشتریان فعلی</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دشواری جذب و حفظ مشتری و وفاداری پایین</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۰٫۳۰۰</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۰٫۰۳۰۹</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۳٫۴۳</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۱۸</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هزینه بالای پخش و توزیع به ازای یک قلم کالا</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ناکارآمدی و هزینه‌بری شبکه توزیع و فروش</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۰٫۲۷۰</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۰٫۰۲۹۹</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۴٫۴۳</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در برندسازی و تبلیغات و کمرنگ بودن جایگاه برند در ذهن مشتری</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برندسازی و دشواری تمایز محصول</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۰٫۲۸۰</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۰٫۰۲۷۰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دشواری ایجاد تمایز نسبت به محصولات رقیب</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برندسازی و دشواری تمایز محصول</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۰٫۲۸۰</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۰٫۰۲۷۰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در پیش‌بینی دقیق تقاضای بازار</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در برنامه‌ریزی، پیش‌بینی و مدیریت فروش</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۰٫۲۶۴</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۰٫۰۲۷۰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در برنامه‌ریزی و مدیریت موجودی</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در برنامه‌ریزی، پیش‌بینی و مدیریت فروش</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۰٫۲۶۴</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۰٫۰۲۷۰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محدودیت منابع مالی برای توزیع و ترویج محصول</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در برنامه‌ریزی، پیش‌بینی و مدیریت فروش</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۰٫۲۶۴</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۰٫۰۲۷۰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کوچک بودن شبکه فروش و پوشش محدود بازار</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ناکارآمدی و هزینه‌بری شبکه توزیع و فروش</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۰٫۲۴۳</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۰٫۰۲۷۰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کاهش قدرت چانه‌زنی در برابر شبکه توزیع و خرده‌فروشی چندمحصولی</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ناکارآمدی و هزینه‌بری شبکه توزیع و فروش</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۰٫۲۴۳</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۰٫۰۲۷۰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وابستگی به تعداد محدودی مشتری یا کانال فروش</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ناکارآمدی و هزینه‌بری شبکه توزیع و فروش</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۰٫۲۴۳</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۰٫۰۲۷۰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۲۷</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نبود نوآوری و توسعه محصول</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برندسازی و دشواری تمایز محصول</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۰٫۲۲۰</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۰٫۰۲۱۲</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۳٫۱۴</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۲۷</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کم‌توجهی به تحقیقات بازار و مطالعه رفتار مصرف‌کننده</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برندسازی و دشواری تمایز محصول</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۰٫۲۲۰</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۰٫۰۲۱۲</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۳٫۱۴</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۲۷</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در نظام برنامه‌ریزی و اطلاعات فروش</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در برنامه‌ریزی، پیش‌بینی و مدیریت فروش</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۰٫۲۰۸</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۰٫۰۲۱۲</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۳٫۱۴</w:t>
            </w:r>
          </w:p>
        </w:tc>
      </w:tr>
    </w:tbl>
    <w:p>
      <w:pPr>
        <w:bidi/>
        <w:spacing w:after="80"/>
        <w:ind w:firstLine="720"/>
        <w:jc w:val="both"/>
      </w:pPr>
      <w:r>
        <w:rPr>
          <w:rtl/>
        </w:rPr>
        <w:t xml:space="preserve">در سطح گویه، وزن سراسری هر گویه به وزن مؤلفه‌اش و سهم محلی آن در مؤلفه بستگی دارد (جدول ۴-۱۶). گویه‌هایی که وزن سراسری یکسان دارند رتبه مشترک می‌گیرند و شماره رتبه گویه بعدی به اندازه شمار همین گویه‌ها بیشتر می‌شود. به‌طور معمول، گویه‌های مؤلفه‌هایی با شمار گویه کمتر وزن محلی بیشتری می‌گیرند؛ برای نمونه، گویه «کاهش قدرت خرید و مشکلات اقتصادی مصرف‌کننده» (میانگین ۴٫۰۰)، که یکی از دو گویه مؤلفه «فشارهای اقتصاد کلان و کاهش قدرت خرید» است، در رتبه دوم وزن سراسری قرار گرفت. این نتیجه ویژگی ساختاری روش است و نشانه امتیاز بالاتر این گویه در پاسخ اعضا نیست؛ از این رو تفسیر اصلی بر پایه رتبه مؤلفه‌ها و میانگین گویه‌ها انجام می‌شود. بیشترین وزن‌های سراسری به گویه‌های «افزایش بهای تمام‌شده و فشار بر حاشیه سود» (۰٫۰۶۷۵)، «کاهش قدرت خرید و مشکلات اقتصادی مصرف‌کننده» (۰٫۰۵۴۰) و «ورود رقبای جدید و افزایش شدت رقابت» (۰٫۰۴۵۰) تعلق گرفت.</w:t>
      </w:r>
    </w:p>
    <w:p>
      <w:pPr>
        <w:pStyle w:val="Heading2"/>
        <w:keepNext/>
        <w:bidi/>
        <w:spacing w:before="240" w:after="80"/>
      </w:pPr>
      <w:bookmarkStart w:id="75" w:name="_Toc200000075"/>
      <w:r>
        <w:t xml:space="preserve">۴ـ۷ جمع‌بندی فصل</w:t>
      </w:r>
      <w:bookmarkEnd w:id="75"/>
    </w:p>
    <w:p>
      <w:pPr>
        <w:bidi/>
        <w:spacing w:after="80"/>
        <w:ind w:firstLine="720"/>
        <w:jc w:val="both"/>
        <w:sectPr>
          <w:footerReference w:type="default" r:id="rId6"/>
          <w:footerReference w:type="first" r:id="rId5"/>
          <w:pgSz w:w="11906" w:h="16838"/>
          <w:pgMar w:top="1701" w:right="1701" w:bottom="1417" w:left="1417" w:header="709" w:footer="709" w:gutter="0"/>
          <w:pgNumType w:fmt="decimal"/>
          <w:cols w:space="720"/>
          <w:titlePg/>
          <w:docGrid w:linePitch="360"/>
        </w:sectPr>
      </w:pPr>
      <w:r>
        <w:rPr>
          <w:rtl/>
        </w:rPr>
        <w:t xml:space="preserve">این فصل، یافته‌های حاصل از اجرای کامل فرایند دلفی سه‌دوره‌ای با پانل هفت نفره خبرگان صنعت مواد غذایی را ارائه کرد: ترکیب جمعیت‌شناختی پانل؛ فهرست بیست‌ونه گویه و نُه مؤلفه چالش فروش برگرفته از دور نخست؛ و </w:t>
      </w:r>
      <w:r>
        <w:rPr>
          <w:rtl/>
        </w:rPr>
        <w:t xml:space="preserve">آمار توصیفی و استنباطی دورهای دوم و سوم</w:t>
      </w:r>
      <w:r>
        <w:rPr>
          <w:rtl/>
        </w:rPr>
        <w:t xml:space="preserve">. ضریب هماهنگی کندال از دور دوم (</w:t>
      </w:r>
      <w:r>
        <w:rPr>
          <w:rFonts w:ascii="Times New Roman" w:hAnsi="Times New Roman" w:cs="Times New Roman" w:eastAsia="Times New Roman"/>
          <w:i/>
          <w:iCs/>
          <w:sz w:val="26"/>
          <w:szCs w:val="26"/>
        </w:rPr>
        <w:t xml:space="preserve">W</w:t>
      </w:r>
      <w:r>
        <w:rPr>
          <w:rtl/>
        </w:rPr>
        <w:t xml:space="preserve">=۰٫۲۲۴) به دور سوم (</w:t>
      </w:r>
      <w:r>
        <w:rPr>
          <w:rFonts w:ascii="Times New Roman" w:hAnsi="Times New Roman" w:cs="Times New Roman" w:eastAsia="Times New Roman"/>
          <w:i/>
          <w:iCs/>
          <w:sz w:val="26"/>
          <w:szCs w:val="26"/>
        </w:rPr>
        <w:t xml:space="preserve">W</w:t>
      </w:r>
      <w:r>
        <w:rPr>
          <w:rtl/>
        </w:rPr>
        <w:t xml:space="preserve">=۰٫۷۵۶) </w:t>
      </w:r>
      <w:r>
        <w:rPr>
          <w:rtl/>
        </w:rPr>
        <w:t xml:space="preserve">افزایش چشمگیری یافت که اثربخشی بازخورد</w:t>
      </w:r>
      <w:r>
        <w:rPr>
          <w:rtl/>
        </w:rPr>
        <w:t xml:space="preserve"> کنترل‌شده را در نزدیک‌تر کردن دیدگاه پانل نشان داد و با آن همسو، میانگین انحراف معیار گویه‌ها از ۰٫۷۳ در دور دوم به ۰٫۱۷ در دور سوم کاهش یافت؛ همبستگی رتبه‌ای بالا و معنادار میان دو دور (</w:t>
      </w:r>
      <w:r>
        <w:rPr>
          <w:rFonts w:ascii="Times New Roman" w:hAnsi="Times New Roman" w:cs="Times New Roman" w:eastAsia="Times New Roman"/>
          <w:i/>
          <w:iCs/>
          <w:sz w:val="26"/>
          <w:szCs w:val="26"/>
        </w:rPr>
        <w:t xml:space="preserve">rho</w:t>
      </w:r>
      <w:r>
        <w:rPr>
          <w:rtl/>
        </w:rPr>
        <w:t xml:space="preserve">=۰٫۸۴۷ در سطح گویه و </w:t>
      </w:r>
      <w:r>
        <w:rPr>
          <w:rFonts w:ascii="Times New Roman" w:hAnsi="Times New Roman" w:cs="Times New Roman" w:eastAsia="Times New Roman"/>
          <w:i/>
          <w:iCs/>
          <w:sz w:val="26"/>
          <w:szCs w:val="26"/>
        </w:rPr>
        <w:t xml:space="preserve">rho</w:t>
      </w:r>
      <w:r>
        <w:rPr>
          <w:rtl/>
        </w:rPr>
        <w:t xml:space="preserve">=۰٫۸۳۳ در سطح مؤلفه) نیز نشان داد فرایند به ثبات رسیده است. </w:t>
      </w:r>
      <w:r>
        <w:rPr>
          <w:rtl/>
        </w:rPr>
        <w:t xml:space="preserve">بر این پایه،</w:t>
      </w:r>
      <w:r>
        <w:rPr>
          <w:rtl/>
        </w:rPr>
        <w:t xml:space="preserve"> رتبه‌بندی نهایی مؤلفه‌ها (جدول ۴-۱۳) و گویه‌های چالش فروش (جدول ۴-۱۴) به دست آمد؛ بر اساس این رتبه‌بندی، هر چهار مؤلفه برون‌سازمانی </w:t>
      </w:r>
      <w:r>
        <w:rPr>
          <w:rtl/>
        </w:rPr>
        <w:t xml:space="preserve">در پنج رتبه نخست جای گرفتند؛ سپس وزن‌های </w:t>
      </w:r>
      <w:r>
        <w:rPr>
          <w:rFonts w:ascii="Times New Roman" w:hAnsi="Times New Roman" w:cs="Times New Roman" w:eastAsia="Times New Roman"/>
          <w:sz w:val="26"/>
          <w:szCs w:val="26"/>
        </w:rPr>
        <w:t xml:space="preserve">AHP</w:t>
      </w:r>
      <w:r>
        <w:rPr>
          <w:rtl/>
        </w:rPr>
        <w:t xml:space="preserve"> مؤلفه‌ها و گویه‌ها محاسبه شد (جدول ۴-۱۵ و جدول ۴-۱۶)؛ بیشترین وزن مؤلفه به «فشارهای اقتصاد کلان و کاهش قدرت خرید» (۰٫۱۲۲) و بیشترین وزن گویه به «افزایش بهای تمام‌شده و فشار بر حاشیه سود» (۰٫۰۶۷۵) تعلق گرفت</w:t>
      </w:r>
      <w:r>
        <w:rPr>
          <w:rtl/>
        </w:rPr>
        <w:t xml:space="preserve">. تحلیل و تفسیر عمیق‌تر این یافته‌ها، مقایسه آن‌ها با فهرست چالش‌های برگرفته از ادبیات نظری فصل دوم (جدول ۲-۱)، و ارائه پیشنهادهای کاربردی و پژوهشی بر این اساس، موضوع فصل پنجم این پژوهش خواهد بود.</w:t>
      </w:r>
    </w:p>
    <w:tbl>
      <w:tblPr>
        <w:tblW w:w="8788" w:type="dxa"/>
        <w:tblLayout w:type="fixed"/>
        <w:tblLook w:val="0000"/>
      </w:tblPr>
      <w:tblGrid>
        <w:gridCol w:w="8788"/>
      </w:tblGrid>
      <w:tr>
        <w:trPr>
          <w:cantSplit/>
          <w:trHeight w:val="12000" w:hRule="exact"/>
        </w:trPr>
        <w:tc>
          <w:tcPr>
            <w:tcW w:w="8788" w:type="dxa"/>
            <w:vAlign w:val="center"/>
          </w:tcPr>
          <w:p>
            <w:pPr>
              <w:pStyle w:val="Heading1"/>
              <w:bidi/>
              <w:jc w:val="center"/>
            </w:pPr>
            <w:bookmarkStart w:id="76" w:name="_Toc200000076"/>
            <w:r>
              <w:rPr>
                <w:rtl/>
              </w:rPr>
              <w:t xml:space="preserve">فصل پنجم: بحث و نتیجه‌گیری</w:t>
            </w:r>
            <w:bookmarkEnd w:id="76"/>
          </w:p>
        </w:tc>
      </w:tr>
    </w:tbl>
    <w:p>
      <w:pPr>
        <w:pStyle w:val="Heading2"/>
        <w:keepNext/>
        <w:pageBreakBefore/>
        <w:bidi/>
        <w:spacing w:before="240" w:after="80"/>
      </w:pPr>
      <w:bookmarkStart w:id="77" w:name="_Toc200000077"/>
      <w:r>
        <w:t>۵ـ۱ مقدمه</w:t>
      </w:r>
      <w:bookmarkEnd w:id="77"/>
    </w:p>
    <w:p>
      <w:pPr>
        <w:bidi/>
        <w:spacing w:after="80"/>
        <w:ind w:firstLine="720"/>
        <w:jc w:val="both"/>
      </w:pPr>
      <w:r>
        <w:rPr>
          <w:rtl/>
        </w:rPr>
        <w:t xml:space="preserve">پژوهش حاضر با هدف شناسایی و اولویت‌بندی چالش‌های فروش در شرکت‌های تک‌محصولی فعال در صنعت مواد غذایی، به روش دلفی و با پانل هفت‌نفره خبرگان اجرا شد. یافته‌های فصل چهارم تنها زمانی معنا می‌یابند که در برابر ادبیات موجود قرار گیرند و روشن شود کجا آن را تأیید می‌کنند، کجا از آن فاصله می‌گیرند و کجا چیزی بر آن می‌افزایند. این فصل با همین هدف تدوین شده است: نخست خلاصه‌ای از مسیر پژوهش مرور می‌شود؛ سپس یافته‌های مربوط به هر یک از دو پرسش پژوهش، </w:t>
      </w:r>
      <w:r>
        <w:rPr>
          <w:rtl/>
        </w:rPr>
        <w:t xml:space="preserve">همراه با شاخص‌های ثبات اجماع</w:t>
      </w:r>
      <w:r>
        <w:rPr>
          <w:rtl/>
        </w:rPr>
        <w:t xml:space="preserve">، تفسیر و با ادبیات فصل دوم مقایسه می‌گردد؛ و در پایان پیشنهادهای کاربردی، محدودیت‌های پژوهش و پیشنهادهایی برای پژوهش‌های آتی ارائه می‌شود.</w:t>
      </w:r>
    </w:p>
    <w:p>
      <w:pPr>
        <w:bidi/>
        <w:spacing w:after="80"/>
        <w:ind w:firstLine="720"/>
        <w:jc w:val="both"/>
      </w:pPr>
      <w:r>
        <w:rPr>
          <w:rtl/>
        </w:rPr>
        <w:t xml:space="preserve">سرتیترهای این فصل به ترتیب عبارت‌اند از: مروری بر خلاصه تحقیق (۵-۲)، بحث و نتیجه‌گیری (۵-۳) شامل بحث و نتیجه‌گیری درباره پرسش اول پژوهش (۵-۳-۱) و پرسش دوم پژوهش (۵-۳-۲)، پیشنهادات تحقیق (۵-۴)، محدودیت‌های پژوهش (۵-۵) و پیشنهادهایی برای پژوهش‌های آتی (۵-۶).</w:t>
      </w:r>
    </w:p>
    <w:p>
      <w:pPr>
        <w:pStyle w:val="Heading2"/>
        <w:keepNext/>
        <w:bidi/>
        <w:spacing w:before="240" w:after="80"/>
      </w:pPr>
      <w:bookmarkStart w:id="78" w:name="_Toc200000078"/>
      <w:r>
        <w:t>۵ـ۲ مروری بر خلاصه تحقیق</w:t>
      </w:r>
      <w:bookmarkEnd w:id="78"/>
    </w:p>
    <w:p>
      <w:pPr>
        <w:bidi/>
        <w:spacing w:after="80"/>
        <w:ind w:firstLine="720"/>
        <w:jc w:val="both"/>
      </w:pPr>
      <w:r>
        <w:rPr>
          <w:rtl/>
        </w:rPr>
        <w:t xml:space="preserve">مسئله‌ای که این پژوهش از آن آغاز شد، وضعیت خاص بنگاه‌هایی است که تمام درآمد خود را از یک محصول به دست می‌آورند. چنین بنگاهی، برخلاف رقیب چندمحصولی خود، سپری در برابر افت فروش ندارد و هر تکانه‌ای در بازار بدون واسطه به کل سازمان منتقل می‌شود. با وجود این حساسیت، مرور ادبیات نشان داد که چالش‌های فروش این دسته از بنگاه‌ها در صنعت مواد غذایی ایران به طور اختصاصی مطالعه نشده است.</w:t>
      </w:r>
    </w:p>
    <w:p>
      <w:pPr>
        <w:bidi/>
        <w:spacing w:after="80"/>
        <w:ind w:firstLine="720"/>
        <w:jc w:val="both"/>
      </w:pPr>
      <w:r>
        <w:rPr>
          <w:rtl/>
        </w:rPr>
        <w:t xml:space="preserve">برای پاسخ به این خلأ، پژوهشی اکتشافی با رویکرد آمیخته و به روش دلفی طراحی شد. پانل پژوهش را هفت خبره تشکیل می‌دادند، شامل یک عضو هیئت علمی، دو مدیر فروش، سه کارشناس فروش </w:t>
      </w:r>
      <w:r>
        <w:rPr>
          <w:rtl/>
        </w:rPr>
        <w:t xml:space="preserve">و یک مدیر برنامه‌ریزی تولید</w:t>
      </w:r>
      <w:r>
        <w:rPr>
          <w:rtl/>
        </w:rPr>
        <w:t xml:space="preserve">، که به روش نمونه‌گیری هدفمند قضاوتی انتخاب شدند. فرایند دلفی در سه دور اجرا شد. در دور نخست، از اعضا پرسشی باز درباره چالش‌های فروش بنگاه تک‌محصولی پرسیده شد. در دور دوم و سوم، هر عضو اهمیت گویه‌های برآمده از دور نخست را بر طیفی پنج‌درجه‌ای رتبه‌بندی کرد و در دور سوم، بازخورد ناشناس دور دوم را در اختیار داشت.</w:t>
      </w:r>
    </w:p>
    <w:p>
      <w:pPr>
        <w:bidi/>
        <w:spacing w:after="80"/>
        <w:ind w:firstLine="720"/>
        <w:jc w:val="both"/>
      </w:pPr>
      <w:r>
        <w:rPr>
          <w:rtl/>
        </w:rPr>
        <w:t xml:space="preserve">پاسخ‌های دور نخست به روش تحلیل مضمون کدگذاری شد و بیست‌ونه گویه در قالب نُه مؤلفه سامان یافت: پنج مؤلفه درون‌سازمانی با هجده گویه و چهار مؤلفه برون‌سازمانی با یازده گویه.</w:t>
      </w:r>
      <w:r>
        <w:rPr>
          <w:rtl/>
        </w:rPr>
        <w:t xml:space="preserve"> رتبه‌بندی نهایی در دو سطح گویه و مؤلفه، بر پایه میانگین امتیاز دور سوم و با روش </w:t>
      </w:r>
      <w:r>
        <w:rPr>
          <w:rFonts w:ascii="Times New Roman" w:hAnsi="Times New Roman" w:cs="Times New Roman" w:eastAsia="Times New Roman"/>
          <w:sz w:val="26"/>
          <w:szCs w:val="26"/>
        </w:rPr>
        <w:t xml:space="preserve">AHP</w:t>
      </w:r>
      <w:r>
        <w:rPr>
          <w:rtl/>
        </w:rPr>
        <w:t xml:space="preserve"> بدون محاسبه‌ی مقایسه‌های زوجی وزن‌دهی شد.</w:t>
      </w:r>
    </w:p>
    <w:p>
      <w:pPr>
        <w:bidi/>
        <w:spacing w:after="80"/>
        <w:ind w:firstLine="720"/>
        <w:jc w:val="both"/>
      </w:pPr>
      <w:r>
        <w:rPr>
          <w:rtl/>
        </w:rPr>
        <w:t xml:space="preserve">ضریب هماهنگی کندال از ۰٫۲۲۴ در دور دوم، </w:t>
      </w:r>
      <w:r>
        <w:rPr>
          <w:rtl/>
        </w:rPr>
        <w:t xml:space="preserve">که توافقی ضعیف را نشان می‌داد</w:t>
      </w:r>
      <w:r>
        <w:rPr>
          <w:rtl/>
        </w:rPr>
        <w:t xml:space="preserve">، به ۰٫۷۵۶ در دور سوم، که توافقی قوی است، رسید و در هر دو دور از نظر آماری معنادار بود. میانگین انحراف معیار گویه‌ها نیز از ۰٫۷۳ به ۰٫۱۷ کاهش یافت. ضریب همبستگی رتبه‌ای اسپیرمن میان دو دور پایانی در سطح گویه ۰٫۸۴۷ و در سطح مؤلفه ۰٫۸۳۳ به دست آمد. </w:t>
      </w:r>
      <w:r>
        <w:rPr>
          <w:rtl/>
        </w:rPr>
        <w:t xml:space="preserve">بر این پایه، توافق معنادار اعضای پانل در دور نهایی تأیید شد و رتبه‌بندی میان دور دوم و سوم به ثبات رسیده بود</w:t>
      </w:r>
      <w:r>
        <w:rPr>
          <w:rtl/>
        </w:rPr>
        <w:t xml:space="preserve">.</w:t>
      </w:r>
    </w:p>
    <w:p>
      <w:pPr>
        <w:bidi/>
        <w:spacing w:after="80"/>
        <w:ind w:firstLine="720"/>
        <w:jc w:val="both"/>
      </w:pPr>
      <w:r>
        <w:rPr>
          <w:rtl/>
        </w:rPr>
        <w:t xml:space="preserve">در رتبه‌بندی نهایی، مؤلفه «فشارهای اقتصاد کلان و کاهش قدرت خرید» با میانگین ۴٫۵۰ در رتبه نخست قرار گرفت و مؤلفه‌های «تغییر ذائقه مصرف‌کننده و محدودیت بازار هدف» (۴٫۴۳) و «شدت رقابت و فشار قیمتی بازار» (۴٫۳۳) در رتبه‌های دوم و سوم ایستادند. در سطح گویه، «ورود رقبای جدید و افزایش شدت رقابت» و «افزایش بهای تمام‌شده و فشار بر حاشیه سود» هر دو با میانگین ۵٫۰۰ در صدر جای گرفتند. هر چهار مؤلفه برون‌سازمانی در پنج رتبه نخست بودند. این دو فهرست مرتب‌شده، مبنای بحث این فصل‌اند.</w:t>
      </w:r>
    </w:p>
    <w:p>
      <w:pPr>
        <w:pStyle w:val="Heading2"/>
        <w:keepNext/>
        <w:bidi/>
        <w:spacing w:before="240" w:after="80"/>
      </w:pPr>
      <w:bookmarkStart w:id="79" w:name="_Toc200000079"/>
      <w:r>
        <w:t>۵ـ۳ بحث و نتیجه‌گیری</w:t>
      </w:r>
      <w:bookmarkEnd w:id="79"/>
    </w:p>
    <w:p>
      <w:pPr>
        <w:bidi/>
        <w:spacing w:after="80"/>
        <w:ind w:firstLine="720"/>
        <w:jc w:val="both"/>
      </w:pPr>
      <w:r>
        <w:rPr>
          <w:rtl/>
        </w:rPr>
        <w:t xml:space="preserve">در این بخش، یافته‌های فصل چهارم بر پایه دو پرسش پژوهش تفسیر می‌شود. پرسش نخست درباره ماهیت چالش‌هاست و پاسخ آن در برابر فهرست چالش‌های برگرفته از ادبیات (جدول ۲-۱) سنجیده می‌شود. پرسش دوم درباره اولویت چالش‌هاست و با تکیه بر رتبه‌بندی نهایی دلفی و </w:t>
      </w:r>
      <w:r>
        <w:rPr>
          <w:rtl/>
        </w:rPr>
        <w:t xml:space="preserve">شاخص‌های ثبات اجماع</w:t>
      </w:r>
      <w:r>
        <w:rPr>
          <w:rtl/>
        </w:rPr>
        <w:t xml:space="preserve"> بحث می‌شود.</w:t>
      </w:r>
    </w:p>
    <w:p>
      <w:pPr>
        <w:pStyle w:val="Heading3"/>
        <w:keepNext/>
        <w:bidi/>
        <w:spacing w:before="180" w:after="80"/>
      </w:pPr>
      <w:bookmarkStart w:id="80" w:name="_Toc200000080"/>
      <w:r>
        <w:t>۵ـ۳ـ۱ بحث و نتیجه‌گیری درباره پرسش اول پژوهش</w:t>
      </w:r>
      <w:bookmarkEnd w:id="80"/>
    </w:p>
    <w:p>
      <w:pPr>
        <w:bidi/>
        <w:spacing w:after="80"/>
        <w:ind w:firstLine="720"/>
        <w:jc w:val="both"/>
      </w:pPr>
      <w:r>
        <w:rPr>
          <w:rtl/>
        </w:rPr>
        <w:t xml:space="preserve">پرسش نخست پژوهش این بود که چالش‌های فروش در شرکت‌های تک‌محصولی فعال در صنعت مواد غذایی کدام‌اند. پاسخ فصل چهارم، فهرستی از بیست‌ونه گویه در نُه مؤلفه بود (جدول ۴-۱۲). برای روشن‌شدن جایگاه این فهرست، آن با دوازده عامل برگرفته از ادبیات در جدول ۲-۱ مقایسه می‌شود؛ مقایسه‌ای که در بخش ۲-۴-۱ برای این فصل پیش‌بینی شده بود. این مقایسه سه وضعیت را آشکار می‌سازد: عواملی که ادبیات را تأیید می‌کنند، عواملی که در آن جدول همتای روشنی ندارند و می‌توان آن‌ها را سهم افزوده این پژوهش دانست، و عواملی که در ادبیات آمده‌اند اما اعضای پانل آن‌ها را مطرح نکردند.</w:t>
      </w:r>
    </w:p>
    <w:p>
      <w:pPr>
        <w:bidi/>
        <w:spacing w:after="80"/>
        <w:ind w:firstLine="720"/>
        <w:jc w:val="both"/>
      </w:pPr>
      <w:r>
        <w:rPr>
          <w:rtl/>
        </w:rPr>
        <w:t xml:space="preserve">در گروه نخست، بیشتر مؤلفه‌ها با ادبیات همخوان‌اند. مؤلفه آسیب‌پذیری ساختاری ناشی از تمرکز بر محصول واحد، یعنی وابستگی کامل درآمد به تقاضای یک محصول و نبود امکان جبران افت فروش از محل سایر اقلام، با یافته مامن و همکاران (۲۰۲۱)</w:t>
      </w:r>
      <w:r>
        <w:rPr>
          <w:rStyle w:val="FootnoteReference"/>
        </w:rPr>
        <w:footnoteReference w:id="115"/>
      </w:r>
      <w:r>
        <w:rPr>
          <w:rtl/>
        </w:rPr>
        <w:t xml:space="preserve"> هم‌سوست؛ </w:t>
      </w:r>
      <w:r>
        <w:rPr>
          <w:rtl/>
        </w:rPr>
        <w:t xml:space="preserve">آنان نشان دادند تنوع محصولی ریسک بنگاه را کاهش می‌دهد. تفاوت پژوهش حاضر در سطح تحلیل است: ادبیات تمرکز و تنوع، از جمله پژوهش‌هایی که شومر و همکاران (۲۰۱۹)</w:t>
      </w:r>
      <w:r>
        <w:rPr>
          <w:rStyle w:val="FootnoteReference"/>
        </w:rPr>
        <w:footnoteReference w:id="116"/>
      </w:r>
      <w:r>
        <w:rPr>
          <w:rtl/>
        </w:rPr>
        <w:t xml:space="preserve"> در فراتحلیل خود مرور کرده‌اند، رابطه ساختار سبد محصول را با عملکرد و ریسک عمدتاً با داده‌های مالی دنبال کرده بود</w:t>
      </w:r>
      <w:r>
        <w:rPr>
          <w:rtl/>
        </w:rPr>
        <w:t xml:space="preserve">، حال آنکه پانل همان سازوکار را در سطح عملیات فروش بازمی‌یابد و آن را به صورت نبود امکان جبران افت فروش از محل سایر اقلام سبد بیان می‌کند. سه گویه این مؤلفه، یعنی وابستگی کامل درآمد، نبود امکان جبران و کاهش انعطاف‌پذیری، در واقع سه صورت‌بندی از همان سازوکاری‌اند که </w:t>
      </w:r>
      <w:r>
        <w:rPr>
          <w:rtl/>
        </w:rPr>
        <w:t xml:space="preserve">ادبیات مالی با شاخص ریسک اندازه می‌گیرد</w:t>
      </w:r>
      <w:r>
        <w:rPr>
          <w:rtl/>
        </w:rPr>
        <w:t xml:space="preserve">.</w:t>
      </w:r>
    </w:p>
    <w:p>
      <w:pPr>
        <w:bidi/>
        <w:spacing w:after="80"/>
        <w:ind w:firstLine="720"/>
        <w:jc w:val="both"/>
      </w:pPr>
      <w:r>
        <w:rPr>
          <w:rtl/>
        </w:rPr>
        <w:t xml:space="preserve">مؤلفه ناپایداری تأمین و نوسان بهای مواد اولیه </w:t>
      </w:r>
      <w:r>
        <w:rPr>
          <w:rtl/>
        </w:rPr>
        <w:t xml:space="preserve">با الگوی کریمی و همکاران (۱۴۰۳) همخوان است که اختلال‌ها را به تاب‌آوری زنجیره تأمین مواد غذایی و موقعیت بازاری آن مرتبط می‌داند</w:t>
      </w:r>
      <w:r>
        <w:rPr>
          <w:rtl/>
        </w:rPr>
        <w:t xml:space="preserve">. گویه ضعف در پیش‌بینی دقیق تقاضا با یافته اسکندری و همکاران (۱۴۰۴) </w:t>
      </w:r>
      <w:r>
        <w:rPr>
          <w:rtl/>
        </w:rPr>
        <w:t xml:space="preserve">همخوانی دارد، و گویه محدودیت منابع مالی برای توزیع و ترویج محصول از منظر مالی با موانع مالی شناسایی‌شده در بنگاه‌های کوچک غذایی (زین و همکاران، ۲۰۲۳)</w:t>
      </w:r>
      <w:r>
        <w:rPr>
          <w:rStyle w:val="FootnoteReference"/>
        </w:rPr>
        <w:footnoteReference w:id="117"/>
      </w:r>
      <w:r>
        <w:rPr>
          <w:rtl/>
        </w:rPr>
        <w:t xml:space="preserve"> سازگار است، هرچند موضوع آن پژوهش مدیریت زنجیره تأمین سبز است</w:t>
      </w:r>
      <w:r>
        <w:rPr>
          <w:rtl/>
        </w:rPr>
        <w:t xml:space="preserve">. مؤلفه شدت رقابت و فشار قیمتی بازار نیز با چارچوب نیروهای پنج‌گانه رقابتی (پانگارکار و پرابهوداسای، ۲۰۲۴)</w:t>
      </w:r>
      <w:r>
        <w:rPr>
          <w:rStyle w:val="FootnoteReference"/>
        </w:rPr>
        <w:footnoteReference w:id="118"/>
      </w:r>
      <w:r>
        <w:rPr>
          <w:rtl/>
        </w:rPr>
        <w:t xml:space="preserve"> مطابقت دارد: ورود رقبای جدید، حضور محصولات جایگزین و برندهای رقیب دارای سبد متنوع، و رقابت قیمتی هر سه در فهرست پانل آمده‌اند، و گویه کاهش قدرت چانه‌زنی در برابر شبکه توزیع و خرده‌فروشی چندمحصولی نیروی چانه‌زنی خریدار را بازتاب می‌دهد. گویه هزینه بالای پخش و توزیع به ازای یک قلم کالا با استدلال فصل دوم درباره سرشکن‌شدن هزینه ثابت توزیع بر یک قلم، </w:t>
      </w:r>
      <w:r>
        <w:rPr>
          <w:rtl/>
        </w:rPr>
        <w:t xml:space="preserve">و با یافته سوریاتی و لوسیه (۲۰۲۲)</w:t>
      </w:r>
      <w:r>
        <w:rPr>
          <w:rStyle w:val="FootnoteReference"/>
        </w:rPr>
        <w:footnoteReference w:id="119"/>
      </w:r>
      <w:r>
        <w:rPr>
          <w:rtl/>
        </w:rPr>
        <w:t xml:space="preserve"> درباره اثر مستقیم کانال توزیع بر بهبود حجم فروش سازگار است</w:t>
      </w:r>
      <w:r>
        <w:rPr>
          <w:rtl/>
        </w:rPr>
        <w:t xml:space="preserve">. مؤلفه ضعف برندسازی و دشواری تمایز محصول نیز با یافته توماران و همکاران (۲۰۲۲)</w:t>
      </w:r>
      <w:r>
        <w:rPr>
          <w:rStyle w:val="FootnoteReference"/>
        </w:rPr>
        <w:footnoteReference w:id="120"/>
      </w:r>
      <w:r>
        <w:rPr>
          <w:rtl/>
        </w:rPr>
        <w:t xml:space="preserve"> </w:t>
      </w:r>
      <w:r>
        <w:rPr>
          <w:rtl/>
        </w:rPr>
        <w:t xml:space="preserve">درباره پیوند مزیت تمایز با نوآوری</w:t>
      </w:r>
      <w:r>
        <w:rPr>
          <w:rtl/>
        </w:rPr>
        <w:t xml:space="preserve"> و ریسک‌پذیری کارآفرینانه، </w:t>
      </w:r>
      <w:r>
        <w:rPr>
          <w:rtl/>
        </w:rPr>
        <w:t xml:space="preserve">و با یافته صفری و اسماعیل‌نژاد (۱۴۰۳) درباره جایگاه ضعف برندسازی در میان موانع فروش محصولات سبز همسو است. در مؤلفه تغییر ذائقه مصرف‌کننده، اما، آسیابانی و همکاران (۱۴۰۴) در بازار برنج ثبات ساختاری ترجیحات و تداوم وفاداری به برنج ایرانی را گزارش کرده‌اند که با اولویت بالای این مؤلفه در پانل هم‌جهت نیست؛ این تفاوت ممکن است ناشی از تفاوت محصول (برنج کالایی اساسی است) و تفاوت روش (ترجیح آشکارشده در برابر ادراک خبرگان) باشد. همپوشانی‌های یادشده نشان می‌دهد فهرست حاصل از دلفی پدیده‌ای محلی و منحصربه‌فرد نیست و ریشه در الگوهایی دارد که در بسترهای گوناگون تکرار می‌شوند</w:t>
      </w:r>
      <w:r>
        <w:rPr>
          <w:rtl/>
        </w:rPr>
        <w:t xml:space="preserve">.</w:t>
      </w:r>
    </w:p>
    <w:p>
      <w:pPr>
        <w:bidi/>
        <w:spacing w:after="80"/>
        <w:ind w:firstLine="720"/>
        <w:jc w:val="both"/>
      </w:pPr>
      <w:r>
        <w:rPr>
          <w:rtl/>
        </w:rPr>
        <w:t xml:space="preserve">در گروه دوم، گویه‌هایی قرار دارند که در جدول ۲-۱ همتای روشنی ندارند. نخست، فشارهای اقتصاد کلان، یعنی افزایش بهای تمام‌شده و فشار بر حاشیه سود و نیز کاهش قدرت خرید و مشکلات اقتصادی مصرف‌کننده. مبانی نظری فصل دوم نوسانات اقتصاد کلان را </w:t>
      </w:r>
      <w:r>
        <w:rPr>
          <w:rtl/>
        </w:rPr>
        <w:t xml:space="preserve">در شمار عوامل محیطی آورده بود</w:t>
      </w:r>
      <w:r>
        <w:rPr>
          <w:rtl/>
        </w:rPr>
        <w:t xml:space="preserve">، اما این عامل به فهرست دوازده‌گانه جدول ۲-۱ راه نیافت و پیشینه داخلی نیز نوسان قیمت مواد غذایی را بیشتر انگیزه پژوهش دانسته بود تا چالشی مستقل برای فروش (اسکندری و همکاران، ۱۴۰۴). دوم، گویه‌هایی که به نظر می‌رسد پیامد مستقیم ساختار تک‌محصولی‌اند: محدود بودن بازار هدف به یک گروه خاص از مشتریان و افت ناگهانی تقاضا. سوم، دشواری حفظ مشتریان فعلی، یعنی وفاداری پایین و نبود پیشنهاد تازه برای حفظ و فعال‌سازی مجدد آنان؛ سازوکاری که در آن، نداشتن سبد محصول ابزار نگهداشت مشتری را نیز محدود می‌کند.</w:t>
      </w:r>
    </w:p>
    <w:p>
      <w:pPr>
        <w:bidi/>
        <w:spacing w:after="80"/>
        <w:ind w:firstLine="720"/>
        <w:jc w:val="both"/>
      </w:pPr>
      <w:r>
        <w:rPr>
          <w:rtl/>
        </w:rPr>
        <w:t xml:space="preserve">گروه سوم عواملی‌اند که در ادبیات آمده، اما اعضای پانل در دور نخست آن‌ها را مطرح نکردند: الزامات نظارتی و ایمنی مواد غذایی (مانگلا و همکاران، ۲۰۲۱)</w:t>
      </w:r>
      <w:r>
        <w:rPr>
          <w:rStyle w:val="FootnoteReference"/>
        </w:rPr>
        <w:footnoteReference w:id="121"/>
      </w:r>
      <w:r>
        <w:rPr>
          <w:rtl/>
        </w:rPr>
        <w:t xml:space="preserve">، محدودیت دانش و مهارت منابع انسانی، از جمله کمبود نیروی فروش ماهر (تانئو و همکاران، ۲۰۲۲)</w:t>
      </w:r>
      <w:r>
        <w:rPr>
          <w:rStyle w:val="FootnoteReference"/>
        </w:rPr>
        <w:footnoteReference w:id="122"/>
      </w:r>
      <w:r>
        <w:rPr>
          <w:rtl/>
        </w:rPr>
        <w:t xml:space="preserve">، شکاف نگرش و رفتار خرید مصرف‌کننده (صفری و اسماعیل‌نژاد، ۱۴۰۳) و بُعد دیجیتال فروش که در بخش ۲-۴ به عنوان یکی از شکاف‌های ادبیات معرفی شد.</w:t>
      </w:r>
      <w:r>
        <w:rPr>
          <w:rtl/>
        </w:rPr>
        <w:t xml:space="preserve"> دو تفسیر برای این سکوت ممکن است: یا این عوامل در تجربه بنگاه‌های تک‌محصولی مورد مطالعه اهمیت کمتری دارند، یا به دلیل ماهیت باز پرسش دور نخست، که عمداً بدون فهرست پیشنهادی مطرح شد (بخش ۳-۵)، فرصت طرح نیافته‌اند.</w:t>
      </w:r>
      <w:r>
        <w:rPr>
          <w:rtl/>
        </w:rPr>
        <w:t xml:space="preserve"> فهرست گویه‌های دورهای رتبه‌بندی از پاسخ‌های دور نخست و ترکیب آن با چالش‌های برگرفته از ادبیات ساخته شد؛ بنابراین پانل این عوامل را رتبه‌بندی نکرد و داده‌های پژوهش برای تفکیک دو تفسیر کافی نیست.</w:t>
      </w:r>
      <w:r>
        <w:rPr>
          <w:rtl/>
        </w:rPr>
        <w:t xml:space="preserve"> این موضوع در بخش پیشنهادهای آتی آمده است.</w:t>
      </w:r>
    </w:p>
    <w:p>
      <w:pPr>
        <w:bidi/>
        <w:spacing w:after="80"/>
        <w:ind w:firstLine="720"/>
        <w:jc w:val="both"/>
      </w:pPr>
      <w:r>
        <w:rPr>
          <w:rtl/>
        </w:rPr>
        <w:t xml:space="preserve">برای آنکه تصویر مقایسه یکجا در دسترس باشد، جدول ۵-۱ نسبت هر مؤلفه شناسایی‌شده را با ادبیات پیشین نشان می‌دهد.</w:t>
      </w:r>
    </w:p>
    <w:p>
      <w:pPr>
        <w:pStyle w:val="TableCaption"/>
        <w:keepNext/>
        <w:spacing w:before="160" w:after="80"/>
        <w:jc w:val="center"/>
        <w:rPr>
          <w:vanish/>
        </w:rPr>
      </w:pPr>
      <w:bookmarkStart w:id="81" w:name="_Toc200000081"/>
      <w:r>
        <w:fldChar w:fldCharType="begin"/>
      </w:r>
      <w:r>
        <w:instrText xml:space="preserve"> TC "جدول ۵-۱ نسبت مؤلفه‌های شناسایی‌شده با یافته‌های پژوهش‌های پیشین" \f T \l 4 </w:instrText>
      </w:r>
      <w:r>
        <w:fldChar w:fldCharType="end"/>
      </w:r>
      <w:r>
        <w:t xml:space="preserve">جدول ۵-۱ نسبت مؤلفه‌های شناسایی‌شده با یافته‌های پژوهش‌های پیشین (منبع: یافته‌های پژوهش)</w:t>
      </w:r>
      <w:bookmarkEnd w:id="81"/>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5"/>
        <w:gridCol w:w="2538"/>
        <w:gridCol w:w="3007"/>
        <w:gridCol w:w="2538"/>
      </w:tblGrid>
      <w:tr>
        <w:trPr>
          <w:tblHeader/>
          <w:cantSplit/>
        </w:trPr>
        <w:tc>
          <w:tcPr>
            <w:tcW w:w="7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 xml:space="preserve">ردیف</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 xml:space="preserve">مؤلفه</w:t>
            </w:r>
          </w:p>
        </w:tc>
        <w:tc>
          <w:tcPr>
            <w:tcW w:w="30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 xml:space="preserve">پژوهش‌های پیشین مرتبط</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b/>
                <w:bCs/>
                <w:sz w:val="22"/>
                <w:szCs w:val="22"/>
                <w:rtl/>
              </w:rPr>
              <w:t xml:space="preserve">نسبت با ادبیات</w:t>
            </w:r>
          </w:p>
        </w:tc>
      </w:tr>
      <w:tr>
        <w:trPr>
          <w:cantSplit/>
        </w:trPr>
        <w:tc>
          <w:tcPr>
            <w:tcW w:w="7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۱</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آسیب‌پذیری ساختاری ناشی از تمرکز بر محصول واحد</w:t>
            </w:r>
          </w:p>
        </w:tc>
        <w:tc>
          <w:tcPr>
            <w:tcW w:w="30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مامن و همکاران (۲۰۲۱)</w:t>
            </w:r>
            <w:r>
              <w:rPr>
                <w:rStyle w:val="FootnoteReference"/>
              </w:rPr>
              <w:footnoteReference w:id="123"/>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تأیید در سطح تازه: ادبیات این ریسک را با داده مالی نشان داده بود، این پژوهش آن را در سطح عملیات فروش بازمی‌یابد</w:t>
            </w:r>
          </w:p>
        </w:tc>
      </w:tr>
      <w:tr>
        <w:trPr>
          <w:cantSplit/>
        </w:trPr>
        <w:tc>
          <w:tcPr>
            <w:tcW w:w="7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۲</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ضعف برندسازی و دشواری تمایز محصول</w:t>
            </w:r>
          </w:p>
        </w:tc>
        <w:tc>
          <w:tcPr>
            <w:tcW w:w="30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توماران و همکاران (۲۰۲۲)</w:t>
            </w:r>
            <w:r>
              <w:rPr>
                <w:rStyle w:val="FootnoteReference"/>
              </w:rPr>
              <w:footnoteReference w:id="124"/>
            </w:r>
            <w:r>
              <w:rPr>
                <w:sz w:val="22"/>
                <w:szCs w:val="22"/>
                <w:rtl/>
              </w:rPr>
              <w:t xml:space="preserve">؛ قلی‌پور و همکاران (۱۴۰۳)؛ صفری و اسماعیل‌نژاد (۱۴۰۳)؛ میثمی‌آزاد و همکاران (۱۴۰۰)</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همسویی موضوعی (صفری و اسماعیل‌نژاد ضعف برندسازی را دومین مانع فروش محصولات سبز یافته‌اند)، اما در پایین‌ترین رتبه (نهم) رتبه‌بندی نهایی</w:t>
            </w:r>
          </w:p>
        </w:tc>
      </w:tr>
      <w:tr>
        <w:trPr>
          <w:cantSplit/>
        </w:trPr>
        <w:tc>
          <w:tcPr>
            <w:tcW w:w="7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۳</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دشواری جذب و حفظ مشتری و وفاداری پایین</w:t>
            </w:r>
          </w:p>
        </w:tc>
        <w:tc>
          <w:tcPr>
            <w:tcW w:w="30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صفری و اسماعیل‌نژاد (۱۴۰۳)؛ شاه</w:t>
            </w:r>
            <w:r>
              <w:rPr>
                <w:sz w:val="22"/>
                <w:szCs w:val="22"/>
                <w:rtl/>
              </w:rPr>
              <w:t xml:space="preserve"> و همکاران (۲۰۲۳)</w:t>
            </w:r>
            <w:r>
              <w:rPr>
                <w:rStyle w:val="FootnoteReference"/>
              </w:rPr>
              <w:footnoteReference w:id="125"/>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تأیید جزئی: ادبیات بر دشواری جلب مصرف‌کننده تأکید دارد؛ نبود پیشنهاد تازه برای مشتریان فعلی افزوده پانل است</w:t>
            </w:r>
          </w:p>
        </w:tc>
      </w:tr>
      <w:tr>
        <w:trPr>
          <w:cantSplit/>
        </w:trPr>
        <w:tc>
          <w:tcPr>
            <w:tcW w:w="7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۴</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ضعف در برنامه‌ریزی، پیش‌بینی و مدیریت فروش</w:t>
            </w:r>
          </w:p>
        </w:tc>
        <w:tc>
          <w:tcPr>
            <w:tcW w:w="30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اسکندری و همکاران (۱۴۰۴)</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تأیید، اما با اولویتی پایین‌تر: دقت پیش‌بینی تقاضا در پژوهش اسکندری و همکاران از مهم‌ترین موانع فروش است، در این پژوهش مؤلفه رتبه هشتم را دارد</w:t>
            </w:r>
          </w:p>
        </w:tc>
      </w:tr>
      <w:tr>
        <w:trPr>
          <w:cantSplit/>
        </w:trPr>
        <w:tc>
          <w:tcPr>
            <w:tcW w:w="7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۵</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ناکارآمدی و هزینه‌بری شبکه توزیع و فروش</w:t>
            </w:r>
          </w:p>
        </w:tc>
        <w:tc>
          <w:tcPr>
            <w:tcW w:w="30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سوریاتی و لوسیه (۲۰۲۲)</w:t>
            </w:r>
            <w:r>
              <w:rPr>
                <w:rStyle w:val="FootnoteReference"/>
              </w:rPr>
              <w:footnoteReference w:id="126"/>
            </w:r>
            <w:r>
              <w:rPr>
                <w:sz w:val="22"/>
                <w:szCs w:val="22"/>
                <w:rtl/>
              </w:rPr>
              <w:t xml:space="preserve">؛ پانگارکار و پرابهوداسای (۲۰۲۴) درباره قدرت چانه‌زنی خریدار</w:t>
            </w:r>
            <w:r>
              <w:rPr>
                <w:rStyle w:val="FootnoteReference"/>
              </w:rPr>
              <w:footnoteReference w:id="127"/>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تأیید جزئی: اثر کانال توزیع بر فروش در ادبیات آمده بود؛ سرشکن‌نشدن هزینه ثابت پخش بر یک قلم کالا، که فصل دوم از استدلال نظری پیش‌بینی کرده بود، با میانگین ۴٫۴۳ تأیید شد</w:t>
            </w:r>
          </w:p>
        </w:tc>
      </w:tr>
      <w:tr>
        <w:trPr>
          <w:cantSplit/>
        </w:trPr>
        <w:tc>
          <w:tcPr>
            <w:tcW w:w="7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۶</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شدت رقابت و فشار قیمتی بازار</w:t>
            </w:r>
          </w:p>
        </w:tc>
        <w:tc>
          <w:tcPr>
            <w:tcW w:w="30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پانگارکار و پرابهوداسای (۲۰۲۴)</w:t>
            </w:r>
            <w:r>
              <w:rPr>
                <w:rStyle w:val="FootnoteReference"/>
              </w:rPr>
              <w:footnoteReference w:id="128"/>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همسویی با چارچوب نیروهای پنج‌گانه؛ گویه‌های آن</w:t>
            </w:r>
            <w:r>
              <w:rPr>
                <w:sz w:val="22"/>
                <w:szCs w:val="22"/>
                <w:rtl/>
              </w:rPr>
              <w:t xml:space="preserve"> با سه نیروی ورود رقیب، محصولات جایگزین و رقابت موجود متناظرند و «ورود رقبای جدید» بالاترین میانگین (۵٫۰۰) را دارد</w:t>
            </w:r>
          </w:p>
        </w:tc>
      </w:tr>
      <w:tr>
        <w:trPr>
          <w:cantSplit/>
        </w:trPr>
        <w:tc>
          <w:tcPr>
            <w:tcW w:w="7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۷</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تغییر ذائقه مصرف‌کننده و محدودیت بازار هدف</w:t>
            </w:r>
          </w:p>
        </w:tc>
        <w:tc>
          <w:tcPr>
            <w:tcW w:w="30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آسیابانی و همکاران (۱۴۰۴)؛ صفری و اسماعیل‌نژاد (۱۴۰۳)</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ناهمسویی نسبی: آسیابانی و همکاران در بازار برنج ثبات ترجیحات را یافته‌اند؛ شکاف نگرش و رفتار (صفری و اسماعیل‌نژاد) از نظر موضوعی مرتبط است؛ محدود بودن بازار هدف و افت ناگهانی تقاضا در جدول ۲-۱ همتایی ندارد</w:t>
            </w:r>
          </w:p>
        </w:tc>
      </w:tr>
      <w:tr>
        <w:trPr>
          <w:cantSplit/>
        </w:trPr>
        <w:tc>
          <w:tcPr>
            <w:tcW w:w="7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۸</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ناپایداری تأمین و نوسان بهای مواد اولیه</w:t>
            </w:r>
          </w:p>
        </w:tc>
        <w:tc>
          <w:tcPr>
            <w:tcW w:w="30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کریمی و همکاران (۱۴۰۳)</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تأیید: اختلال‌های زنجیره تأمین در ادبیات آمده بود؛ نوسان بهای مواد اولیه در آن به‌صراحت نیامده است</w:t>
            </w:r>
          </w:p>
        </w:tc>
      </w:tr>
      <w:tr>
        <w:trPr>
          <w:cantSplit/>
        </w:trPr>
        <w:tc>
          <w:tcPr>
            <w:tcW w:w="7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۹</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فشارهای اقتصاد کلان و کاهش قدرت خرید</w:t>
            </w:r>
          </w:p>
        </w:tc>
        <w:tc>
          <w:tcPr>
            <w:tcW w:w="30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مبانی نظری فصل دوم؛ اسکندری و همکاران (۱۴۰۴)</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pPr>
              <w:bidi/>
              <w:jc w:val="center"/>
            </w:pPr>
            <w:r>
              <w:rPr>
                <w:sz w:val="22"/>
                <w:szCs w:val="22"/>
                <w:rtl/>
              </w:rPr>
              <w:t xml:space="preserve">سهم افزوده: مبانی نظری فصل دوم آن را آورده بود، اما در جدول ۲-۱ جای نداشت؛ در رتبه‌بندی نهایی رتبه نخست را دارد</w:t>
            </w:r>
          </w:p>
        </w:tc>
      </w:tr>
    </w:tbl>
    <w:p>
      <w:pPr>
        <w:bidi/>
        <w:spacing w:after="60"/>
        <w:jc w:val="both"/>
      </w:pPr>
    </w:p>
    <w:p>
      <w:pPr>
        <w:bidi/>
        <w:spacing w:after="80"/>
        <w:ind w:firstLine="720"/>
        <w:jc w:val="both"/>
      </w:pPr>
      <w:r>
        <w:rPr>
          <w:rtl/>
        </w:rPr>
        <w:t xml:space="preserve">چنان‌که جدول ۵-۱ نشان می‌دهد، نسبت یافته‌ها با ادبیات یکدست نیست: </w:t>
      </w:r>
      <w:r>
        <w:rPr>
          <w:rtl/>
        </w:rPr>
        <w:t xml:space="preserve">هفت مؤلفه دست‌کم بخشی از ادبیات را تأیید می‌کنند یا با آن همسویی موضوعی دارند؛ در مؤلفه دشواری جذب و حفظ مشتری، نبود پیشنهاد تازه برای مشتریان فعلی افزوده پانل است؛ در مؤلفه تغییر ذائقه و محدودیت بازار هدف، یافته آسیابانی و همکاران (۱۴۰۴) درباره ثبات ترجیحات در بازار برنج با اولویت بالای این مؤلفه در پانل هم‌جهت نیست و محدود بودن بازار هدف و افت ناگهانی تقاضا نیز همتایی در جدول ۲-۱ ندارد؛ و مؤلفه فشارهای اقتصاد کلان همتای روشنی در جدول ۲-۱ ندارد</w:t>
      </w:r>
      <w:r>
        <w:rPr>
          <w:rtl/>
        </w:rPr>
        <w:t xml:space="preserve">. همین ناهمگونی نشان می‌دهد یافته‌ها صرفاً بازتولید ادبیات نیستند.</w:t>
      </w:r>
    </w:p>
    <w:p>
      <w:pPr>
        <w:bidi/>
        <w:spacing w:after="80"/>
        <w:ind w:firstLine="720"/>
        <w:jc w:val="both"/>
      </w:pPr>
      <w:r>
        <w:rPr>
          <w:rtl/>
        </w:rPr>
        <w:t xml:space="preserve">بر این پایه، پاسخ پرسش نخست را می‌توان چنین جمع‌بندی کرد: چالش‌های فروش بنگاه تک‌محصولی در صنعت مواد غذایی ایران در نُه مؤلفه، شامل پنج مؤلفه درون‌سازمانی و چهار مؤلفه برون‌سازمانی، سامان می‌یابد. هسته این فهرست، یعنی ریسک تمرکز، رقابت، تأمین و توزیع، با ادبیات هم‌سوست؛ اما دو ویژگی آن را از فهرست پیشینی جدول ۲-۱ متمایز می‌کند: حضور پررنگ فشارهای اقتصاد کلان، و نمود عملیاتی ریسک تمرکز در بازار هدف محدود، افت ناگهانی تقاضا و دشواری حفظ مشتری.</w:t>
      </w:r>
    </w:p>
    <w:p>
      <w:pPr>
        <w:pStyle w:val="Heading3"/>
        <w:keepNext/>
        <w:bidi/>
        <w:spacing w:before="180" w:after="80"/>
      </w:pPr>
      <w:bookmarkStart w:id="82" w:name="_Toc200000082"/>
      <w:r>
        <w:t>۵ـ۳ـ۲ بحث و نتیجه‌گیری درباره پرسش دوم پژوهش</w:t>
      </w:r>
      <w:bookmarkEnd w:id="82"/>
    </w:p>
    <w:p>
      <w:pPr>
        <w:bidi/>
        <w:spacing w:after="80"/>
        <w:ind w:firstLine="720"/>
        <w:jc w:val="both"/>
      </w:pPr>
      <w:r>
        <w:rPr>
          <w:rtl/>
        </w:rPr>
        <w:t xml:space="preserve">پرسش دوم پژوهش اولویت چالش‌های فروش را می‌پرسید و پاسخ فصل چهارم، رتبه‌بندی نهایی دور سوم است (جدول‌های ۴-۱۳ و ۴-۱۴). نخستین نکته درخور بحث آن است که همه چالش‌ها اهمیت بالایی دارند: میانگین هیچ مؤلفه‌ای کمتر از ۳٫۵۷ و میانگین هیچ گویه‌ای کمتر از ۳٫۱۴ نیست، در حالی که نقطه میانی طیف ۳ است. به بیان دیگر، پانل هیچ‌یک از چالش‌های فهرست را کم‌اهمیت ندانسته و رتبه‌بندی، چالش‌های مهم را از مهم‌تر جدا می‌کند.</w:t>
      </w:r>
    </w:p>
    <w:p>
      <w:pPr>
        <w:bidi/>
        <w:spacing w:after="80"/>
        <w:ind w:firstLine="720"/>
        <w:jc w:val="both"/>
      </w:pPr>
      <w:r>
        <w:rPr>
          <w:rtl/>
        </w:rPr>
        <w:t xml:space="preserve">نکته دوم، ساختار پلکانی رتبه‌بندی و پایداری آن است. مؤلفه‌ها در سه دسته جای می‌گیرند. چهار مؤلفه نخست با اختلافی اندک از هم قرار دارند: فشارهای اقتصاد کلان (۴٫۵۰)، تغییر ذائقه و محدودیت بازار هدف (۴٫۴۳)، شدت رقابت و فشار قیمتی (۴٫۳۳) و آسیب‌پذیری ساختاری (۴٫۲۹). پس از آن‌ها ناپایداری تأمین (۴٫۱۹) و ناکارآمدی توزیع (۴٫۱۱) می‌آیند، و در پایین جدول، دشواری جذب و حفظ مشتری (۳٫۸۱)، ضعف برنامه‌ریزی و پیش‌بینی (۳٫۷۹) و ضعف برندسازی (۳٫۵۷) ایستاده‌اند. اعضای هر سه دسته در دور دوم نیز همین‌ها بودند (جدول ۴-۱۳)، اگرچه ترتیب درون دسته‌ها جابه‌جا شد: مؤلفه اقتصاد کلان از رتبه سوم به نخست رسید و مؤلفه شدت رقابت از رتبه نخست به سوم رفت. از این رو رتبه‌بندی در تفکیک این سه دسته اطمینان بیشتری دارد تا در ترتیب دقیق درون هر دسته.</w:t>
      </w:r>
    </w:p>
    <w:p>
      <w:pPr>
        <w:bidi/>
        <w:spacing w:after="80"/>
        <w:ind w:firstLine="720"/>
        <w:jc w:val="both"/>
      </w:pPr>
      <w:r>
        <w:rPr>
          <w:rtl/>
        </w:rPr>
        <w:t xml:space="preserve">نکته سوم، برتری چالش‌های برون‌سازمانی است؛ الگویی که فصل چهارم تفسیر آن را به این فصل واگذاشت. هر چهار مؤلفه برون‌سازمانی در پنج رتبه نخست‌اند و میانگین آن‌ها (۴٫۳۶) از میانگین پنج مؤلفه درون‌سازمانی (۳٫۹۱) بیشتر است. در سطح گویه نیز هر پنج گویه‌ای که میانگین آن‌ها دست‌کم ۴٫۵۷ است برون‌سازمانی‌اند و هر چهار گویه‌ای که میانگین آن‌ها کمتر از ۳٫۵ است درون‌سازمانی. این الگو دست‌کم دو پشتوانه دارد. نخست، بستر پژوهش: بازار مواد غذایی ایران، همان‌گونه که در بخش ۱-۲ آمد، در سال‌های اخیر با نوسان نرخ ارز، محدودیت تأمین و کاهش قدرت خرید روبه‌رو بوده است و اعضای پانل، که بیشترشان در حوزه فروش فعال‌اند، این فشارها را از نزدیک می‌شناسند. دوم، ادبیات: میکلیان و هولشر (۲۰۲۲)</w:t>
      </w:r>
      <w:r>
        <w:rPr>
          <w:rStyle w:val="FootnoteReference"/>
        </w:rPr>
        <w:footnoteReference w:id="129"/>
      </w:r>
      <w:r>
        <w:rPr>
          <w:rtl/>
        </w:rPr>
        <w:t xml:space="preserve"> </w:t>
      </w:r>
      <w:r>
        <w:rPr>
          <w:rtl/>
        </w:rPr>
        <w:t xml:space="preserve">در مرور مفهومی خود بر ادبیات شوک‌های برون‌زا، تفاوت واکنش بنگاه‌های کوچک و بزرگ به این شوک‌ها را بررسی کردند، و مامن و همکاران (۲۰۲۱)</w:t>
      </w:r>
      <w:r>
        <w:rPr>
          <w:rStyle w:val="FootnoteReference"/>
        </w:rPr>
        <w:footnoteReference w:id="130"/>
      </w:r>
      <w:r>
        <w:rPr>
          <w:rtl/>
        </w:rPr>
        <w:t xml:space="preserve"> نشان دادند تنوع محصولی ریسک بنگاه را کاهش می‌دهد</w:t>
      </w:r>
      <w:r>
        <w:rPr>
          <w:rtl/>
        </w:rPr>
        <w:t xml:space="preserve">. با کنار هم نهادن این دو، اولویت‌دادن پانل به عوامل بیرونی با منطق نظری سازگار است: هرچه محیط ناپایدارتر باشد، بنگاهی که تمام درآمدش به یک محصول بسته است، کمتر می‌تواند شوک‌ها را جذب کند. این تفسیر بر ادراک اعضای پانل استوار است و درباره اثر عینی این عوامل بر فروش داوری نمی‌کند.</w:t>
      </w:r>
    </w:p>
    <w:p>
      <w:pPr>
        <w:bidi/>
        <w:spacing w:after="80"/>
        <w:ind w:firstLine="720"/>
        <w:jc w:val="both"/>
      </w:pPr>
      <w:r>
        <w:rPr>
          <w:rtl/>
        </w:rPr>
        <w:t xml:space="preserve">نکته چهارم، جایگاه مؤلفه آسیب‌پذیری ساختاری است که مفهوم محوری این پژوهش است. این مؤلفه در رتبه چهارم (۴٫۲۹) قرار گرفته، اما هر سه گویه آن دست‌کم ۴٫۰۰ گرفته‌اند و دو گویه نخست آن، یعنی وابستگی کامل درآمد به تقاضای یک محصول و نبود امکان جبران افت فروش از محل سایر اقلام، با ۴٫۴۳ در میان هشت گویه برتر جای دارند. بنابراین پانل ریسک تمرکز را مهم می‌داند، اما فوری‌ترین چالش‌ها را تکانه‌های بیرونی می‌شمارد. این دو یافته مکمل یکدیگرند و با استدلال بخش ۱-۲ همخوان‌اند: فشار محیطی ضعف را آشکار می‌کند و ساختار متمرکز آن را تشدید می‌نماید. به بیان دیگر، تک‌محصولی بودن در نگاه پانل بیش از آنکه خود مهم‌ترین چالش باشد، سازوکاری است که تکانه‌های بیرونی را بی‌واسطه به کل بنگاه منتقل می‌کند. این یافته به ادبیات تمرکز و تنوع، که رابطه ساختار سبد محصول و ریسک را عمدتاً با داده‌های مالی دنبال کرده است، شاهدی از سطح عملیات فروش می‌افزاید.</w:t>
      </w:r>
    </w:p>
    <w:p>
      <w:pPr>
        <w:bidi/>
        <w:spacing w:after="80"/>
        <w:ind w:firstLine="720"/>
        <w:jc w:val="both"/>
      </w:pPr>
      <w:r>
        <w:rPr>
          <w:rtl/>
        </w:rPr>
        <w:t xml:space="preserve">نکته پنجم، فاصله اولویت‌های پانل با اولویت‌های برخی مطالعات پیشین است. اسکندری و همکاران (۱۴۰۴) پیش‌بینی نادرست تقاضا و نبود اعتبار مالی را از مهم‌ترین تهدیدهای فروش در زنجیره تأمین مواد غذایی دانسته‌اند؛ در پژوهش حاضر اما مؤلفه ضعف در برنامه‌ریزی، پیش‌بینی و مدیریت فروش در رتبه هشتم از نُه مؤلفه است و گویه ضعف در پیش‌بینی دقیق تقاضا (۴٫۰۰) در میانه جدول گویه‌ها جای دارد. این فاصله را نباید ساده به تناقض تعبیر کرد: واحد تحلیل متفاوت است. مطالعه یادشده زنجیره تأمین را در کل بررسی کرده و در سطح زنجیره، خطای پیش‌بینی اثری انباشتی دارد؛ پژوهش حاضر بنگاه تک‌محصولی را واحد تحلیل گرفته، بنگاهی که پیش از نگرانی درباره دقت پیش‌بینی، نگران آن است که اساساً بیش از یک محصول برای فروش ندارد. افزون بر این، تنها دو عضو پانل (خ۲ و خ۶) در دور نخست خودجوش به پیش‌بینی تقاضا اشاره کرده بودند و در دور سوم همه اعضا به آن امتیاز ۴ دادند؛ یعنی آن را مهم، اما نه در ردیف فوری‌ترین چالش‌ها می‌دانند.</w:t>
      </w:r>
    </w:p>
    <w:p>
      <w:pPr>
        <w:bidi/>
        <w:spacing w:after="80"/>
        <w:ind w:firstLine="720"/>
        <w:jc w:val="both"/>
      </w:pPr>
      <w:r>
        <w:rPr>
          <w:rtl/>
        </w:rPr>
        <w:t xml:space="preserve">نکته ششم، جایگاه پایین چالش‌هایی است که ادبیات برای آن‌ها اهمیت قائل است. مؤلفه ضعف برندسازی و دشواری تمایز محصول، که توماران و همکاران (۲۰۲۲)</w:t>
      </w:r>
      <w:r>
        <w:rPr>
          <w:rStyle w:val="FootnoteReference"/>
        </w:rPr>
        <w:footnoteReference w:id="131"/>
      </w:r>
      <w:r>
        <w:rPr>
          <w:rtl/>
        </w:rPr>
        <w:t xml:space="preserve"> </w:t>
      </w:r>
      <w:r>
        <w:rPr>
          <w:rtl/>
        </w:rPr>
        <w:t xml:space="preserve">مزیت تمایز را با نوآوری، پیش‌قدمی و ریسک‌پذیری کارآفرینانه </w:t>
      </w:r>
      <w:r>
        <w:rPr>
          <w:rtl/>
        </w:rPr>
        <w:t xml:space="preserve">پیوند می‌دهند و صفری و اسماعیل‌نژاد (۱۴۰۳) ضعف برندسازی را دومین مانع فروش محصولات سبز یافته‌اند، پایین‌ترین رتبه (۳٫۵۷) را گرفته است</w:t>
      </w:r>
      <w:r>
        <w:rPr>
          <w:rtl/>
        </w:rPr>
        <w:t xml:space="preserve">؛ و دو گویه «نبود نوآوری و توسعه محصول» و «کم‌توجهی به تحقیقات بازار و مطالعه رفتار مصرف‌کننده»، همراه با گویه «ضعف در نظام برنامه‌ریزی و اطلاعات فروش»، با ۳٫۱۴ در پایین‌ترین رتبه گویه‌ها هستند. دخیخ و النجری (۲۰۲۶)</w:t>
      </w:r>
      <w:r>
        <w:rPr>
          <w:rStyle w:val="FootnoteReference"/>
        </w:rPr>
        <w:footnoteReference w:id="132"/>
      </w:r>
      <w:r>
        <w:rPr>
          <w:rtl/>
        </w:rPr>
        <w:t xml:space="preserve"> </w:t>
      </w:r>
      <w:r>
        <w:rPr>
          <w:rtl/>
        </w:rPr>
        <w:t xml:space="preserve">نوآوری را میانجی رابطه قابلیت‌های پویا با مزیت رقابتی پایدار یافته‌اند؛ بر این پایه، ضعف ظرفیت نوآوری می‌تواند در بلندمدت به افت مزیت رقابتی بینجامد</w:t>
      </w:r>
      <w:r>
        <w:rPr>
          <w:rtl/>
        </w:rPr>
        <w:t xml:space="preserve">؛ پانل اما چنین چالش‌های توانمندی بلندمدت را در کنار فشارهای جاری فروش کم‌فوریت‌تر ارزیابی کرده است. تفسیر دیگری نیز ممکن است: همان‌گونه که در بخش ۳-۷-۱ آمد، برخی اعضا برندسازی قوی را بیش از آنکه چالش بدانند راهکار می‌دانستند و از این رو ممکن است در امتیازدهی به آن به عنوان چالش، اهمیت کمتری قائل شده باشند.</w:t>
      </w:r>
    </w:p>
    <w:p>
      <w:pPr>
        <w:bidi/>
        <w:spacing w:after="80"/>
        <w:ind w:firstLine="720"/>
        <w:jc w:val="both"/>
      </w:pPr>
      <w:r>
        <w:rPr>
          <w:rtl/>
        </w:rPr>
        <w:t xml:space="preserve">نکته پایانی </w:t>
      </w:r>
      <w:r>
        <w:rPr>
          <w:rtl/>
        </w:rPr>
        <w:t xml:space="preserve">به اعتبار رتبه‌بندی و ثبات اجماع</w:t>
      </w:r>
      <w:r>
        <w:rPr>
          <w:rtl/>
        </w:rPr>
        <w:t xml:space="preserve"> مربوط می‌شود. ضریب هماهنگی کندال از ۰٫۲۲۴ در دور دوم (</w:t>
      </w:r>
      <w:r>
        <w:rPr>
          <w:rtl/>
        </w:rPr>
        <w:t xml:space="preserve">توافق ضعیف؛ سطح معناداری ۰٫۰۲۸۶</w:t>
      </w:r>
      <w:r>
        <w:rPr>
          <w:rtl/>
        </w:rPr>
        <w:t xml:space="preserve">) به ۰٫۷۵۶ در دور سوم (توافق قوی؛ سطح معناداری کمتر از ۰٫۰۰۰۱) رسید و میانگین انحراف معیار گویه‌ها از ۰٫۷۳ به ۰٫۱۷ کاهش یافت؛ </w:t>
      </w:r>
      <w:r>
        <w:rPr>
          <w:rtl/>
        </w:rPr>
        <w:t xml:space="preserve">بنابراین توافق معنادار میان اعضای پانل در دور نهایی تأیید می‌شود</w:t>
      </w:r>
      <w:r>
        <w:rPr>
          <w:rtl/>
        </w:rPr>
        <w:t xml:space="preserve">. ضرایب اسپیرمن میان دور دوم و سوم (۰٫۸۴۷ در سطح گویه و ۰٫۸۳۳ در سطح مؤلفه، هر دو معنادار) </w:t>
      </w:r>
      <w:r>
        <w:rPr>
          <w:rtl/>
        </w:rPr>
        <w:t xml:space="preserve">ثبات رتبه‌بندی میان دو دور پایانی را نشان می‌دهند</w:t>
      </w:r>
      <w:r>
        <w:rPr>
          <w:rtl/>
        </w:rPr>
        <w:t xml:space="preserve">. ناشناس‌ماندن پاسخ‌ها و بازخورد کنترل‌شده از ویژگی‌های بنیادین روش دلفی‌اند </w:t>
      </w:r>
      <w:r>
        <w:rPr>
          <w:rtl/>
        </w:rPr>
        <w:t xml:space="preserve">(ناسا و همکاران، ۲۰۲۱)</w:t>
      </w:r>
      <w:r>
        <w:rPr>
          <w:rStyle w:val="FootnoteReference"/>
        </w:rPr>
        <w:footnoteReference w:id="133"/>
      </w:r>
      <w:r>
        <w:rPr>
          <w:rtl/>
        </w:rPr>
        <w:t xml:space="preserve"> و نزدیک‌شدن دیدگاه‌ها پس از بازخورد، الگوی مورد انتظار این روش است؛ </w:t>
      </w:r>
      <w:r>
        <w:rPr>
          <w:rtl/>
        </w:rPr>
        <w:t xml:space="preserve">ضریب کندال نیز، که در دلفی‌های مبتنی بر رتبه‌بندی برای سنجش توافق به کار می‌رود (اشمیت، ۱۹۹۷)</w:t>
      </w:r>
      <w:r>
        <w:rPr>
          <w:rStyle w:val="FootnoteReference"/>
        </w:rPr>
        <w:footnoteReference w:id="134"/>
      </w:r>
      <w:r>
        <w:rPr>
          <w:rtl/>
        </w:rPr>
        <w:t xml:space="preserve">، معناداری آماری این توافق را می‌سنجد</w:t>
      </w:r>
      <w:r>
        <w:rPr>
          <w:rtl/>
        </w:rPr>
        <w:t xml:space="preserve">. با این حال دو احتیاط لازم است. نخست، بخشی از اجماع دور سوم ممکن است ناشی از نزدیک شدن اعضا به نظر گروه پس از دیدن بازخورد باشد، نه همگرایی ارزیابی‌های مستقل: در دور دوم برای هیچ گویه‌ای توافق کامل وجود نداشت، اما در دور سوم هر هفت عضو برای نوزده گویه امتیاز یکسانی دادند. دوم، هفده گویه میانگین یکسان ۴٫۰۰ دارند و میان آن‌ها تمایز رتبه‌ای وجود ندارد؛ بنابراین رتبه‌بندی در بالا و پایین جدول آگاهی‌بخش‌تر از میانه آن است.</w:t>
      </w:r>
    </w:p>
    <w:p>
      <w:pPr>
        <w:bidi/>
        <w:spacing w:after="80"/>
        <w:ind w:firstLine="720"/>
        <w:jc w:val="both"/>
      </w:pPr>
      <w:r>
        <w:rPr>
          <w:rtl/>
        </w:rPr>
        <w:t xml:space="preserve">بر این پایه، پاسخ پرسش دوم را می‌توان چنین جمع‌بندی کرد: اولویت‌های فروش بنگاه تک‌محصولی در صنعت مواد غذایی ایران در سه دسته جای می‌گیرد. در صدر، چهار چالش با اختلاف اندک قرار دارند: فشارهای اقتصاد کلان، به ویژه افزایش بهای تمام‌شده و فشار بر حاشیه سود؛ تغییر ذائقه و محدودیت بازار هدف؛ شدت رقابت، به ویژه ورود رقبای جدید؛ و آسیب‌پذیری ساختاری ناشی از تمرکز بر محصول واحد. در میانه، ناپایداری تأمین و هزینه‌بری توزیع، و در پایین، دشواری جذب و حفظ مشتری، ضعف برنامه‌ریزی و پیش‌بینی و ضعف برندسازی جای دارند. به این ترتیب، تکانه‌های بیرونی که هر بنگاهی با آن‌ها روبه‌روست، در بنگاه تک‌محصولی به دلیل نبود سازوکار جبران درونی، فوری‌ترین چالش‌های فروش شمرده می‌شوند. اعتبار این رتبه‌بندی </w:t>
      </w:r>
      <w:r>
        <w:rPr>
          <w:rtl/>
        </w:rPr>
        <w:t xml:space="preserve">با توافق معنادار و ثبات آماری دور سوم پشتیبانی</w:t>
      </w:r>
      <w:r>
        <w:rPr>
          <w:rtl/>
        </w:rPr>
        <w:t xml:space="preserve"> می‌شود، هرچند تمایز رتبه‌ای در میانه جدول گویه‌ها اندک است.</w:t>
      </w:r>
    </w:p>
    <w:p>
      <w:pPr>
        <w:pStyle w:val="Heading2"/>
        <w:keepNext/>
        <w:bidi/>
        <w:spacing w:before="240" w:after="80"/>
      </w:pPr>
      <w:bookmarkStart w:id="83" w:name="_Toc200000083"/>
      <w:r>
        <w:t>۵ـ۴ پیشنهادات تحقیق</w:t>
      </w:r>
      <w:bookmarkEnd w:id="83"/>
    </w:p>
    <w:p>
      <w:pPr>
        <w:bidi/>
        <w:spacing w:after="80"/>
        <w:ind w:firstLine="720"/>
        <w:jc w:val="both"/>
      </w:pPr>
      <w:r>
        <w:rPr>
          <w:rtl/>
        </w:rPr>
        <w:t xml:space="preserve">پیشنهادهای زیر برای مدیران شرکت‌های تک‌محصولی بر پایه ترتیب اولویت مؤلفه‌ها در جدول ۴-۱۳ تنظیم شده‌اند. بخشی از آن‌ها بر عبارت‌های راهکاری استوار است که اعضای پانل در دور نخست، به جای بیان چالش، مطرح کردند و از کدگذاری کنار گذاشته شد (بخش ۳-۷-۱). این پیشنهادها بر پایه یافته‌های پژوهش تدوین شده‌اند و آزمون نشده‌اند.</w:t>
      </w:r>
    </w:p>
    <w:p>
      <w:pPr>
        <w:pStyle w:val="ListParagraph"/>
        <w:numPr>
          <w:ilvl w:val="0"/>
          <w:numId w:val="3"/>
        </w:numPr>
        <w:bidi/>
        <w:spacing w:after="60"/>
        <w:jc w:val="both"/>
      </w:pPr>
      <w:r>
        <w:rPr>
          <w:rtl/>
        </w:rPr>
        <w:t xml:space="preserve">کاهش فشار هزینه و قدرت خرید (مؤلفه رتبه نخست؛ «افزایش بهای تمام‌شده و فشار بر حاشیه سود» با میانگین ۵٫۰۰): عرضه بسته‌بندی‌های کوچک‌تر و کم‌قیمت‌تر می‌تواند دسترسی مصرف‌کننده را در برابر کاهش قدرت خرید حفظ کند، بی‌آنکه به فرسایش حاشیه سود بینجامد. تخصیص بخشی از سود دوره‌های رونق به ذخیره احتیاطی نیز جایگزین عملی سپر تنوع محصولی در دوره‌های افت است.</w:t>
      </w:r>
    </w:p>
    <w:p>
      <w:pPr>
        <w:pStyle w:val="ListParagraph"/>
        <w:numPr>
          <w:ilvl w:val="0"/>
          <w:numId w:val="3"/>
        </w:numPr>
        <w:bidi/>
        <w:spacing w:after="60"/>
        <w:jc w:val="both"/>
      </w:pPr>
      <w:r>
        <w:rPr>
          <w:rtl/>
        </w:rPr>
        <w:t xml:space="preserve">رصد سبک و مستمر ذائقه و بازار (مؤلفه رتبه دوم؛ «تغییر سریع ذائقه» با میانگین ۴٫۷۱): لازم نیست بنگاه‌های کوچک هزینه تحقیقات بازار گسترده را بپذیرند. دریافت بازخورد دوره‌ای از شبکه توزیع، گفت‌وگوی منظم با خرده‌فروشان و پایش رفتار رقبا، بخش عمده هشدارهای لازم را فراهم می‌آورد. گسترش کاربرد محصول به بخش‌های تازه بازار، مانند کانال‌های مصرف صنفی و حرفه‌ای، می‌تواند محدودیت بازار هدف را بدون تغییر در خط تولید تا حدی جبران کند.</w:t>
      </w:r>
    </w:p>
    <w:p>
      <w:pPr>
        <w:pStyle w:val="ListParagraph"/>
        <w:numPr>
          <w:ilvl w:val="0"/>
          <w:numId w:val="3"/>
        </w:numPr>
        <w:bidi/>
        <w:spacing w:after="60"/>
        <w:jc w:val="both"/>
      </w:pPr>
      <w:r>
        <w:rPr>
          <w:rtl/>
        </w:rPr>
        <w:t xml:space="preserve">پرهیز از رقابت قیمتی و تمرکز بر تمایز غیرقیمتی (مؤلفه رتبه سوم؛ «ورود رقبای جدید» با میانگین ۵٫۰۰ و «رقابت قیمتی» با ۴٫۰۰): بنگاه تک‌محصولی در جنگ قیمت وضعیت نامساعدی دارد، زیرا رقیب چندمحصولی می‌تواند زیان یک محصول را از محل سایر اقلام جبران کند. تمرکز بر کیفیت، ثبات عرضه و خدمات پس از فروش، مسیر رقابتی پایدارتری است.</w:t>
      </w:r>
    </w:p>
    <w:p>
      <w:pPr>
        <w:pStyle w:val="ListParagraph"/>
        <w:numPr>
          <w:ilvl w:val="0"/>
          <w:numId w:val="3"/>
        </w:numPr>
        <w:bidi/>
        <w:spacing w:after="60"/>
        <w:jc w:val="both"/>
      </w:pPr>
      <w:r>
        <w:rPr>
          <w:rtl/>
        </w:rPr>
        <w:t xml:space="preserve">کاهش تدریجی وابستگی به محصول واحد (مؤلفه رتبه چهارم): توسعه سبد محصول نه به معنای ورود به بازارهای تازه، بلکه به معنای افزودن گونه‌های جانبی از همان محصول اصلی توصیه می‌شود، مانند تنوع در بسته‌بندی، اندازه، درجه کیفی یا فرمولاسیون. </w:t>
      </w:r>
      <w:r>
        <w:rPr>
          <w:rtl/>
        </w:rPr>
        <w:t xml:space="preserve">ادبیات نیز نشان داده است که بنگاه‌های دارای تنوع محصولی مرتبط عملکرد بهتری از بنگاه‌های دارای تنوع نامرتبط دارند (آرته و لاریمو، ۲۰۲۲)</w:t>
      </w:r>
      <w:r>
        <w:rPr>
          <w:rStyle w:val="FootnoteReference"/>
        </w:rPr>
        <w:footnoteReference w:id="135"/>
      </w:r>
      <w:r>
        <w:rPr>
          <w:rtl/>
        </w:rPr>
        <w:t xml:space="preserve"> و تنوع مرتبط ریسک بنگاه را می‌کاهد (مامن و همکاران، ۲۰۲۱)</w:t>
      </w:r>
      <w:r>
        <w:rPr>
          <w:rStyle w:val="FootnoteReference"/>
        </w:rPr>
        <w:footnoteReference w:id="136"/>
      </w:r>
      <w:r>
        <w:rPr>
          <w:rtl/>
        </w:rPr>
        <w:t xml:space="preserve">؛ این مسیر بخش عمده مزیت تخصص‌گرایی را حفظ می‌کند.</w:t>
      </w:r>
    </w:p>
    <w:p>
      <w:pPr>
        <w:pStyle w:val="ListParagraph"/>
        <w:numPr>
          <w:ilvl w:val="0"/>
          <w:numId w:val="3"/>
        </w:numPr>
        <w:bidi/>
        <w:spacing w:after="60"/>
        <w:jc w:val="both"/>
      </w:pPr>
      <w:r>
        <w:rPr>
          <w:rtl/>
        </w:rPr>
        <w:t xml:space="preserve">چندمنبعی کردن تأمین مواد اولیه (مؤلفه رتبه پنجم؛ «نوسان و کمبود در تأمین مواد اولیه» با میانگین ۴٫۵۷): اتکا به یک تأمین‌کننده ریسک ساختاری بنگاه را دوچندان می‌کند. شناسایی تأمین‌کنندگان جایگزین و انعقاد قراردادهای بلندمدت، حتی با قیمتی اندکی بالاتر، بیمه‌ای در برابر توقف تولید و کسری محصول در بازار است.</w:t>
      </w:r>
    </w:p>
    <w:p>
      <w:pPr>
        <w:pStyle w:val="ListParagraph"/>
        <w:numPr>
          <w:ilvl w:val="0"/>
          <w:numId w:val="3"/>
        </w:numPr>
        <w:bidi/>
        <w:spacing w:after="60"/>
        <w:jc w:val="both"/>
      </w:pPr>
      <w:r>
        <w:rPr>
          <w:rtl/>
        </w:rPr>
        <w:t xml:space="preserve">توزیع مشارکتی برای کاهش هزینه پخش (مؤلفه رتبه ششم؛ «هزینه بالای پخش و توزیع به ازای یک قلم کالا» با میانگین ۴٫۴۳): همکاری با تولیدکنندگان مکمل و غیررقیب برای استفاده مشترک از مسیرهای توزیع، یا برون‌سپاری پخش به شرکت‌های توزیع چندمحصولی، هزینه ثابت هر مسیر را میان اقلام بیشتری سرشکن می‌کند و هم‌زمان پوشش شبکه فروش را گسترش می‌دهد.</w:t>
      </w:r>
    </w:p>
    <w:p>
      <w:pPr>
        <w:pStyle w:val="ListParagraph"/>
        <w:numPr>
          <w:ilvl w:val="0"/>
          <w:numId w:val="3"/>
        </w:numPr>
        <w:bidi/>
        <w:spacing w:after="60"/>
        <w:jc w:val="both"/>
      </w:pPr>
      <w:r>
        <w:rPr>
          <w:rtl/>
        </w:rPr>
        <w:t xml:space="preserve">استقرار سازوکار ساده مدیریت ارتباط با مشتری (مؤلفه رتبه هفتم): ثبت منظم اطلاعات مشتریان کلیدی و پیگیری دوره‌ای آنان، حتی در قالبی ساده و بدون نرم‌افزار تخصصی، به حفظ مشتریان فعلی و جبران نسبی نبود پیشنهاد تازه کمک می‌کند. تانئو و همکاران (۲۰۲۲)</w:t>
      </w:r>
      <w:r>
        <w:rPr>
          <w:rStyle w:val="FootnoteReference"/>
        </w:rPr>
        <w:footnoteReference w:id="137"/>
      </w:r>
      <w:r>
        <w:rPr>
          <w:rtl/>
        </w:rPr>
        <w:t xml:space="preserve"> </w:t>
      </w:r>
      <w:r>
        <w:rPr>
          <w:rtl/>
        </w:rPr>
        <w:t xml:space="preserve">نشان داده‌اند آموزش هدفمند می‌تواند دانش مدیریتی مدیران بنگاه‌های کوچک صنعت غذایی را به‌طور معناداری افزایش دهد؛ از این رو آموزش ساده مدیران و کارکنان فروش برای ثبت و پیگیری اطلاعات مشتریان نیز می‌تواند گامی عملی باشد</w:t>
      </w:r>
      <w:r>
        <w:rPr>
          <w:rtl/>
        </w:rPr>
        <w:t xml:space="preserve">.</w:t>
      </w:r>
    </w:p>
    <w:p>
      <w:pPr>
        <w:pStyle w:val="ListParagraph"/>
        <w:numPr>
          <w:ilvl w:val="0"/>
          <w:numId w:val="3"/>
        </w:numPr>
        <w:bidi/>
        <w:spacing w:after="60"/>
        <w:jc w:val="both"/>
      </w:pPr>
      <w:r>
        <w:rPr>
          <w:rtl/>
        </w:rPr>
        <w:t xml:space="preserve">تقویت برنامه‌ریزی و پیش‌بینی فروش (مؤلفه رتبه هشتم): ثبت منظم داده‌های فروش و استفاده از الگوهای فصلی گذشته، از انباشت موجودی و نیز از کسری محصول در بازار جلوگیری می‌کند.</w:t>
      </w:r>
    </w:p>
    <w:p>
      <w:pPr>
        <w:pStyle w:val="ListParagraph"/>
        <w:numPr>
          <w:ilvl w:val="0"/>
          <w:numId w:val="3"/>
        </w:numPr>
        <w:bidi/>
        <w:spacing w:after="60"/>
        <w:jc w:val="both"/>
      </w:pPr>
      <w:r>
        <w:rPr>
          <w:rtl/>
        </w:rPr>
        <w:t xml:space="preserve">سرمایه‌گذاری بلندمدت بر برندسازی و نوآوری (مؤلفه رتبه نهم): اگرچه این مؤلفه‌ها در رتبه‌های پایین جای دارند، برخی اعضای پانل برندسازی قوی را راهکار مهم بنگاه تک‌محصولی می‌دانستند (بخش ۳-۷-۱). اثر این سرمایه‌گذاری نه در کوتاه‌مدت، بلکه در مقاومت بنگاه در برابر ورود رقبا و فرسایش مزیت رقابتی آشکار می‌شود.</w:t>
      </w:r>
    </w:p>
    <w:p>
      <w:pPr>
        <w:pStyle w:val="Heading2"/>
        <w:keepNext/>
        <w:bidi/>
        <w:spacing w:before="240" w:after="80"/>
      </w:pPr>
      <w:bookmarkStart w:id="84" w:name="_Toc200000084"/>
      <w:r>
        <w:t>۵ـ۵ محدودیت‌های پژوهش</w:t>
      </w:r>
      <w:bookmarkEnd w:id="84"/>
    </w:p>
    <w:p>
      <w:pPr>
        <w:bidi/>
        <w:spacing w:after="80"/>
        <w:ind w:firstLine="720"/>
        <w:jc w:val="both"/>
      </w:pPr>
      <w:r>
        <w:rPr>
          <w:rtl/>
        </w:rPr>
        <w:t>هر پژوهشی در چارچوب محدودیت‌های خود معنا می‌یابد و بیان صریح این محدودیت‌ها، شرط تفسیر درست یافته‌هاست.</w:t>
      </w:r>
    </w:p>
    <w:p>
      <w:pPr>
        <w:pStyle w:val="ListParagraph"/>
        <w:numPr>
          <w:ilvl w:val="0"/>
          <w:numId w:val="3"/>
        </w:numPr>
        <w:bidi/>
        <w:spacing w:after="60"/>
        <w:jc w:val="both"/>
      </w:pPr>
      <w:r>
        <w:rPr>
          <w:rtl/>
        </w:rPr>
        <w:t xml:space="preserve">اندازه و شیوه انتخاب پانل: پانل هفت‌نفره با نمونه‌گیری هدفمند قضاوتی تشکیل شد و در نیمه پایین‌تر دامنه‌ای قرار دارد که ادبیات دلفی گزارش کرده است (بخش ۳-۴-۲). در چنین پانلی نظر هر عضو بر نتیجه نهایی اثر بیشتری دارد و یافته‌ها قابل تعمیم آماری به جامعه بنگاه‌های تک‌محصولی نیست؛ آن‌ها تصویری عمیق از دیدگاه گروهی خاص از خبرگان‌اند.</w:t>
      </w:r>
    </w:p>
    <w:p>
      <w:pPr>
        <w:pStyle w:val="ListParagraph"/>
        <w:numPr>
          <w:ilvl w:val="0"/>
          <w:numId w:val="3"/>
        </w:numPr>
        <w:bidi/>
        <w:spacing w:after="60"/>
        <w:jc w:val="both"/>
      </w:pPr>
      <w:r>
        <w:rPr>
          <w:rtl/>
        </w:rPr>
        <w:t xml:space="preserve">دامنه محصولی و زمانی: تجربه اعضا عمدتاً به فرآورده‌های لبنی، کره و حلوا ارده محدود بود (برای سه نفر نوع محصول ثبت نشد) و داده‌ها از اردیبهشت تا شهریور ۱۴۰۵ گردآوری شد. زیرصنایع دیگر مواد غذایی ممکن است چالش‌های خاص خود داشته باشند و، به ویژه با توجه به جایگاه نخست فشارهای اقتصاد کلان، رتبه‌بندی باید در بستر زمان گردآوری تفسیر شود.</w:t>
      </w:r>
    </w:p>
    <w:p>
      <w:pPr>
        <w:pStyle w:val="ListParagraph"/>
        <w:numPr>
          <w:ilvl w:val="0"/>
          <w:numId w:val="3"/>
        </w:numPr>
        <w:bidi/>
        <w:spacing w:after="60"/>
        <w:jc w:val="both"/>
      </w:pPr>
      <w:r>
        <w:rPr>
          <w:rtl/>
        </w:rPr>
        <w:t xml:space="preserve">ماهیت اجماع: فهرست دورهای رتبه‌بندی از کدهای دور نخست ساخته شد که با چالش‌های برگرفته از ادبیات ترکیب و بررسی شدند؛ از این رو عوامل مطرح‌نشده در آن دور رتبه‌بندی نشدند.</w:t>
      </w:r>
      <w:r>
        <w:rPr>
          <w:rtl/>
        </w:rPr>
        <w:t xml:space="preserve"> افزون بر این، بخشی از اجماع دور سوم ممکن است پیامد نزدیک شدن به نظر گروه پس از بازخورد باشد و هفده گویه با میانگین یکسان ۴٫۰۰ از هم تمایز رتبه‌ای ندارند.</w:t>
      </w:r>
    </w:p>
    <w:p>
      <w:pPr>
        <w:pStyle w:val="ListParagraph"/>
        <w:numPr>
          <w:ilvl w:val="0"/>
          <w:numId w:val="3"/>
        </w:numPr>
        <w:bidi/>
        <w:spacing w:after="60"/>
        <w:jc w:val="both"/>
      </w:pPr>
      <w:r>
        <w:rPr>
          <w:rtl/>
        </w:rPr>
        <w:t xml:space="preserve">وزن‌های </w:t>
      </w:r>
      <w:r>
        <w:rPr>
          <w:rFonts w:ascii="Times New Roman" w:hAnsi="Times New Roman" w:cs="Times New Roman" w:eastAsia="Times New Roman"/>
          <w:sz w:val="26"/>
          <w:szCs w:val="26"/>
        </w:rPr>
        <w:t xml:space="preserve">AHP</w:t>
      </w:r>
      <w:r>
        <w:rPr>
          <w:rtl/>
        </w:rPr>
        <w:t xml:space="preserve"> بدون محاسبه‌ی مقایسه‌های زوجی و بر پایه میانگین امتیاز دور سوم محاسبه شدند؛ از این رو بیانگر اهمیت نسبی امتیازها هستند، نه قضاوت‌های زوجی اعضای پانل.</w:t>
      </w:r>
    </w:p>
    <w:p>
      <w:pPr>
        <w:pStyle w:val="ListParagraph"/>
        <w:numPr>
          <w:ilvl w:val="0"/>
          <w:numId w:val="3"/>
        </w:numPr>
        <w:bidi/>
        <w:spacing w:after="60"/>
        <w:jc w:val="both"/>
      </w:pPr>
      <w:r>
        <w:rPr>
          <w:rtl/>
        </w:rPr>
        <w:t xml:space="preserve">کدگذاری دور نخست: تحلیل مضمون و ساخت گویه‌ها را یک پژوهشگر انجام داد و کدگذار دوم وجود نداشت. هرچند فرایند کدگذاری در فصل سوم مستند شده است، حضور کدگذار دوم می‌توانست اعتماد بیشتری فراهم آورد.</w:t>
      </w:r>
    </w:p>
    <w:p>
      <w:pPr>
        <w:pStyle w:val="Heading2"/>
        <w:keepNext/>
        <w:bidi/>
        <w:spacing w:before="240" w:after="80"/>
      </w:pPr>
      <w:bookmarkStart w:id="85" w:name="_Toc200000085"/>
      <w:r>
        <w:t>۵ـ۶ پیشنهادهایی برای پژوهش‌های آتی</w:t>
      </w:r>
      <w:bookmarkEnd w:id="85"/>
    </w:p>
    <w:p>
      <w:pPr>
        <w:bidi/>
        <w:spacing w:after="80"/>
        <w:ind w:firstLine="720"/>
        <w:jc w:val="both"/>
      </w:pPr>
      <w:r>
        <w:rPr>
          <w:rtl/>
        </w:rPr>
        <w:t xml:space="preserve">پیشنهادهای زیر از یافته‌ها و محدودیت‌های این پژوهش برخاسته‌اند.</w:t>
      </w:r>
    </w:p>
    <w:p>
      <w:pPr>
        <w:pStyle w:val="ListParagraph"/>
        <w:numPr>
          <w:ilvl w:val="0"/>
          <w:numId w:val="3"/>
        </w:numPr>
        <w:bidi/>
        <w:spacing w:after="60"/>
        <w:jc w:val="both"/>
      </w:pPr>
      <w:r>
        <w:rPr>
          <w:rtl/>
        </w:rPr>
        <w:t xml:space="preserve">سنجش کمی اولویت‌ها با نمونه‌ای بزرگ‌تر: بیست‌ونه گویه این پژوهش می‌توانند گویه‌های پرسشنامه‌ای ساختاریافته در پیمایشی با نمونه‌ای گسترده‌تر از خبرگان باشند که اولویت چالش‌ها را با فنون تصمیم‌گیری چندمعیاره تعیین می‌کند. چنین مطالعه‌ای می‌تواند رتبه‌بندی دلفی را راستی‌آزمایی کند و تمایز رتبه‌ای میان هفده گویه هم‌امتیاز را روشن سازد.</w:t>
      </w:r>
    </w:p>
    <w:p>
      <w:pPr>
        <w:pStyle w:val="ListParagraph"/>
        <w:numPr>
          <w:ilvl w:val="0"/>
          <w:numId w:val="3"/>
        </w:numPr>
        <w:bidi/>
        <w:spacing w:after="60"/>
        <w:jc w:val="both"/>
      </w:pPr>
      <w:r>
        <w:rPr>
          <w:rtl/>
        </w:rPr>
        <w:t xml:space="preserve">بررسی عوامل مطرح‌نشده: الزامات نظارتی و ایمنی مواد غذایی، کمبود نیروی فروش ماهر، شکاف نگرش و رفتار خرید مصرف‌کننده و بُعد دیجیتال فروش، که در ادبیات آمده‌اند اما در دور نخست مطرح نشدند، می‌توانند با پرسش‌های هدایت‌شده‌تر یا با افزودن به فهرست رتبه‌بندی بررسی شوند تا روشن شود غیبت آن‌ها ناشی از بی‌اهمیتی است یا از ساختار باز پرسش دور نخست.</w:t>
      </w:r>
    </w:p>
    <w:p>
      <w:pPr>
        <w:pStyle w:val="ListParagraph"/>
        <w:numPr>
          <w:ilvl w:val="0"/>
          <w:numId w:val="3"/>
        </w:numPr>
        <w:bidi/>
        <w:spacing w:after="60"/>
        <w:jc w:val="both"/>
      </w:pPr>
      <w:r>
        <w:rPr>
          <w:rtl/>
        </w:rPr>
        <w:t xml:space="preserve">بررسی روابط علّی میان چالش‌ها: پیوستگی میان چالش‌ها در این پژوهش بررسی نشد. روش‌هایی مانند مدل‌سازی ساختاری تفسیری یا دیمتل می‌تواند روشن سازد کدام چالش‌ها نقش علت و کدام نقش معلول دارند، و برای نمونه آزمون کند که آیا فشارهای اقتصاد کلان از مسیر آسیب‌پذیری ساختاری به افت فروش می‌انجامد.</w:t>
      </w:r>
    </w:p>
    <w:p>
      <w:pPr>
        <w:pStyle w:val="ListParagraph"/>
        <w:numPr>
          <w:ilvl w:val="0"/>
          <w:numId w:val="3"/>
        </w:numPr>
        <w:bidi/>
        <w:spacing w:after="60"/>
        <w:jc w:val="both"/>
      </w:pPr>
      <w:r>
        <w:rPr>
          <w:rtl/>
        </w:rPr>
        <w:t>مقایسه بنگاه‌های تک‌محصولی و چندمحصولی: پژوهشی تطبیقی که همین پرسش را از خبرگان هر دو گروه بپرسد، می‌تواند مشخص کند کدام چالش‌ها واقعاً خاص ساختار تک‌محصولی‌اند و کدام‌ها مشترک میان همه بنگاه‌های صنعت.</w:t>
      </w:r>
    </w:p>
    <w:p>
      <w:pPr>
        <w:pStyle w:val="ListParagraph"/>
        <w:numPr>
          <w:ilvl w:val="0"/>
          <w:numId w:val="3"/>
        </w:numPr>
        <w:bidi/>
        <w:spacing w:after="60"/>
        <w:jc w:val="both"/>
      </w:pPr>
      <w:r>
        <w:rPr>
          <w:rtl/>
        </w:rPr>
        <w:t>مطالعه موردی در یک زیرصنعت خاص: تمرکز بر یک گروه محصولی واحد، مانند فرآورده‌های لبنی یا محصولات کنجدی، امکان بررسی عمیق‌تر سازوکار هر چالش و شناسایی راهکارهای بومی‌تر را فراهم می‌آورد.</w:t>
      </w:r>
    </w:p>
    <w:p>
      <w:pPr>
        <w:pStyle w:val="ListParagraph"/>
        <w:numPr>
          <w:ilvl w:val="0"/>
          <w:numId w:val="3"/>
        </w:numPr>
        <w:bidi/>
        <w:spacing w:after="60"/>
        <w:jc w:val="both"/>
      </w:pPr>
      <w:r>
        <w:rPr>
          <w:rtl/>
        </w:rPr>
        <w:t>ارزیابی اثربخشی راهکارها: پیشنهادهای کاربردی این پژوهش بر پایه یافته‌های آن استوارند اما آزمون نشده‌اند. پژوهشی که اثر اجرای این راهکارها را بر عملکرد فروش بنگاه‌های تک‌محصولی بسنجد، حلقه مفقوده میان شناخت مسئله و حل آن را تکمیل می‌کند.</w:t>
      </w:r>
    </w:p>
    <w:p>
      <w:pPr>
        <w:pStyle w:val="ListParagraph"/>
        <w:numPr>
          <w:ilvl w:val="0"/>
          <w:numId w:val="3"/>
        </w:numPr>
        <w:bidi/>
        <w:spacing w:after="60"/>
        <w:jc w:val="both"/>
        <w:sectPr>
          <w:footerReference w:type="default" r:id="rId6"/>
          <w:footerReference w:type="first" r:id="rId5"/>
          <w:pgSz w:w="11906" w:h="16838"/>
          <w:pgMar w:top="1701" w:right="1701" w:bottom="1417" w:left="1417" w:header="709" w:footer="709" w:gutter="0"/>
          <w:pgNumType w:fmt="decimal"/>
          <w:cols w:space="720"/>
          <w:titlePg/>
          <w:docGrid w:linePitch="360"/>
        </w:sectPr>
      </w:pPr>
      <w:r>
        <w:rPr>
          <w:rtl/>
        </w:rPr>
        <w:t xml:space="preserve">تکرار مطالعه در سایر صنایع و بازه‌های زمانی: بررسی اینکه آیا الگوی به دست آمده در این پژوهش، یعنی برتری چالش‌های برون‌سازمانی در رتبه‌بندی، در بنگاه‌های تک‌محصولی سایر صنایع و در شرایط اقتصادی متفاوت نیز تکرار می‌شود یا خیر، به تعمیم‌پذیری یافته‌ها کمک می‌کند.</w:t>
      </w:r>
    </w:p>
    <w:tbl>
      <w:tblPr>
        <w:tblW w:w="8788" w:type="dxa"/>
        <w:tblLayout w:type="fixed"/>
        <w:tblLook w:val="0000"/>
      </w:tblPr>
      <w:tblGrid>
        <w:gridCol w:w="8788"/>
      </w:tblGrid>
      <w:tr>
        <w:trPr>
          <w:cantSplit/>
          <w:trHeight w:val="12000" w:hRule="exact"/>
        </w:trPr>
        <w:tc>
          <w:tcPr>
            <w:tcW w:w="8788" w:type="dxa"/>
            <w:vAlign w:val="center"/>
          </w:tcPr>
          <w:p>
            <w:pPr>
              <w:pStyle w:val="Heading1"/>
              <w:bidi/>
              <w:jc w:val="center"/>
            </w:pPr>
            <w:bookmarkStart w:id="86" w:name="_Toc200000086"/>
            <w:r>
              <w:rPr>
                <w:rtl/>
              </w:rPr>
              <w:t xml:space="preserve">منابع</w:t>
            </w:r>
            <w:bookmarkEnd w:id="86"/>
          </w:p>
        </w:tc>
      </w:tr>
    </w:tbl>
    <w:p>
      <w:pPr>
        <w:pStyle w:val="Heading2"/>
        <w:keepNext/>
        <w:pageBreakBefore/>
        <w:bidi/>
        <w:spacing w:before="0" w:after="80"/>
      </w:pPr>
      <w:bookmarkStart w:id="87" w:name="_Toc200000087"/>
      <w:r>
        <w:t>منابع داخلی</w:t>
      </w:r>
      <w:bookmarkEnd w:id="87"/>
    </w:p>
    <w:p>
      <w:pPr>
        <w:bidi/>
        <w:spacing w:after="140"/>
        <w:ind w:left="567" w:hanging="567"/>
      </w:pPr>
      <w:r>
        <w:rPr>
          <w:sz w:val="24"/>
          <w:szCs w:val="24"/>
          <w:rtl/>
        </w:rPr>
        <w:t xml:space="preserve">آسیابانی، ن.، کاظم‌پور کهریز، ا.، حسنی‌مقدم، م.، دوراندیش، آ.، و قاسمی، ا. (۱۴۰۴). ارزیابی پایداری ترجیحات مصرف‌کنندگان برنج در کشور. </w:t>
      </w:r>
      <w:r>
        <w:rPr>
          <w:i/>
          <w:iCs/>
          <w:sz w:val="24"/>
          <w:szCs w:val="24"/>
          <w:rtl/>
        </w:rPr>
        <w:t xml:space="preserve">اقتصاد و توسعه کشاورزی، ۳۹</w:t>
      </w:r>
      <w:r>
        <w:rPr>
          <w:sz w:val="24"/>
          <w:szCs w:val="24"/>
          <w:rtl/>
        </w:rPr>
        <w:t xml:space="preserve">(۳)، ۲۷۳–۲۸۹. </w:t>
      </w:r>
      <w:r>
        <w:rPr>
          <w:rFonts w:ascii="Times New Roman" w:hAnsi="Times New Roman" w:cs="Times New Roman" w:eastAsia="Times New Roman"/>
          <w:sz w:val="24"/>
          <w:szCs w:val="24"/>
        </w:rPr>
        <w:t xml:space="preserve">https://doi.org/10.22067/jead.2025.93036.1343</w:t>
      </w:r>
    </w:p>
    <w:p>
      <w:pPr>
        <w:bidi/>
        <w:spacing w:after="140"/>
        <w:ind w:left="567" w:hanging="567"/>
      </w:pPr>
      <w:r>
        <w:rPr>
          <w:sz w:val="24"/>
          <w:szCs w:val="24"/>
          <w:rtl/>
        </w:rPr>
        <w:t xml:space="preserve">اسکندری، م.، دارابی، م.، و اصغری، ح. (۱۴۰۴). شناسایی و ارزیابی موانع حوزه فروش به‌منظور کاهش بحران‌های زنجیره تأمین مواد غذایی. </w:t>
      </w:r>
      <w:r>
        <w:rPr>
          <w:i/>
          <w:iCs/>
          <w:sz w:val="24"/>
          <w:szCs w:val="24"/>
          <w:rtl/>
        </w:rPr>
        <w:t xml:space="preserve">مدیریت زنجیره تأمین، ۲۷</w:t>
      </w:r>
      <w:r>
        <w:rPr>
          <w:sz w:val="24"/>
          <w:szCs w:val="24"/>
          <w:rtl/>
        </w:rPr>
        <w:t xml:space="preserve">(۱، پیاپی ۸۶)، ۱۹–۲۹.</w:t>
      </w:r>
    </w:p>
    <w:p>
      <w:pPr>
        <w:bidi/>
        <w:spacing w:after="140"/>
        <w:ind w:left="567" w:hanging="567"/>
      </w:pPr>
      <w:r>
        <w:rPr>
          <w:sz w:val="24"/>
          <w:szCs w:val="24"/>
          <w:rtl/>
        </w:rPr>
        <w:t xml:space="preserve">خبرگزاری مهر. (۱۹ اردیبهشت ۱۴۰۳). </w:t>
      </w:r>
      <w:r>
        <w:rPr>
          <w:i/>
          <w:iCs/>
          <w:sz w:val="24"/>
          <w:szCs w:val="24"/>
          <w:rtl/>
        </w:rPr>
        <w:t xml:space="preserve">سهم ۰٫۳ درصدی ایران از صادرات صنایع غذایی جهان</w:t>
      </w:r>
      <w:r>
        <w:rPr>
          <w:sz w:val="24"/>
          <w:szCs w:val="24"/>
          <w:rtl/>
        </w:rPr>
        <w:t xml:space="preserve">. </w:t>
      </w:r>
      <w:r>
        <w:rPr>
          <w:rFonts w:ascii="Times New Roman" w:hAnsi="Times New Roman" w:cs="Times New Roman" w:eastAsia="Times New Roman"/>
          <w:sz w:val="24"/>
          <w:szCs w:val="24"/>
        </w:rPr>
        <w:t xml:space="preserve">https://www.mehrnews.com/news/6100732</w:t>
      </w:r>
    </w:p>
    <w:p>
      <w:pPr>
        <w:bidi/>
        <w:spacing w:after="140"/>
        <w:ind w:left="567" w:hanging="567"/>
      </w:pPr>
      <w:r>
        <w:rPr>
          <w:sz w:val="24"/>
          <w:szCs w:val="24"/>
          <w:rtl/>
        </w:rPr>
        <w:t xml:space="preserve">سیدغفوری، س.، ناصحی‌فر، و.، و عسکری، ف. (۱۴۰۳). شناسایی عوامل مؤثر بر استراتژی توزیع در صنایع غذایی با نگرش بازاریابی و فروش آنلاین (فراترکیب). </w:t>
      </w:r>
      <w:r>
        <w:rPr>
          <w:i/>
          <w:iCs/>
          <w:sz w:val="24"/>
          <w:szCs w:val="24"/>
          <w:rtl/>
        </w:rPr>
        <w:t xml:space="preserve">ارزش‌آفرینی در مدیریت کسب‌وکار، ۴</w:t>
      </w:r>
      <w:r>
        <w:rPr>
          <w:sz w:val="24"/>
          <w:szCs w:val="24"/>
          <w:rtl/>
        </w:rPr>
        <w:t xml:space="preserve">(۴)، ۳۳۷–۳۶۲. </w:t>
      </w:r>
      <w:r>
        <w:rPr>
          <w:rFonts w:ascii="Times New Roman" w:hAnsi="Times New Roman" w:cs="Times New Roman" w:eastAsia="Times New Roman"/>
          <w:sz w:val="24"/>
          <w:szCs w:val="24"/>
        </w:rPr>
        <w:t xml:space="preserve">https://doi.org/10.22034/jvcbm.2024.463254.1400</w:t>
      </w:r>
    </w:p>
    <w:p>
      <w:pPr>
        <w:bidi/>
        <w:spacing w:after="140"/>
        <w:ind w:left="567" w:hanging="567"/>
      </w:pPr>
      <w:r>
        <w:rPr>
          <w:sz w:val="24"/>
          <w:szCs w:val="24"/>
          <w:rtl/>
        </w:rPr>
        <w:t xml:space="preserve">صفری، م.، و اسماعیل‌نژاد، د. (۱۴۰۳). شناسایی و اولویت‌بندی موانع فروش محصولات سبز در ترویج الگوی مصرف پایدار با استفاده از روش بهترین–بدترین و تودیم فازی. </w:t>
      </w:r>
      <w:r>
        <w:rPr>
          <w:i/>
          <w:iCs/>
          <w:sz w:val="24"/>
          <w:szCs w:val="24"/>
          <w:rtl/>
        </w:rPr>
        <w:t xml:space="preserve">راهبردهای بازرگانی، ۳۱</w:t>
      </w:r>
      <w:r>
        <w:rPr>
          <w:sz w:val="24"/>
          <w:szCs w:val="24"/>
          <w:rtl/>
        </w:rPr>
        <w:t xml:space="preserve">(۲۳). </w:t>
      </w:r>
      <w:r>
        <w:rPr>
          <w:rFonts w:ascii="Times New Roman" w:hAnsi="Times New Roman" w:cs="Times New Roman" w:eastAsia="Times New Roman"/>
          <w:sz w:val="24"/>
          <w:szCs w:val="24"/>
        </w:rPr>
        <w:t xml:space="preserve">https://doi.org/10.22070/cs.2025.20707.1440</w:t>
      </w:r>
    </w:p>
    <w:p>
      <w:pPr>
        <w:bidi/>
        <w:spacing w:after="140"/>
        <w:ind w:left="567" w:hanging="567"/>
      </w:pPr>
      <w:r>
        <w:rPr>
          <w:sz w:val="24"/>
          <w:szCs w:val="24"/>
          <w:rtl/>
        </w:rPr>
        <w:t xml:space="preserve">فائقی، م.، سبزعلی یمقانی، ک.، محزونی، م.، و احمدی، م. (۱۴۰۳). اولویت‌بندی عوامل اثرگذار تکنیک‌های بازاریابی عصبی در تولید پایدار (مورد مطالعه صنایع غذایی ایران). </w:t>
      </w:r>
      <w:r>
        <w:rPr>
          <w:i/>
          <w:iCs/>
          <w:sz w:val="24"/>
          <w:szCs w:val="24"/>
          <w:rtl/>
        </w:rPr>
        <w:t xml:space="preserve">مدیریت بازاریابی هوشمند، ۵</w:t>
      </w:r>
      <w:r>
        <w:rPr>
          <w:sz w:val="24"/>
          <w:szCs w:val="24"/>
          <w:rtl/>
        </w:rPr>
        <w:t xml:space="preserve">(۲)، ۶۵–۱۰۰.</w:t>
      </w:r>
    </w:p>
    <w:p>
      <w:pPr>
        <w:bidi/>
        <w:spacing w:after="140"/>
        <w:ind w:left="567" w:hanging="567"/>
      </w:pPr>
      <w:r>
        <w:rPr>
          <w:sz w:val="24"/>
          <w:szCs w:val="24"/>
          <w:rtl/>
        </w:rPr>
        <w:t xml:space="preserve">قلی‌پور، س.، حسینی، م.، و پیروز، ا. (۱۴۰۳). فرصت‌ها و چالش‌های تجارت محصولات غذایی ایران به بازار عمان. </w:t>
      </w:r>
      <w:r>
        <w:rPr>
          <w:i/>
          <w:iCs/>
          <w:sz w:val="24"/>
          <w:szCs w:val="24"/>
          <w:rtl/>
        </w:rPr>
        <w:t xml:space="preserve">مطالعات کشورها، ۳</w:t>
      </w:r>
      <w:r>
        <w:rPr>
          <w:sz w:val="24"/>
          <w:szCs w:val="24"/>
          <w:rtl/>
        </w:rPr>
        <w:t xml:space="preserve">(۲). </w:t>
      </w:r>
      <w:r>
        <w:rPr>
          <w:rFonts w:ascii="Times New Roman" w:hAnsi="Times New Roman" w:cs="Times New Roman" w:eastAsia="Times New Roman"/>
          <w:sz w:val="24"/>
          <w:szCs w:val="24"/>
        </w:rPr>
        <w:t xml:space="preserve">https://doi.org/10.22059/jcountst.2025.387432.1210</w:t>
      </w:r>
    </w:p>
    <w:p>
      <w:pPr>
        <w:bidi/>
        <w:spacing w:after="140"/>
        <w:ind w:left="567" w:hanging="567"/>
      </w:pPr>
      <w:r>
        <w:rPr>
          <w:sz w:val="24"/>
          <w:szCs w:val="24"/>
          <w:rtl/>
        </w:rPr>
        <w:t xml:space="preserve">کریمی، ا.، حسن‌پور، ح.، و مصدق‌خواه، م. (۱۴۰۳). ارائه الگوی تحلیل اختلالات و تاب‌آوری زنجیره تأمین مواد غذایی. </w:t>
      </w:r>
      <w:r>
        <w:rPr>
          <w:i/>
          <w:iCs/>
          <w:sz w:val="24"/>
          <w:szCs w:val="24"/>
          <w:rtl/>
        </w:rPr>
        <w:t xml:space="preserve">بهبود مدیریت، ۱۸</w:t>
      </w:r>
      <w:r>
        <w:rPr>
          <w:sz w:val="24"/>
          <w:szCs w:val="24"/>
          <w:rtl/>
        </w:rPr>
        <w:t xml:space="preserve">(۲)، ۴۸–۷۳. </w:t>
      </w:r>
      <w:r>
        <w:rPr>
          <w:rFonts w:ascii="Times New Roman" w:hAnsi="Times New Roman" w:cs="Times New Roman" w:eastAsia="Times New Roman"/>
          <w:sz w:val="24"/>
          <w:szCs w:val="24"/>
        </w:rPr>
        <w:t xml:space="preserve">https://doi.org/10.22034/jmi.2024.449228.3074</w:t>
      </w:r>
    </w:p>
    <w:p>
      <w:pPr>
        <w:bidi/>
        <w:spacing w:after="140"/>
        <w:ind w:left="567" w:hanging="567"/>
      </w:pPr>
      <w:r>
        <w:rPr>
          <w:sz w:val="24"/>
          <w:szCs w:val="24"/>
          <w:rtl/>
        </w:rPr>
        <w:t xml:space="preserve">کنعانی، آ. (۱۳۹۴). اولویت‌بندی عوامل مؤثر بر بازاریابی و فروش محصول جدید در کسب‌وکارهای کوچک و متوسط حوزه زیست‌فناوری غذایی. </w:t>
      </w:r>
      <w:r>
        <w:rPr>
          <w:i/>
          <w:iCs/>
          <w:sz w:val="24"/>
          <w:szCs w:val="24"/>
          <w:rtl/>
        </w:rPr>
        <w:t xml:space="preserve">توسعه کارآفرینی، ۸</w:t>
      </w:r>
      <w:r>
        <w:rPr>
          <w:sz w:val="24"/>
          <w:szCs w:val="24"/>
          <w:rtl/>
        </w:rPr>
        <w:t xml:space="preserve">(۲)، ۳۳۳–۳۵۲.</w:t>
      </w:r>
    </w:p>
    <w:p>
      <w:pPr>
        <w:bidi/>
        <w:spacing w:after="140"/>
        <w:ind w:left="567" w:hanging="567"/>
      </w:pPr>
      <w:r>
        <w:rPr>
          <w:sz w:val="24"/>
          <w:szCs w:val="24"/>
          <w:rtl/>
        </w:rPr>
        <w:t xml:space="preserve">محسنی‌کبیر، ز.، موسوی‌کاشی، ز.، و سیدحسینی‌نیا، س. ش. (۱۴۰۳). تبیین مدل تاب‌آوری کسب‌وکارهای کوچک و متوسط در کشور ایران با رویکرد آمیخته </w:t>
      </w:r>
      <w:r>
        <w:rPr>
          <w:rFonts w:ascii="Times New Roman" w:hAnsi="Times New Roman" w:cs="Times New Roman" w:eastAsia="Times New Roman"/>
          <w:sz w:val="22"/>
          <w:szCs w:val="22"/>
        </w:rPr>
        <w:t xml:space="preserve">ISM-FDEMATEL.</w:t>
      </w:r>
      <w:r>
        <w:rPr>
          <w:sz w:val="24"/>
          <w:szCs w:val="24"/>
          <w:rtl/>
        </w:rPr>
        <w:t xml:space="preserve"> </w:t>
      </w:r>
      <w:r>
        <w:rPr>
          <w:i/>
          <w:iCs/>
          <w:sz w:val="24"/>
          <w:szCs w:val="24"/>
          <w:rtl/>
        </w:rPr>
        <w:t xml:space="preserve">فصلنامه انجمن علوم مدیریت ایران، ۱۹</w:t>
      </w:r>
      <w:r>
        <w:rPr>
          <w:sz w:val="24"/>
          <w:szCs w:val="24"/>
          <w:rtl/>
        </w:rPr>
        <w:t xml:space="preserve">(۷۳)، ۵۷–۹۸. </w:t>
      </w:r>
      <w:r>
        <w:rPr>
          <w:rFonts w:ascii="Times New Roman" w:hAnsi="Times New Roman" w:cs="Times New Roman" w:eastAsia="Times New Roman"/>
          <w:sz w:val="24"/>
          <w:szCs w:val="24"/>
        </w:rPr>
        <w:t xml:space="preserve">https://journal.iams.ir/article_419.html</w:t>
      </w:r>
    </w:p>
    <w:p>
      <w:pPr>
        <w:bidi/>
        <w:spacing w:after="140"/>
        <w:ind w:left="567" w:hanging="567"/>
      </w:pPr>
      <w:r>
        <w:rPr>
          <w:sz w:val="24"/>
          <w:szCs w:val="24"/>
          <w:rtl/>
        </w:rPr>
        <w:t xml:space="preserve">محمدی، ح.، و ثانی‌حیدری، ع. (۱۳۹۵). عوامل مؤثر بر انتخاب نوع استراتژی بازاریابی محصولات صنایع غذایی در مراحل رشد و معرفی محصول (مطالعه موردی شهر مشهد). </w:t>
      </w:r>
      <w:r>
        <w:rPr>
          <w:i/>
          <w:iCs/>
          <w:sz w:val="24"/>
          <w:szCs w:val="24"/>
          <w:rtl/>
        </w:rPr>
        <w:t xml:space="preserve">اقتصاد کشاورزی، ۱۰</w:t>
      </w:r>
      <w:r>
        <w:rPr>
          <w:sz w:val="24"/>
          <w:szCs w:val="24"/>
          <w:rtl/>
        </w:rPr>
        <w:t xml:space="preserve">(۴). </w:t>
      </w:r>
      <w:r>
        <w:rPr>
          <w:rFonts w:ascii="Times New Roman" w:hAnsi="Times New Roman" w:cs="Times New Roman" w:eastAsia="Times New Roman"/>
          <w:sz w:val="24"/>
          <w:szCs w:val="24"/>
        </w:rPr>
        <w:t xml:space="preserve">https://www.iranianjae.ir/article_22019.html</w:t>
      </w:r>
    </w:p>
    <w:p>
      <w:pPr>
        <w:bidi/>
        <w:spacing w:after="140"/>
        <w:ind w:left="567" w:hanging="567"/>
      </w:pPr>
      <w:r>
        <w:rPr>
          <w:sz w:val="24"/>
          <w:szCs w:val="24"/>
          <w:rtl/>
        </w:rPr>
        <w:t xml:space="preserve">محمدی، ح.، ثانی‌حیدری، ع.، و شهرکی، ع. (۱۴۰۱). عوامل مؤثر بر انتخاب استراتژی بازاریابی در مراحل مختلف چرخه عمر محصول. </w:t>
      </w:r>
      <w:r>
        <w:rPr>
          <w:i/>
          <w:iCs/>
          <w:sz w:val="24"/>
          <w:szCs w:val="24"/>
          <w:rtl/>
        </w:rPr>
        <w:t xml:space="preserve">اقتصاد و توسعه کشاورزی، ۳۶</w:t>
      </w:r>
      <w:r>
        <w:rPr>
          <w:sz w:val="24"/>
          <w:szCs w:val="24"/>
          <w:rtl/>
        </w:rPr>
        <w:t xml:space="preserve">(۴)، ۳۳۷–۳۵۲. </w:t>
      </w:r>
      <w:r>
        <w:rPr>
          <w:rFonts w:ascii="Times New Roman" w:hAnsi="Times New Roman" w:cs="Times New Roman" w:eastAsia="Times New Roman"/>
          <w:sz w:val="24"/>
          <w:szCs w:val="24"/>
        </w:rPr>
        <w:t xml:space="preserve">https://doi.org/10.22067/jead.2022.17748.0</w:t>
      </w:r>
    </w:p>
    <w:p>
      <w:pPr>
        <w:bidi/>
        <w:spacing w:after="140"/>
        <w:ind w:left="567" w:hanging="567"/>
      </w:pPr>
      <w:r>
        <w:rPr>
          <w:sz w:val="24"/>
          <w:szCs w:val="24"/>
          <w:rtl/>
        </w:rPr>
        <w:t xml:space="preserve">میثمی‌آزاد، ص.، حاجی‌ها، ع.، عبدالوند، م. ع.، و خیری، ب. (۱۴۰۰). طراحی الگوی برندسازی محصولات سبز در صنعت مواد غذایی. </w:t>
      </w:r>
      <w:r>
        <w:rPr>
          <w:i/>
          <w:iCs/>
          <w:sz w:val="24"/>
          <w:szCs w:val="24"/>
          <w:rtl/>
        </w:rPr>
        <w:t xml:space="preserve">چشم‌انداز مدیریت بازرگانی، ۲۰</w:t>
      </w:r>
      <w:r>
        <w:rPr>
          <w:sz w:val="24"/>
          <w:szCs w:val="24"/>
          <w:rtl/>
        </w:rPr>
        <w:t xml:space="preserve">(۴۷)، ۱۶۴–۱۸۸. </w:t>
      </w:r>
      <w:r>
        <w:rPr>
          <w:rFonts w:ascii="Times New Roman" w:hAnsi="Times New Roman" w:cs="Times New Roman" w:eastAsia="Times New Roman"/>
          <w:sz w:val="24"/>
          <w:szCs w:val="24"/>
        </w:rPr>
        <w:t xml:space="preserve">https://doi.org/10.52547/jbmp.20.47.164</w:t>
      </w:r>
    </w:p>
    <w:p>
      <w:pPr>
        <w:bidi/>
        <w:spacing w:after="140"/>
        <w:ind w:left="567" w:hanging="567"/>
      </w:pPr>
      <w:r>
        <w:rPr>
          <w:sz w:val="24"/>
          <w:szCs w:val="24"/>
          <w:rtl/>
        </w:rPr>
        <w:t xml:space="preserve">نجاتی، ن. (۱۴۰۰). بررسی اثرات اعمال استراتژی‌های بازاریابی دیجیتال در توسعه فروش محصولات صنایع غذایی. </w:t>
      </w:r>
      <w:r>
        <w:rPr>
          <w:i/>
          <w:iCs/>
          <w:sz w:val="24"/>
          <w:szCs w:val="24"/>
          <w:rtl/>
        </w:rPr>
        <w:t xml:space="preserve">مطالعات مدیریت، اقتصاد و کارآفرینی، ۲</w:t>
      </w:r>
      <w:r>
        <w:rPr>
          <w:sz w:val="24"/>
          <w:szCs w:val="24"/>
          <w:rtl/>
        </w:rPr>
        <w:t xml:space="preserve">(۴)، ۲۲–۳۸. </w:t>
      </w:r>
      <w:r>
        <w:rPr>
          <w:rFonts w:ascii="Times New Roman" w:hAnsi="Times New Roman" w:cs="Times New Roman" w:eastAsia="Times New Roman"/>
          <w:sz w:val="24"/>
          <w:szCs w:val="24"/>
        </w:rPr>
        <w:t xml:space="preserve">https://doi.org/10.22034/jmek.2021.143779</w:t>
      </w:r>
    </w:p>
    <w:p>
      <w:pPr>
        <w:pStyle w:val="Heading2"/>
        <w:keepNext/>
        <w:bidi/>
        <w:spacing w:before="360" w:after="80"/>
      </w:pPr>
      <w:bookmarkStart w:id="88" w:name="_Toc200000088"/>
      <w:r>
        <w:t>منابع خارجی</w:t>
      </w:r>
      <w:bookmarkEnd w:id="88"/>
    </w:p>
    <w:p>
      <w:pPr>
        <w:spacing w:after="140"/>
        <w:ind w:left="567" w:hanging="567"/>
        <w:jc w:val="left"/>
      </w:pPr>
      <w:r>
        <w:rPr>
          <w:rFonts w:ascii="Times New Roman" w:hAnsi="Times New Roman" w:cs="Times New Roman" w:eastAsia="Times New Roman"/>
          <w:sz w:val="22"/>
          <w:szCs w:val="22"/>
        </w:rPr>
        <w:t xml:space="preserve">Arte, P., &amp; Larimo, J. (2022). Moderating influence of product diversification on the international diversification-performance relationship: A meta-analysis. </w:t>
      </w:r>
      <w:r>
        <w:rPr>
          <w:rFonts w:ascii="Times New Roman" w:hAnsi="Times New Roman" w:cs="Times New Roman" w:eastAsia="Times New Roman"/>
          <w:i/>
          <w:iCs/>
          <w:sz w:val="22"/>
          <w:szCs w:val="22"/>
        </w:rPr>
        <w:t xml:space="preserve">Journal of Business Research, 139</w:t>
      </w:r>
      <w:r>
        <w:rPr>
          <w:rFonts w:ascii="Times New Roman" w:hAnsi="Times New Roman" w:cs="Times New Roman" w:eastAsia="Times New Roman"/>
          <w:sz w:val="22"/>
          <w:szCs w:val="22"/>
        </w:rPr>
        <w:t xml:space="preserve">, 1408–1423. </w:t>
      </w:r>
      <w:r>
        <w:rPr>
          <w:rFonts w:ascii="Times New Roman" w:hAnsi="Times New Roman" w:cs="Times New Roman" w:eastAsia="Times New Roman"/>
          <w:sz w:val="22"/>
          <w:szCs w:val="22"/>
        </w:rPr>
        <w:t xml:space="preserve">https://doi.org/10.1016/j.jbusres.2021.10.037</w:t>
      </w:r>
    </w:p>
    <w:p>
      <w:pPr>
        <w:spacing w:after="140"/>
        <w:ind w:left="567" w:hanging="567"/>
        <w:jc w:val="left"/>
      </w:pPr>
      <w:r>
        <w:rPr>
          <w:rFonts w:ascii="Times New Roman" w:hAnsi="Times New Roman" w:cs="Times New Roman" w:eastAsia="Times New Roman"/>
          <w:sz w:val="22"/>
          <w:szCs w:val="22"/>
        </w:rPr>
        <w:t xml:space="preserve">Azam, T., Wang, S., Mohsin, M., Nazam, M., Hashim, M., Baig, S. A., &amp; Zia-ur-Rehman, M. (2021). Does stakeholder pressure matters in adopting sustainable supply chain initiatives? Insights from agro-based processing industry. </w:t>
      </w:r>
      <w:r>
        <w:rPr>
          <w:rFonts w:ascii="Times New Roman" w:hAnsi="Times New Roman" w:cs="Times New Roman" w:eastAsia="Times New Roman"/>
          <w:i/>
          <w:iCs/>
          <w:sz w:val="22"/>
          <w:szCs w:val="22"/>
        </w:rPr>
        <w:t xml:space="preserve">Sustainability, 13</w:t>
      </w:r>
      <w:r>
        <w:rPr>
          <w:rFonts w:ascii="Times New Roman" w:hAnsi="Times New Roman" w:cs="Times New Roman" w:eastAsia="Times New Roman"/>
          <w:sz w:val="22"/>
          <w:szCs w:val="22"/>
        </w:rPr>
        <w:t xml:space="preserve">(13), Article 7278. </w:t>
      </w:r>
      <w:r>
        <w:rPr>
          <w:rFonts w:ascii="Times New Roman" w:hAnsi="Times New Roman" w:cs="Times New Roman" w:eastAsia="Times New Roman"/>
          <w:sz w:val="22"/>
          <w:szCs w:val="22"/>
        </w:rPr>
        <w:t xml:space="preserve">https://doi.org/10.3390/su13137278</w:t>
      </w:r>
    </w:p>
    <w:p>
      <w:pPr>
        <w:spacing w:after="140"/>
        <w:ind w:left="567" w:hanging="567"/>
        <w:jc w:val="left"/>
      </w:pPr>
      <w:r>
        <w:rPr>
          <w:rFonts w:ascii="Times New Roman" w:hAnsi="Times New Roman" w:cs="Times New Roman" w:eastAsia="Times New Roman"/>
          <w:sz w:val="22"/>
          <w:szCs w:val="22"/>
        </w:rPr>
        <w:t xml:space="preserve">Beiderbeck, D., Frevel, N., von der Gracht, H. A., Schmidt, S. L., &amp; Schweitzer, V. M. (2021). Preparing, conducting, and analyzing Delphi surveys: Cross-disciplinary practices, new directions, and advancements. </w:t>
      </w:r>
      <w:r>
        <w:rPr>
          <w:rFonts w:ascii="Times New Roman" w:hAnsi="Times New Roman" w:cs="Times New Roman" w:eastAsia="Times New Roman"/>
          <w:i/>
          <w:iCs/>
          <w:sz w:val="22"/>
          <w:szCs w:val="22"/>
        </w:rPr>
        <w:t xml:space="preserve">MethodsX, 8</w:t>
      </w:r>
      <w:r>
        <w:rPr>
          <w:rFonts w:ascii="Times New Roman" w:hAnsi="Times New Roman" w:cs="Times New Roman" w:eastAsia="Times New Roman"/>
          <w:sz w:val="22"/>
          <w:szCs w:val="22"/>
        </w:rPr>
        <w:t xml:space="preserve">, Article 101401. </w:t>
      </w:r>
      <w:r>
        <w:rPr>
          <w:rFonts w:ascii="Times New Roman" w:hAnsi="Times New Roman" w:cs="Times New Roman" w:eastAsia="Times New Roman"/>
          <w:sz w:val="22"/>
          <w:szCs w:val="22"/>
        </w:rPr>
        <w:t xml:space="preserve">https://doi.org/10.1016/j.mex.2021.101401</w:t>
      </w:r>
    </w:p>
    <w:p>
      <w:pPr>
        <w:spacing w:after="140"/>
        <w:ind w:left="567" w:hanging="567"/>
        <w:jc w:val="left"/>
      </w:pPr>
      <w:r>
        <w:rPr>
          <w:rFonts w:ascii="Times New Roman" w:hAnsi="Times New Roman" w:cs="Times New Roman" w:eastAsia="Times New Roman"/>
          <w:sz w:val="22"/>
          <w:szCs w:val="22"/>
        </w:rPr>
        <w:t xml:space="preserve">Bernard, A. B., Redding, S. J., &amp; Schott, P. K. (2010). Multiple-product firms and product switching. </w:t>
      </w:r>
      <w:r>
        <w:rPr>
          <w:rFonts w:ascii="Times New Roman" w:hAnsi="Times New Roman" w:cs="Times New Roman" w:eastAsia="Times New Roman"/>
          <w:i/>
          <w:iCs/>
          <w:sz w:val="22"/>
          <w:szCs w:val="22"/>
        </w:rPr>
        <w:t xml:space="preserve">American Economic Review, 100</w:t>
      </w:r>
      <w:r>
        <w:rPr>
          <w:rFonts w:ascii="Times New Roman" w:hAnsi="Times New Roman" w:cs="Times New Roman" w:eastAsia="Times New Roman"/>
          <w:sz w:val="22"/>
          <w:szCs w:val="22"/>
        </w:rPr>
        <w:t xml:space="preserve">(1), 70–97. </w:t>
      </w:r>
      <w:r>
        <w:rPr>
          <w:rFonts w:ascii="Times New Roman" w:hAnsi="Times New Roman" w:cs="Times New Roman" w:eastAsia="Times New Roman"/>
          <w:sz w:val="22"/>
          <w:szCs w:val="22"/>
        </w:rPr>
        <w:t xml:space="preserve">https://doi.org/10.1257/aer.100.1.70</w:t>
      </w:r>
    </w:p>
    <w:p>
      <w:pPr>
        <w:spacing w:after="140"/>
        <w:ind w:left="567" w:hanging="567"/>
        <w:jc w:val="left"/>
      </w:pPr>
      <w:r>
        <w:rPr>
          <w:rFonts w:ascii="Times New Roman" w:hAnsi="Times New Roman" w:cs="Times New Roman" w:eastAsia="Times New Roman"/>
          <w:sz w:val="22"/>
          <w:szCs w:val="22"/>
        </w:rPr>
        <w:t xml:space="preserve">Braun, V., &amp; Clarke, V. (2006). Using thematic analysis in psychology. </w:t>
      </w:r>
      <w:r>
        <w:rPr>
          <w:rFonts w:ascii="Times New Roman" w:hAnsi="Times New Roman" w:cs="Times New Roman" w:eastAsia="Times New Roman"/>
          <w:i/>
          <w:iCs/>
          <w:sz w:val="22"/>
          <w:szCs w:val="22"/>
        </w:rPr>
        <w:t xml:space="preserve">Qualitative Research in Psychology, 3</w:t>
      </w:r>
      <w:r>
        <w:rPr>
          <w:rFonts w:ascii="Times New Roman" w:hAnsi="Times New Roman" w:cs="Times New Roman" w:eastAsia="Times New Roman"/>
          <w:sz w:val="22"/>
          <w:szCs w:val="22"/>
        </w:rPr>
        <w:t xml:space="preserve">(2), 77–101. </w:t>
      </w:r>
      <w:r>
        <w:rPr>
          <w:rFonts w:ascii="Times New Roman" w:hAnsi="Times New Roman" w:cs="Times New Roman" w:eastAsia="Times New Roman"/>
          <w:sz w:val="22"/>
          <w:szCs w:val="22"/>
        </w:rPr>
        <w:t xml:space="preserve">https://doi.org/10.1191/1478088706qp063oa</w:t>
      </w:r>
    </w:p>
    <w:p>
      <w:pPr>
        <w:spacing w:after="140"/>
        <w:ind w:left="567" w:hanging="567"/>
        <w:jc w:val="left"/>
      </w:pPr>
      <w:r>
        <w:rPr>
          <w:rFonts w:ascii="Times New Roman" w:hAnsi="Times New Roman" w:cs="Times New Roman" w:eastAsia="Times New Roman"/>
          <w:sz w:val="22"/>
          <w:szCs w:val="22"/>
        </w:rPr>
        <w:t xml:space="preserve">Braun, V., &amp; Clarke, V. (2021). </w:t>
      </w:r>
      <w:r>
        <w:rPr>
          <w:rFonts w:ascii="Times New Roman" w:hAnsi="Times New Roman" w:cs="Times New Roman" w:eastAsia="Times New Roman"/>
          <w:i/>
          <w:iCs/>
          <w:sz w:val="22"/>
          <w:szCs w:val="22"/>
        </w:rPr>
        <w:t xml:space="preserve">Thematic analysis: A practical guide</w:t>
      </w:r>
      <w:r>
        <w:rPr>
          <w:rFonts w:ascii="Times New Roman" w:hAnsi="Times New Roman" w:cs="Times New Roman" w:eastAsia="Times New Roman"/>
          <w:sz w:val="22"/>
          <w:szCs w:val="22"/>
        </w:rPr>
        <w:t xml:space="preserve">. SAGE Publications.</w:t>
      </w:r>
    </w:p>
    <w:p>
      <w:pPr>
        <w:spacing w:after="140"/>
        <w:ind w:left="567" w:hanging="567"/>
        <w:jc w:val="left"/>
      </w:pPr>
      <w:r>
        <w:rPr>
          <w:rFonts w:ascii="Times New Roman" w:hAnsi="Times New Roman" w:cs="Times New Roman" w:eastAsia="Times New Roman"/>
          <w:sz w:val="22"/>
          <w:szCs w:val="22"/>
        </w:rPr>
        <w:t xml:space="preserve">Dukhaykh, S., &amp; Alangri, N. (2026). Dynamic capabilities and sustainable competitive advantage in SMEs: The roles of innovation and organizational learning. </w:t>
      </w:r>
      <w:r>
        <w:rPr>
          <w:rFonts w:ascii="Times New Roman" w:hAnsi="Times New Roman" w:cs="Times New Roman" w:eastAsia="Times New Roman"/>
          <w:i/>
          <w:iCs/>
          <w:sz w:val="22"/>
          <w:szCs w:val="22"/>
        </w:rPr>
        <w:t xml:space="preserve">Sustainability, 18</w:t>
      </w:r>
      <w:r>
        <w:rPr>
          <w:rFonts w:ascii="Times New Roman" w:hAnsi="Times New Roman" w:cs="Times New Roman" w:eastAsia="Times New Roman"/>
          <w:sz w:val="22"/>
          <w:szCs w:val="22"/>
        </w:rPr>
        <w:t xml:space="preserve">(3), Article 1320. </w:t>
      </w:r>
      <w:r>
        <w:rPr>
          <w:rFonts w:ascii="Times New Roman" w:hAnsi="Times New Roman" w:cs="Times New Roman" w:eastAsia="Times New Roman"/>
          <w:sz w:val="22"/>
          <w:szCs w:val="22"/>
        </w:rPr>
        <w:t xml:space="preserve">https://doi.org/10.3390/su18031320</w:t>
      </w:r>
    </w:p>
    <w:p>
      <w:pPr>
        <w:spacing w:after="140"/>
        <w:ind w:left="567" w:hanging="567"/>
        <w:jc w:val="left"/>
      </w:pPr>
      <w:r>
        <w:rPr>
          <w:rFonts w:ascii="Times New Roman" w:hAnsi="Times New Roman" w:cs="Times New Roman" w:eastAsia="Times New Roman"/>
          <w:sz w:val="22"/>
          <w:szCs w:val="22"/>
        </w:rPr>
        <w:t xml:space="preserve">Gabaix, X. (2011). The granular origins of aggregate fluctuations. </w:t>
      </w:r>
      <w:r>
        <w:rPr>
          <w:rFonts w:ascii="Times New Roman" w:hAnsi="Times New Roman" w:cs="Times New Roman" w:eastAsia="Times New Roman"/>
          <w:i/>
          <w:iCs/>
          <w:sz w:val="22"/>
          <w:szCs w:val="22"/>
        </w:rPr>
        <w:t xml:space="preserve">Econometrica, 79</w:t>
      </w:r>
      <w:r>
        <w:rPr>
          <w:rFonts w:ascii="Times New Roman" w:hAnsi="Times New Roman" w:cs="Times New Roman" w:eastAsia="Times New Roman"/>
          <w:sz w:val="22"/>
          <w:szCs w:val="22"/>
        </w:rPr>
        <w:t xml:space="preserve">(3), 733–772. </w:t>
      </w:r>
      <w:r>
        <w:rPr>
          <w:rFonts w:ascii="Times New Roman" w:hAnsi="Times New Roman" w:cs="Times New Roman" w:eastAsia="Times New Roman"/>
          <w:sz w:val="22"/>
          <w:szCs w:val="22"/>
        </w:rPr>
        <w:t xml:space="preserve">https://doi.org/10.3982/ECTA8769</w:t>
      </w:r>
    </w:p>
    <w:p>
      <w:pPr>
        <w:spacing w:after="140"/>
        <w:ind w:left="567" w:hanging="567"/>
        <w:jc w:val="left"/>
      </w:pPr>
      <w:r>
        <w:rPr>
          <w:rFonts w:ascii="Times New Roman" w:hAnsi="Times New Roman" w:cs="Times New Roman" w:eastAsia="Times New Roman"/>
          <w:sz w:val="22"/>
          <w:szCs w:val="22"/>
        </w:rPr>
        <w:t xml:space="preserve">Gupta, S., &amp; Jagtap, S. (2024). Unlocking digital growth: Overcoming barriers to digital transformation for Indian food SMEs. </w:t>
      </w:r>
      <w:r>
        <w:rPr>
          <w:rFonts w:ascii="Times New Roman" w:hAnsi="Times New Roman" w:cs="Times New Roman" w:eastAsia="Times New Roman"/>
          <w:i/>
          <w:iCs/>
          <w:sz w:val="22"/>
          <w:szCs w:val="22"/>
        </w:rPr>
        <w:t xml:space="preserve">Discover Food, 4</w:t>
      </w:r>
      <w:r>
        <w:rPr>
          <w:rFonts w:ascii="Times New Roman" w:hAnsi="Times New Roman" w:cs="Times New Roman" w:eastAsia="Times New Roman"/>
          <w:sz w:val="22"/>
          <w:szCs w:val="22"/>
        </w:rPr>
        <w:t xml:space="preserve">, Article 55. </w:t>
      </w:r>
      <w:r>
        <w:rPr>
          <w:rFonts w:ascii="Times New Roman" w:hAnsi="Times New Roman" w:cs="Times New Roman" w:eastAsia="Times New Roman"/>
          <w:sz w:val="22"/>
          <w:szCs w:val="22"/>
        </w:rPr>
        <w:t xml:space="preserve">https://doi.org/10.1007/s44187-024-00131-6</w:t>
      </w:r>
    </w:p>
    <w:p>
      <w:pPr>
        <w:spacing w:after="140"/>
        <w:ind w:left="567" w:hanging="567"/>
        <w:jc w:val="left"/>
      </w:pPr>
      <w:r>
        <w:rPr>
          <w:rFonts w:ascii="Times New Roman" w:hAnsi="Times New Roman" w:cs="Times New Roman" w:eastAsia="Times New Roman"/>
          <w:sz w:val="22"/>
          <w:szCs w:val="22"/>
        </w:rPr>
        <w:t xml:space="preserve">Kero, C. A., &amp; Bogale, A. T. (2023). A systematic review of resource-based view and dynamic capabilities of firms and future research avenues. </w:t>
      </w:r>
      <w:r>
        <w:rPr>
          <w:rFonts w:ascii="Times New Roman" w:hAnsi="Times New Roman" w:cs="Times New Roman" w:eastAsia="Times New Roman"/>
          <w:i/>
          <w:iCs/>
          <w:sz w:val="22"/>
          <w:szCs w:val="22"/>
        </w:rPr>
        <w:t xml:space="preserve">International Journal of Sustainable Development and Planning, 18</w:t>
      </w:r>
      <w:r>
        <w:rPr>
          <w:rFonts w:ascii="Times New Roman" w:hAnsi="Times New Roman" w:cs="Times New Roman" w:eastAsia="Times New Roman"/>
          <w:sz w:val="22"/>
          <w:szCs w:val="22"/>
        </w:rPr>
        <w:t xml:space="preserve">(10), 3137–3154. </w:t>
      </w:r>
      <w:r>
        <w:rPr>
          <w:rFonts w:ascii="Times New Roman" w:hAnsi="Times New Roman" w:cs="Times New Roman" w:eastAsia="Times New Roman"/>
          <w:sz w:val="22"/>
          <w:szCs w:val="22"/>
        </w:rPr>
        <w:t xml:space="preserve">https://doi.org/10.18280/ijsdp.181016</w:t>
      </w:r>
    </w:p>
    <w:p>
      <w:pPr>
        <w:spacing w:after="140"/>
        <w:ind w:left="567" w:hanging="567"/>
        <w:jc w:val="left"/>
      </w:pPr>
      <w:r>
        <w:rPr>
          <w:rFonts w:ascii="Times New Roman" w:hAnsi="Times New Roman" w:cs="Times New Roman" w:eastAsia="Times New Roman"/>
          <w:sz w:val="22"/>
          <w:szCs w:val="22"/>
        </w:rPr>
        <w:t xml:space="preserve">Kotler, P., &amp; Keller, K. L. (2016). </w:t>
      </w:r>
      <w:r>
        <w:rPr>
          <w:rFonts w:ascii="Times New Roman" w:hAnsi="Times New Roman" w:cs="Times New Roman" w:eastAsia="Times New Roman"/>
          <w:i/>
          <w:iCs/>
          <w:sz w:val="22"/>
          <w:szCs w:val="22"/>
        </w:rPr>
        <w:t xml:space="preserve">Marketing management</w:t>
      </w:r>
      <w:r>
        <w:rPr>
          <w:rFonts w:ascii="Times New Roman" w:hAnsi="Times New Roman" w:cs="Times New Roman" w:eastAsia="Times New Roman"/>
          <w:sz w:val="22"/>
          <w:szCs w:val="22"/>
        </w:rPr>
        <w:t xml:space="preserve"> (15th ed.). Pearson Education.</w:t>
      </w:r>
    </w:p>
    <w:p>
      <w:pPr>
        <w:spacing w:after="140"/>
        <w:ind w:left="567" w:hanging="567"/>
        <w:jc w:val="left"/>
      </w:pPr>
      <w:r>
        <w:rPr>
          <w:rFonts w:ascii="Times New Roman" w:hAnsi="Times New Roman" w:cs="Times New Roman" w:eastAsia="Times New Roman"/>
          <w:sz w:val="22"/>
          <w:szCs w:val="22"/>
        </w:rPr>
        <w:t xml:space="preserve">Kotler, P., Keller, K. L., &amp; Chernev, A. (2022). </w:t>
      </w:r>
      <w:r>
        <w:rPr>
          <w:rFonts w:ascii="Times New Roman" w:hAnsi="Times New Roman" w:cs="Times New Roman" w:eastAsia="Times New Roman"/>
          <w:i/>
          <w:iCs/>
          <w:sz w:val="22"/>
          <w:szCs w:val="22"/>
        </w:rPr>
        <w:t xml:space="preserve">Marketing management</w:t>
      </w:r>
      <w:r>
        <w:rPr>
          <w:rFonts w:ascii="Times New Roman" w:hAnsi="Times New Roman" w:cs="Times New Roman" w:eastAsia="Times New Roman"/>
          <w:sz w:val="22"/>
          <w:szCs w:val="22"/>
        </w:rPr>
        <w:t xml:space="preserve"> (16th ed.). Pearson Education.</w:t>
      </w:r>
    </w:p>
    <w:p>
      <w:pPr>
        <w:spacing w:after="140"/>
        <w:ind w:left="567" w:hanging="567"/>
        <w:jc w:val="left"/>
      </w:pPr>
      <w:r>
        <w:rPr>
          <w:rFonts w:ascii="Times New Roman" w:hAnsi="Times New Roman" w:cs="Times New Roman" w:eastAsia="Times New Roman"/>
          <w:sz w:val="22"/>
          <w:szCs w:val="22"/>
        </w:rPr>
        <w:t xml:space="preserve">Landjohou, G., &amp; Christopher, E. (2026). The impact of digital marketing on small and medium enterprises (SMEs) growth: A systematic review. </w:t>
      </w:r>
      <w:r>
        <w:rPr>
          <w:rFonts w:ascii="Times New Roman" w:hAnsi="Times New Roman" w:cs="Times New Roman" w:eastAsia="Times New Roman"/>
          <w:i/>
          <w:iCs/>
          <w:sz w:val="22"/>
          <w:szCs w:val="22"/>
        </w:rPr>
        <w:t xml:space="preserve">International Journal on Recent Trends in Business and Tourism, 10</w:t>
      </w:r>
      <w:r>
        <w:rPr>
          <w:rFonts w:ascii="Times New Roman" w:hAnsi="Times New Roman" w:cs="Times New Roman" w:eastAsia="Times New Roman"/>
          <w:sz w:val="22"/>
          <w:szCs w:val="22"/>
        </w:rPr>
        <w:t xml:space="preserve">(1), 1–18. </w:t>
      </w:r>
      <w:r>
        <w:rPr>
          <w:rFonts w:ascii="Times New Roman" w:hAnsi="Times New Roman" w:cs="Times New Roman" w:eastAsia="Times New Roman"/>
          <w:sz w:val="22"/>
          <w:szCs w:val="22"/>
        </w:rPr>
        <w:t xml:space="preserve">https://doi.org/10.31674/ijrtbt.2026.v010i01.001</w:t>
      </w:r>
    </w:p>
    <w:p>
      <w:pPr>
        <w:spacing w:after="140"/>
        <w:ind w:left="567" w:hanging="567"/>
        <w:jc w:val="left"/>
      </w:pPr>
      <w:r>
        <w:rPr>
          <w:rFonts w:ascii="Times New Roman" w:hAnsi="Times New Roman" w:cs="Times New Roman" w:eastAsia="Times New Roman"/>
          <w:sz w:val="22"/>
          <w:szCs w:val="22"/>
        </w:rPr>
        <w:t xml:space="preserve">Mammen, J., Alessandri, T. M., &amp; Weiss, M. (2021). The risk implications of diversification: Integrating the effects of product and geographic diversification. </w:t>
      </w:r>
      <w:r>
        <w:rPr>
          <w:rFonts w:ascii="Times New Roman" w:hAnsi="Times New Roman" w:cs="Times New Roman" w:eastAsia="Times New Roman"/>
          <w:i/>
          <w:iCs/>
          <w:sz w:val="22"/>
          <w:szCs w:val="22"/>
        </w:rPr>
        <w:t xml:space="preserve">Long Range Planning, 54</w:t>
      </w:r>
      <w:r>
        <w:rPr>
          <w:rFonts w:ascii="Times New Roman" w:hAnsi="Times New Roman" w:cs="Times New Roman" w:eastAsia="Times New Roman"/>
          <w:sz w:val="22"/>
          <w:szCs w:val="22"/>
        </w:rPr>
        <w:t xml:space="preserve">(1), Article 101942. </w:t>
      </w:r>
      <w:r>
        <w:rPr>
          <w:rFonts w:ascii="Times New Roman" w:hAnsi="Times New Roman" w:cs="Times New Roman" w:eastAsia="Times New Roman"/>
          <w:sz w:val="22"/>
          <w:szCs w:val="22"/>
        </w:rPr>
        <w:t xml:space="preserve">https://doi.org/10.1016/j.lrp.2019.101942</w:t>
      </w:r>
    </w:p>
    <w:p>
      <w:pPr>
        <w:spacing w:after="140"/>
        <w:ind w:left="567" w:hanging="567"/>
        <w:jc w:val="left"/>
      </w:pPr>
      <w:r>
        <w:rPr>
          <w:rFonts w:ascii="Times New Roman" w:hAnsi="Times New Roman" w:cs="Times New Roman" w:eastAsia="Times New Roman"/>
          <w:sz w:val="22"/>
          <w:szCs w:val="22"/>
        </w:rPr>
        <w:t xml:space="preserve">Mangla, S. K., Bhattacharya, A., Yadav, A. K., Sharma, Y. K., Ishizaka, A., Luthra, S., &amp; Chakraborty, R. (2021). A framework to assess the challenges to food safety initiatives in an emerging economy. </w:t>
      </w:r>
      <w:r>
        <w:rPr>
          <w:rFonts w:ascii="Times New Roman" w:hAnsi="Times New Roman" w:cs="Times New Roman" w:eastAsia="Times New Roman"/>
          <w:i/>
          <w:iCs/>
          <w:sz w:val="22"/>
          <w:szCs w:val="22"/>
        </w:rPr>
        <w:t xml:space="preserve">Journal of Cleaner Production, 284</w:t>
      </w:r>
      <w:r>
        <w:rPr>
          <w:rFonts w:ascii="Times New Roman" w:hAnsi="Times New Roman" w:cs="Times New Roman" w:eastAsia="Times New Roman"/>
          <w:sz w:val="22"/>
          <w:szCs w:val="22"/>
        </w:rPr>
        <w:t xml:space="preserve">, Article 124709. </w:t>
      </w:r>
      <w:r>
        <w:rPr>
          <w:rFonts w:ascii="Times New Roman" w:hAnsi="Times New Roman" w:cs="Times New Roman" w:eastAsia="Times New Roman"/>
          <w:sz w:val="22"/>
          <w:szCs w:val="22"/>
        </w:rPr>
        <w:t xml:space="preserve">https://doi.org/10.1016/j.jclepro.2020.124709</w:t>
      </w:r>
    </w:p>
    <w:p>
      <w:pPr>
        <w:spacing w:after="140"/>
        <w:ind w:left="567" w:hanging="567"/>
        <w:jc w:val="left"/>
      </w:pPr>
      <w:r>
        <w:rPr>
          <w:rFonts w:ascii="Times New Roman" w:hAnsi="Times New Roman" w:cs="Times New Roman" w:eastAsia="Times New Roman"/>
          <w:sz w:val="22"/>
          <w:szCs w:val="22"/>
        </w:rPr>
        <w:t xml:space="preserve">Miklian, J., &amp; Hoelscher, K. (2022). SMEs and exogenous shocks: A conceptual literature review and forward research agenda. </w:t>
      </w:r>
      <w:r>
        <w:rPr>
          <w:rFonts w:ascii="Times New Roman" w:hAnsi="Times New Roman" w:cs="Times New Roman" w:eastAsia="Times New Roman"/>
          <w:i/>
          <w:iCs/>
          <w:sz w:val="22"/>
          <w:szCs w:val="22"/>
        </w:rPr>
        <w:t xml:space="preserve">International Small Business Journal, 40</w:t>
      </w:r>
      <w:r>
        <w:rPr>
          <w:rFonts w:ascii="Times New Roman" w:hAnsi="Times New Roman" w:cs="Times New Roman" w:eastAsia="Times New Roman"/>
          <w:sz w:val="22"/>
          <w:szCs w:val="22"/>
        </w:rPr>
        <w:t xml:space="preserve">(2), 178–204. </w:t>
      </w:r>
      <w:r>
        <w:rPr>
          <w:rFonts w:ascii="Times New Roman" w:hAnsi="Times New Roman" w:cs="Times New Roman" w:eastAsia="Times New Roman"/>
          <w:sz w:val="22"/>
          <w:szCs w:val="22"/>
        </w:rPr>
        <w:t xml:space="preserve">https://doi.org/10.1177/02662426211050796</w:t>
      </w:r>
    </w:p>
    <w:p>
      <w:pPr>
        <w:spacing w:after="140"/>
        <w:ind w:left="567" w:hanging="567"/>
        <w:jc w:val="left"/>
      </w:pPr>
      <w:r>
        <w:rPr>
          <w:rFonts w:ascii="Times New Roman" w:hAnsi="Times New Roman" w:cs="Times New Roman" w:eastAsia="Times New Roman"/>
          <w:sz w:val="22"/>
          <w:szCs w:val="22"/>
        </w:rPr>
        <w:t xml:space="preserve">Naeem, M., Ozuem, W., Howell, K., &amp; Ranfagni, S. (2023). A step-by-step process of thematic analysis to develop a conceptual model in qualitative research. </w:t>
      </w:r>
      <w:r>
        <w:rPr>
          <w:rFonts w:ascii="Times New Roman" w:hAnsi="Times New Roman" w:cs="Times New Roman" w:eastAsia="Times New Roman"/>
          <w:i/>
          <w:iCs/>
          <w:sz w:val="22"/>
          <w:szCs w:val="22"/>
        </w:rPr>
        <w:t xml:space="preserve">International Journal of Qualitative Methods, 22</w:t>
      </w:r>
      <w:r>
        <w:rPr>
          <w:rFonts w:ascii="Times New Roman" w:hAnsi="Times New Roman" w:cs="Times New Roman" w:eastAsia="Times New Roman"/>
          <w:sz w:val="22"/>
          <w:szCs w:val="22"/>
        </w:rPr>
        <w:t xml:space="preserve">, Article 16094069231205789. </w:t>
      </w:r>
      <w:r>
        <w:rPr>
          <w:rFonts w:ascii="Times New Roman" w:hAnsi="Times New Roman" w:cs="Times New Roman" w:eastAsia="Times New Roman"/>
          <w:sz w:val="22"/>
          <w:szCs w:val="22"/>
        </w:rPr>
        <w:t xml:space="preserve">https://doi.org/10.1177/16094069231205789</w:t>
      </w:r>
    </w:p>
    <w:p>
      <w:pPr>
        <w:spacing w:after="140"/>
        <w:ind w:left="567" w:hanging="567"/>
        <w:jc w:val="left"/>
      </w:pPr>
      <w:r>
        <w:rPr>
          <w:rFonts w:ascii="Times New Roman" w:hAnsi="Times New Roman" w:cs="Times New Roman" w:eastAsia="Times New Roman"/>
          <w:sz w:val="22"/>
          <w:szCs w:val="22"/>
        </w:rPr>
        <w:t xml:space="preserve">Nasa, P., Jain, R., &amp; Juneja, D. (2021). Delphi methodology in healthcare research: How to decide its appropriateness. </w:t>
      </w:r>
      <w:r>
        <w:rPr>
          <w:rFonts w:ascii="Times New Roman" w:hAnsi="Times New Roman" w:cs="Times New Roman" w:eastAsia="Times New Roman"/>
          <w:i/>
          <w:iCs/>
          <w:sz w:val="22"/>
          <w:szCs w:val="22"/>
        </w:rPr>
        <w:t xml:space="preserve">World Journal of Methodology, 11</w:t>
      </w:r>
      <w:r>
        <w:rPr>
          <w:rFonts w:ascii="Times New Roman" w:hAnsi="Times New Roman" w:cs="Times New Roman" w:eastAsia="Times New Roman"/>
          <w:sz w:val="22"/>
          <w:szCs w:val="22"/>
        </w:rPr>
        <w:t xml:space="preserve">(4), 116–129. </w:t>
      </w:r>
      <w:r>
        <w:rPr>
          <w:rFonts w:ascii="Times New Roman" w:hAnsi="Times New Roman" w:cs="Times New Roman" w:eastAsia="Times New Roman"/>
          <w:sz w:val="22"/>
          <w:szCs w:val="22"/>
        </w:rPr>
        <w:t xml:space="preserve">https://doi.org/10.5662/wjm.v11.i4.116</w:t>
      </w:r>
    </w:p>
    <w:p>
      <w:pPr>
        <w:spacing w:after="140"/>
        <w:ind w:left="567" w:hanging="567"/>
        <w:jc w:val="left"/>
      </w:pPr>
      <w:r>
        <w:rPr>
          <w:rFonts w:ascii="Times New Roman" w:hAnsi="Times New Roman" w:cs="Times New Roman" w:eastAsia="Times New Roman"/>
          <w:sz w:val="22"/>
          <w:szCs w:val="22"/>
        </w:rPr>
        <w:t xml:space="preserve">Okoli, C., &amp; Pawlowski, S. D. (2004). The Delphi method as a research tool: An example, design considerations and applications. </w:t>
      </w:r>
      <w:r>
        <w:rPr>
          <w:rFonts w:ascii="Times New Roman" w:hAnsi="Times New Roman" w:cs="Times New Roman" w:eastAsia="Times New Roman"/>
          <w:i/>
          <w:iCs/>
          <w:sz w:val="22"/>
          <w:szCs w:val="22"/>
        </w:rPr>
        <w:t xml:space="preserve">Information &amp; Management, 42</w:t>
      </w:r>
      <w:r>
        <w:rPr>
          <w:rFonts w:ascii="Times New Roman" w:hAnsi="Times New Roman" w:cs="Times New Roman" w:eastAsia="Times New Roman"/>
          <w:sz w:val="22"/>
          <w:szCs w:val="22"/>
        </w:rPr>
        <w:t xml:space="preserve">(1), 15–29. </w:t>
      </w:r>
      <w:r>
        <w:rPr>
          <w:rFonts w:ascii="Times New Roman" w:hAnsi="Times New Roman" w:cs="Times New Roman" w:eastAsia="Times New Roman"/>
          <w:sz w:val="22"/>
          <w:szCs w:val="22"/>
        </w:rPr>
        <w:t xml:space="preserve">https://doi.org/10.1016/j.im.2003.11.002</w:t>
      </w:r>
    </w:p>
    <w:p>
      <w:pPr>
        <w:spacing w:after="140"/>
        <w:ind w:left="567" w:hanging="567"/>
        <w:jc w:val="left"/>
      </w:pPr>
      <w:r>
        <w:rPr>
          <w:rFonts w:ascii="Times New Roman" w:hAnsi="Times New Roman" w:cs="Times New Roman" w:eastAsia="Times New Roman"/>
          <w:sz w:val="22"/>
          <w:szCs w:val="22"/>
        </w:rPr>
        <w:t xml:space="preserve">Pangarkar, N., &amp; Prabhudesai, R. (2024). Using Porter's five forces analysis to drive strategy. </w:t>
      </w:r>
      <w:r>
        <w:rPr>
          <w:rFonts w:ascii="Times New Roman" w:hAnsi="Times New Roman" w:cs="Times New Roman" w:eastAsia="Times New Roman"/>
          <w:i/>
          <w:iCs/>
          <w:sz w:val="22"/>
          <w:szCs w:val="22"/>
        </w:rPr>
        <w:t xml:space="preserve">Global Business and Organizational Excellence, 43</w:t>
      </w:r>
      <w:r>
        <w:rPr>
          <w:rFonts w:ascii="Times New Roman" w:hAnsi="Times New Roman" w:cs="Times New Roman" w:eastAsia="Times New Roman"/>
          <w:sz w:val="22"/>
          <w:szCs w:val="22"/>
        </w:rPr>
        <w:t xml:space="preserve">(5), 24–34. </w:t>
      </w:r>
      <w:r>
        <w:rPr>
          <w:rFonts w:ascii="Times New Roman" w:hAnsi="Times New Roman" w:cs="Times New Roman" w:eastAsia="Times New Roman"/>
          <w:sz w:val="22"/>
          <w:szCs w:val="22"/>
        </w:rPr>
        <w:t xml:space="preserve">https://doi.org/10.1002/joe.22250</w:t>
      </w:r>
    </w:p>
    <w:p>
      <w:pPr>
        <w:spacing w:after="140"/>
        <w:ind w:left="567" w:hanging="567"/>
        <w:jc w:val="left"/>
      </w:pPr>
      <w:r>
        <w:rPr>
          <w:rFonts w:ascii="Times New Roman" w:hAnsi="Times New Roman" w:cs="Times New Roman" w:eastAsia="Times New Roman"/>
          <w:sz w:val="22"/>
          <w:szCs w:val="22"/>
        </w:rPr>
        <w:t xml:space="preserve">Saaty, T. L. (1980). </w:t>
      </w:r>
      <w:r>
        <w:rPr>
          <w:rFonts w:ascii="Times New Roman" w:hAnsi="Times New Roman" w:cs="Times New Roman" w:eastAsia="Times New Roman"/>
          <w:i/>
          <w:iCs/>
          <w:sz w:val="22"/>
          <w:szCs w:val="22"/>
        </w:rPr>
        <w:t xml:space="preserve">The analytic hierarchy process: Planning, priority setting, resource allocation</w:t>
      </w:r>
      <w:r>
        <w:rPr>
          <w:rFonts w:ascii="Times New Roman" w:hAnsi="Times New Roman" w:cs="Times New Roman" w:eastAsia="Times New Roman"/>
          <w:sz w:val="22"/>
          <w:szCs w:val="22"/>
        </w:rPr>
        <w:t xml:space="preserve">. McGraw-Hill.</w:t>
      </w:r>
    </w:p>
    <w:p>
      <w:pPr>
        <w:spacing w:after="140"/>
        <w:ind w:left="567" w:hanging="567"/>
        <w:jc w:val="left"/>
      </w:pPr>
      <w:r>
        <w:rPr>
          <w:rFonts w:ascii="Times New Roman" w:hAnsi="Times New Roman" w:cs="Times New Roman" w:eastAsia="Times New Roman"/>
          <w:sz w:val="22"/>
          <w:szCs w:val="22"/>
        </w:rPr>
        <w:t xml:space="preserve">Saunders, M. N. K., Lewis, P., &amp; Thornhill, A. (2023). </w:t>
      </w:r>
      <w:r>
        <w:rPr>
          <w:rFonts w:ascii="Times New Roman" w:hAnsi="Times New Roman" w:cs="Times New Roman" w:eastAsia="Times New Roman"/>
          <w:i/>
          <w:iCs/>
          <w:sz w:val="22"/>
          <w:szCs w:val="22"/>
        </w:rPr>
        <w:t xml:space="preserve">Research methods for business students</w:t>
      </w:r>
      <w:r>
        <w:rPr>
          <w:rFonts w:ascii="Times New Roman" w:hAnsi="Times New Roman" w:cs="Times New Roman" w:eastAsia="Times New Roman"/>
          <w:sz w:val="22"/>
          <w:szCs w:val="22"/>
        </w:rPr>
        <w:t xml:space="preserve"> (9th ed.). Pearson Education.</w:t>
      </w:r>
    </w:p>
    <w:p>
      <w:pPr>
        <w:spacing w:after="140"/>
        <w:ind w:left="567" w:hanging="567"/>
        <w:jc w:val="left"/>
      </w:pPr>
      <w:r>
        <w:rPr>
          <w:rFonts w:ascii="Times New Roman" w:hAnsi="Times New Roman" w:cs="Times New Roman" w:eastAsia="Times New Roman"/>
          <w:sz w:val="22"/>
          <w:szCs w:val="22"/>
        </w:rPr>
        <w:t xml:space="preserve">Schifano, J., &amp; Niederberger, M. (2025). How Delphi studies in the health sciences find consensus: A scoping review. </w:t>
      </w:r>
      <w:r>
        <w:rPr>
          <w:rFonts w:ascii="Times New Roman" w:hAnsi="Times New Roman" w:cs="Times New Roman" w:eastAsia="Times New Roman"/>
          <w:i/>
          <w:iCs/>
          <w:sz w:val="22"/>
          <w:szCs w:val="22"/>
        </w:rPr>
        <w:t xml:space="preserve">Systematic Reviews, 14</w:t>
      </w:r>
      <w:r>
        <w:rPr>
          <w:rFonts w:ascii="Times New Roman" w:hAnsi="Times New Roman" w:cs="Times New Roman" w:eastAsia="Times New Roman"/>
          <w:sz w:val="22"/>
          <w:szCs w:val="22"/>
        </w:rPr>
        <w:t xml:space="preserve">, Article 14. </w:t>
      </w:r>
      <w:r>
        <w:rPr>
          <w:rFonts w:ascii="Times New Roman" w:hAnsi="Times New Roman" w:cs="Times New Roman" w:eastAsia="Times New Roman"/>
          <w:sz w:val="22"/>
          <w:szCs w:val="22"/>
        </w:rPr>
        <w:t xml:space="preserve">https://doi.org/10.1186/s13643-024-02738-3</w:t>
      </w:r>
    </w:p>
    <w:p>
      <w:pPr>
        <w:spacing w:after="140"/>
        <w:ind w:left="567" w:hanging="567"/>
        <w:jc w:val="left"/>
      </w:pPr>
      <w:r>
        <w:rPr>
          <w:rFonts w:ascii="Times New Roman" w:hAnsi="Times New Roman" w:cs="Times New Roman" w:eastAsia="Times New Roman"/>
          <w:sz w:val="22"/>
          <w:szCs w:val="22"/>
        </w:rPr>
        <w:t xml:space="preserve">Schmidt, R. C. (1997). Managing Delphi surveys using nonparametric statistical techniques. </w:t>
      </w:r>
      <w:r>
        <w:rPr>
          <w:rFonts w:ascii="Times New Roman" w:hAnsi="Times New Roman" w:cs="Times New Roman" w:eastAsia="Times New Roman"/>
          <w:i/>
          <w:iCs/>
          <w:sz w:val="22"/>
          <w:szCs w:val="22"/>
        </w:rPr>
        <w:t xml:space="preserve">Decision Sciences, 28</w:t>
      </w:r>
      <w:r>
        <w:rPr>
          <w:rFonts w:ascii="Times New Roman" w:hAnsi="Times New Roman" w:cs="Times New Roman" w:eastAsia="Times New Roman"/>
          <w:sz w:val="22"/>
          <w:szCs w:val="22"/>
        </w:rPr>
        <w:t xml:space="preserve">(3), 763–774. </w:t>
      </w:r>
      <w:r>
        <w:rPr>
          <w:rFonts w:ascii="Times New Roman" w:hAnsi="Times New Roman" w:cs="Times New Roman" w:eastAsia="Times New Roman"/>
          <w:sz w:val="22"/>
          <w:szCs w:val="22"/>
        </w:rPr>
        <w:t xml:space="preserve">https://doi.org/10.1111/j.1540-5915.1997.tb01330.x</w:t>
      </w:r>
    </w:p>
    <w:p>
      <w:pPr>
        <w:spacing w:after="140"/>
        <w:ind w:left="567" w:hanging="567"/>
        <w:jc w:val="left"/>
      </w:pPr>
      <w:r>
        <w:rPr>
          <w:rFonts w:ascii="Times New Roman" w:hAnsi="Times New Roman" w:cs="Times New Roman" w:eastAsia="Times New Roman"/>
          <w:sz w:val="22"/>
          <w:szCs w:val="22"/>
        </w:rPr>
        <w:t xml:space="preserve">Schommer, M., Richter, A., &amp; Karna, A. (2019). Does the diversification-firm performance relationship change over time? A meta-analytical review. </w:t>
      </w:r>
      <w:r>
        <w:rPr>
          <w:rFonts w:ascii="Times New Roman" w:hAnsi="Times New Roman" w:cs="Times New Roman" w:eastAsia="Times New Roman"/>
          <w:i/>
          <w:iCs/>
          <w:sz w:val="22"/>
          <w:szCs w:val="22"/>
        </w:rPr>
        <w:t xml:space="preserve">Journal of Management Studies, 56</w:t>
      </w:r>
      <w:r>
        <w:rPr>
          <w:rFonts w:ascii="Times New Roman" w:hAnsi="Times New Roman" w:cs="Times New Roman" w:eastAsia="Times New Roman"/>
          <w:sz w:val="22"/>
          <w:szCs w:val="22"/>
        </w:rPr>
        <w:t xml:space="preserve">(1), 270–298. </w:t>
      </w:r>
      <w:r>
        <w:rPr>
          <w:rFonts w:ascii="Times New Roman" w:hAnsi="Times New Roman" w:cs="Times New Roman" w:eastAsia="Times New Roman"/>
          <w:sz w:val="22"/>
          <w:szCs w:val="22"/>
        </w:rPr>
        <w:t xml:space="preserve">https://doi.org/10.1111/joms.12393</w:t>
      </w:r>
    </w:p>
    <w:p>
      <w:pPr>
        <w:spacing w:after="140"/>
        <w:ind w:left="567" w:hanging="567"/>
        <w:jc w:val="left"/>
      </w:pPr>
      <w:r>
        <w:rPr>
          <w:rFonts w:ascii="Times New Roman" w:hAnsi="Times New Roman" w:cs="Times New Roman" w:eastAsia="Times New Roman"/>
          <w:sz w:val="22"/>
          <w:szCs w:val="22"/>
        </w:rPr>
        <w:t xml:space="preserve">Shah, P., Dhir, A., Joshi, R., &amp; Tripathy, N. (2023). Opportunities and challenges in food entrepreneurship: In-depth qualitative investigation of millet entrepreneurs. </w:t>
      </w:r>
      <w:r>
        <w:rPr>
          <w:rFonts w:ascii="Times New Roman" w:hAnsi="Times New Roman" w:cs="Times New Roman" w:eastAsia="Times New Roman"/>
          <w:i/>
          <w:iCs/>
          <w:sz w:val="22"/>
          <w:szCs w:val="22"/>
        </w:rPr>
        <w:t xml:space="preserve">Journal of Business Research, 155</w:t>
      </w:r>
      <w:r>
        <w:rPr>
          <w:rFonts w:ascii="Times New Roman" w:hAnsi="Times New Roman" w:cs="Times New Roman" w:eastAsia="Times New Roman"/>
          <w:sz w:val="22"/>
          <w:szCs w:val="22"/>
        </w:rPr>
        <w:t xml:space="preserve">, Article 113372. </w:t>
      </w:r>
      <w:r>
        <w:rPr>
          <w:rFonts w:ascii="Times New Roman" w:hAnsi="Times New Roman" w:cs="Times New Roman" w:eastAsia="Times New Roman"/>
          <w:sz w:val="22"/>
          <w:szCs w:val="22"/>
        </w:rPr>
        <w:t xml:space="preserve">https://doi.org/10.1016/j.jbusres.2022.113372</w:t>
      </w:r>
    </w:p>
    <w:p>
      <w:pPr>
        <w:spacing w:after="140"/>
        <w:ind w:left="567" w:hanging="567"/>
        <w:jc w:val="left"/>
      </w:pPr>
      <w:r>
        <w:rPr>
          <w:rFonts w:ascii="Times New Roman" w:hAnsi="Times New Roman" w:cs="Times New Roman" w:eastAsia="Times New Roman"/>
          <w:sz w:val="22"/>
          <w:szCs w:val="22"/>
        </w:rPr>
        <w:t xml:space="preserve">Sharabati, A.-A. A., Ali, A. A. A., Allahham, M. I., Hussein, A. A., Alheet, A. F., &amp; Mohammad, A. S. (2024). The impact of digital marketing on the performance of SMEs: An analytical study in light of modern digital transformations. </w:t>
      </w:r>
      <w:r>
        <w:rPr>
          <w:rFonts w:ascii="Times New Roman" w:hAnsi="Times New Roman" w:cs="Times New Roman" w:eastAsia="Times New Roman"/>
          <w:i/>
          <w:iCs/>
          <w:sz w:val="22"/>
          <w:szCs w:val="22"/>
        </w:rPr>
        <w:t xml:space="preserve">Sustainability, 16</w:t>
      </w:r>
      <w:r>
        <w:rPr>
          <w:rFonts w:ascii="Times New Roman" w:hAnsi="Times New Roman" w:cs="Times New Roman" w:eastAsia="Times New Roman"/>
          <w:sz w:val="22"/>
          <w:szCs w:val="22"/>
        </w:rPr>
        <w:t xml:space="preserve">(19), Article 8667. </w:t>
      </w:r>
      <w:r>
        <w:rPr>
          <w:rFonts w:ascii="Times New Roman" w:hAnsi="Times New Roman" w:cs="Times New Roman" w:eastAsia="Times New Roman"/>
          <w:sz w:val="22"/>
          <w:szCs w:val="22"/>
        </w:rPr>
        <w:t xml:space="preserve">https://doi.org/10.3390/su16198667</w:t>
      </w:r>
    </w:p>
    <w:p>
      <w:pPr>
        <w:spacing w:after="140"/>
        <w:ind w:left="567" w:hanging="567"/>
        <w:jc w:val="left"/>
      </w:pPr>
      <w:r>
        <w:rPr>
          <w:rFonts w:ascii="Times New Roman" w:hAnsi="Times New Roman" w:cs="Times New Roman" w:eastAsia="Times New Roman"/>
          <w:sz w:val="22"/>
          <w:szCs w:val="22"/>
        </w:rPr>
        <w:t xml:space="preserve">Singh, G., Daultani, Y., &amp; Sahu, R. (2022). Investigating the barriers to growth in the Indian food processing sector. </w:t>
      </w:r>
      <w:r>
        <w:rPr>
          <w:rFonts w:ascii="Times New Roman" w:hAnsi="Times New Roman" w:cs="Times New Roman" w:eastAsia="Times New Roman"/>
          <w:i/>
          <w:iCs/>
          <w:sz w:val="22"/>
          <w:szCs w:val="22"/>
        </w:rPr>
        <w:t xml:space="preserve">OPSEARCH, 59</w:t>
      </w:r>
      <w:r>
        <w:rPr>
          <w:rFonts w:ascii="Times New Roman" w:hAnsi="Times New Roman" w:cs="Times New Roman" w:eastAsia="Times New Roman"/>
          <w:sz w:val="22"/>
          <w:szCs w:val="22"/>
        </w:rPr>
        <w:t xml:space="preserve">(2), 441–459. </w:t>
      </w:r>
      <w:r>
        <w:rPr>
          <w:rFonts w:ascii="Times New Roman" w:hAnsi="Times New Roman" w:cs="Times New Roman" w:eastAsia="Times New Roman"/>
          <w:sz w:val="22"/>
          <w:szCs w:val="22"/>
        </w:rPr>
        <w:t xml:space="preserve">https://doi.org/10.1007/s12597-021-00553-1</w:t>
      </w:r>
    </w:p>
    <w:p>
      <w:pPr>
        <w:spacing w:after="140"/>
        <w:ind w:left="567" w:hanging="567"/>
        <w:jc w:val="left"/>
      </w:pPr>
      <w:r>
        <w:rPr>
          <w:rFonts w:ascii="Times New Roman" w:hAnsi="Times New Roman" w:cs="Times New Roman" w:eastAsia="Times New Roman"/>
          <w:sz w:val="22"/>
          <w:szCs w:val="22"/>
        </w:rPr>
        <w:t xml:space="preserve">Suryati, L., &amp; Lusiah, L. (2022). Distribution channel and prices as critical factors for sales volume improvement. </w:t>
      </w:r>
      <w:r>
        <w:rPr>
          <w:rFonts w:ascii="Times New Roman" w:hAnsi="Times New Roman" w:cs="Times New Roman" w:eastAsia="Times New Roman"/>
          <w:i/>
          <w:iCs/>
          <w:sz w:val="22"/>
          <w:szCs w:val="22"/>
        </w:rPr>
        <w:t xml:space="preserve">Journal of Accounting and Finance Management, 3</w:t>
      </w:r>
      <w:r>
        <w:rPr>
          <w:rFonts w:ascii="Times New Roman" w:hAnsi="Times New Roman" w:cs="Times New Roman" w:eastAsia="Times New Roman"/>
          <w:sz w:val="22"/>
          <w:szCs w:val="22"/>
        </w:rPr>
        <w:t xml:space="preserve">(5), 217–223. </w:t>
      </w:r>
      <w:r>
        <w:rPr>
          <w:rFonts w:ascii="Times New Roman" w:hAnsi="Times New Roman" w:cs="Times New Roman" w:eastAsia="Times New Roman"/>
          <w:sz w:val="22"/>
          <w:szCs w:val="22"/>
        </w:rPr>
        <w:t xml:space="preserve">https://doi.org/10.38035/jafm.v3i5.128</w:t>
      </w:r>
    </w:p>
    <w:p>
      <w:pPr>
        <w:spacing w:after="140"/>
        <w:ind w:left="567" w:hanging="567"/>
        <w:jc w:val="left"/>
      </w:pPr>
      <w:r>
        <w:rPr>
          <w:rFonts w:ascii="Times New Roman" w:hAnsi="Times New Roman" w:cs="Times New Roman" w:eastAsia="Times New Roman"/>
          <w:sz w:val="22"/>
          <w:szCs w:val="22"/>
        </w:rPr>
        <w:t xml:space="preserve">Taneo, S. Y. M., Noya, S., Setiyati, E. A., &amp; Melany. (2022). Improving the human resource capability of food SMEs managers through training: A preliminary research. </w:t>
      </w:r>
      <w:r>
        <w:rPr>
          <w:rFonts w:ascii="Times New Roman" w:hAnsi="Times New Roman" w:cs="Times New Roman" w:eastAsia="Times New Roman"/>
          <w:i/>
          <w:iCs/>
          <w:sz w:val="22"/>
          <w:szCs w:val="22"/>
        </w:rPr>
        <w:t xml:space="preserve">International Journal of Research in Business and Social Science, 11</w:t>
      </w:r>
      <w:r>
        <w:rPr>
          <w:rFonts w:ascii="Times New Roman" w:hAnsi="Times New Roman" w:cs="Times New Roman" w:eastAsia="Times New Roman"/>
          <w:sz w:val="22"/>
          <w:szCs w:val="22"/>
        </w:rPr>
        <w:t xml:space="preserve">(9), 90–96. </w:t>
      </w:r>
      <w:r>
        <w:rPr>
          <w:rFonts w:ascii="Times New Roman" w:hAnsi="Times New Roman" w:cs="Times New Roman" w:eastAsia="Times New Roman"/>
          <w:sz w:val="22"/>
          <w:szCs w:val="22"/>
        </w:rPr>
        <w:t xml:space="preserve">https://doi.org/10.20525/ijrbs.v11i9.2163</w:t>
      </w:r>
    </w:p>
    <w:p>
      <w:pPr>
        <w:spacing w:after="140"/>
        <w:ind w:left="567" w:hanging="567"/>
        <w:jc w:val="left"/>
      </w:pPr>
      <w:r>
        <w:rPr>
          <w:rFonts w:ascii="Times New Roman" w:hAnsi="Times New Roman" w:cs="Times New Roman" w:eastAsia="Times New Roman"/>
          <w:sz w:val="22"/>
          <w:szCs w:val="22"/>
        </w:rPr>
        <w:t xml:space="preserve">Thomran, M., Alshallaqi, M., Al-Mamary, Y. H., &amp; Abdulrab, M. (2022). The key enablers of competitive advantage formation in small and medium enterprises: The case of the Ha'il region. </w:t>
      </w:r>
      <w:r>
        <w:rPr>
          <w:rFonts w:ascii="Times New Roman" w:hAnsi="Times New Roman" w:cs="Times New Roman" w:eastAsia="Times New Roman"/>
          <w:i/>
          <w:iCs/>
          <w:sz w:val="22"/>
          <w:szCs w:val="22"/>
        </w:rPr>
        <w:t xml:space="preserve">Frontiers in Psychology, 13</w:t>
      </w:r>
      <w:r>
        <w:rPr>
          <w:rFonts w:ascii="Times New Roman" w:hAnsi="Times New Roman" w:cs="Times New Roman" w:eastAsia="Times New Roman"/>
          <w:sz w:val="22"/>
          <w:szCs w:val="22"/>
        </w:rPr>
        <w:t xml:space="preserve">, Article 1030405. </w:t>
      </w:r>
      <w:r>
        <w:rPr>
          <w:rFonts w:ascii="Times New Roman" w:hAnsi="Times New Roman" w:cs="Times New Roman" w:eastAsia="Times New Roman"/>
          <w:sz w:val="22"/>
          <w:szCs w:val="22"/>
        </w:rPr>
        <w:t xml:space="preserve">https://doi.org/10.3389/fpsyg.2022.1030405</w:t>
      </w:r>
    </w:p>
    <w:p>
      <w:pPr>
        <w:spacing w:after="140"/>
        <w:ind w:left="567" w:hanging="567"/>
        <w:jc w:val="left"/>
      </w:pPr>
      <w:r>
        <w:rPr>
          <w:rFonts w:ascii="Times New Roman" w:hAnsi="Times New Roman" w:cs="Times New Roman" w:eastAsia="Times New Roman"/>
          <w:sz w:val="22"/>
          <w:szCs w:val="22"/>
        </w:rPr>
        <w:t xml:space="preserve">Williams, R. I., Jr., &amp; Aaron, J. R. (2018). Specialization as a small business strategic approach. </w:t>
      </w:r>
      <w:r>
        <w:rPr>
          <w:rFonts w:ascii="Times New Roman" w:hAnsi="Times New Roman" w:cs="Times New Roman" w:eastAsia="Times New Roman"/>
          <w:i/>
          <w:iCs/>
          <w:sz w:val="22"/>
          <w:szCs w:val="22"/>
        </w:rPr>
        <w:t xml:space="preserve">Small Business Institute Journal, 14</w:t>
      </w:r>
      <w:r>
        <w:rPr>
          <w:rFonts w:ascii="Times New Roman" w:hAnsi="Times New Roman" w:cs="Times New Roman" w:eastAsia="Times New Roman"/>
          <w:sz w:val="22"/>
          <w:szCs w:val="22"/>
        </w:rPr>
        <w:t xml:space="preserve">(2), 1–15.</w:t>
      </w:r>
    </w:p>
    <w:p>
      <w:pPr>
        <w:spacing w:after="140"/>
        <w:ind w:left="567" w:hanging="567"/>
        <w:jc w:val="left"/>
      </w:pPr>
      <w:r>
        <w:rPr>
          <w:rFonts w:ascii="Times New Roman" w:hAnsi="Times New Roman" w:cs="Times New Roman" w:eastAsia="Times New Roman"/>
          <w:sz w:val="22"/>
          <w:szCs w:val="22"/>
        </w:rPr>
        <w:t xml:space="preserve">Zain, R. M., Ramli, A., Zain, M. Z. M., Rahim, M. N. A., &amp; Musa, A. (2023). Evaluation and prioritisation of GSCM barriers in food and beverage SMEs using the AHP. </w:t>
      </w:r>
      <w:r>
        <w:rPr>
          <w:rFonts w:ascii="Times New Roman" w:hAnsi="Times New Roman" w:cs="Times New Roman" w:eastAsia="Times New Roman"/>
          <w:i/>
          <w:iCs/>
          <w:sz w:val="22"/>
          <w:szCs w:val="22"/>
        </w:rPr>
        <w:t xml:space="preserve">AIP Conference Proceedings, 2827</w:t>
      </w:r>
      <w:r>
        <w:rPr>
          <w:rFonts w:ascii="Times New Roman" w:hAnsi="Times New Roman" w:cs="Times New Roman" w:eastAsia="Times New Roman"/>
          <w:sz w:val="22"/>
          <w:szCs w:val="22"/>
        </w:rPr>
        <w:t xml:space="preserve">(1), Article 030057. </w:t>
      </w:r>
      <w:r>
        <w:rPr>
          <w:rFonts w:ascii="Times New Roman" w:hAnsi="Times New Roman" w:cs="Times New Roman" w:eastAsia="Times New Roman"/>
          <w:sz w:val="22"/>
          <w:szCs w:val="22"/>
        </w:rPr>
        <w:t xml:space="preserve">https://doi.org/10.1063/5.0164583</w:t>
      </w:r>
    </w:p>
    <w:p>
      <w:pPr>
        <w:spacing w:after="140"/>
        <w:ind w:left="567" w:hanging="567"/>
        <w:jc w:val="left"/>
        <w:sectPr>
          <w:footerReference w:type="default" r:id="rId6"/>
          <w:footerReference w:type="first" r:id="rId5"/>
          <w:pgSz w:w="11906" w:h="16838"/>
          <w:pgMar w:top="1701" w:right="1701" w:bottom="1417" w:left="1417" w:header="709" w:footer="709" w:gutter="0"/>
          <w:pgNumType w:fmt="decimal"/>
          <w:cols w:space="720"/>
          <w:titlePg/>
          <w:docGrid w:linePitch="360"/>
        </w:sectPr>
      </w:pPr>
      <w:r>
        <w:rPr>
          <w:rFonts w:ascii="Times New Roman" w:hAnsi="Times New Roman" w:cs="Times New Roman" w:eastAsia="Times New Roman"/>
          <w:sz w:val="22"/>
          <w:szCs w:val="22"/>
        </w:rPr>
        <w:t xml:space="preserve">Zain, R. M., Ramli, A., Zain, M. Z. M., Yekini, L. S., Musa, A., Rahim, M. N. A., Dirie, A. N., &amp; Aziz, N. I. C. (2024). An investigation of the barriers and drivers for implementing green supply chain in Malaysian food and beverage SMEs: A qualitative perspective. </w:t>
      </w:r>
      <w:r>
        <w:rPr>
          <w:rFonts w:ascii="Times New Roman" w:hAnsi="Times New Roman" w:cs="Times New Roman" w:eastAsia="Times New Roman"/>
          <w:i/>
          <w:iCs/>
          <w:sz w:val="22"/>
          <w:szCs w:val="22"/>
        </w:rPr>
        <w:t xml:space="preserve">WSEAS Transactions on Business and Economics, 21</w:t>
      </w:r>
      <w:r>
        <w:rPr>
          <w:rFonts w:ascii="Times New Roman" w:hAnsi="Times New Roman" w:cs="Times New Roman" w:eastAsia="Times New Roman"/>
          <w:sz w:val="22"/>
          <w:szCs w:val="22"/>
        </w:rPr>
        <w:t xml:space="preserve">, 2169–2189. </w:t>
      </w:r>
      <w:r>
        <w:rPr>
          <w:rFonts w:ascii="Times New Roman" w:hAnsi="Times New Roman" w:cs="Times New Roman" w:eastAsia="Times New Roman"/>
          <w:sz w:val="22"/>
          <w:szCs w:val="22"/>
        </w:rPr>
        <w:t xml:space="preserve">https://doi.org/10.37394/23207.2024.21.179</w:t>
      </w:r>
    </w:p>
    <w:tbl>
      <w:tblPr>
        <w:tblW w:w="8788" w:type="dxa"/>
        <w:tblLayout w:type="fixed"/>
        <w:tblLook w:val="0000"/>
      </w:tblPr>
      <w:tblGrid>
        <w:gridCol w:w="8788"/>
      </w:tblGrid>
      <w:tr>
        <w:trPr>
          <w:cantSplit/>
          <w:trHeight w:val="12000" w:hRule="exact"/>
        </w:trPr>
        <w:tc>
          <w:tcPr>
            <w:tcW w:w="8788" w:type="dxa"/>
            <w:vAlign w:val="center"/>
          </w:tcPr>
          <w:p>
            <w:pPr>
              <w:pStyle w:val="Heading1"/>
              <w:bidi/>
              <w:jc w:val="center"/>
            </w:pPr>
            <w:bookmarkStart w:id="89" w:name="_Toc200000089"/>
            <w:r>
              <w:rPr>
                <w:rtl/>
              </w:rPr>
              <w:t xml:space="preserve">پیوست‌ها</w:t>
            </w:r>
            <w:bookmarkEnd w:id="89"/>
          </w:p>
        </w:tc>
      </w:tr>
    </w:tbl>
    <w:p>
      <w:pPr>
        <w:pStyle w:val="Heading2"/>
        <w:keepNext/>
        <w:pageBreakBefore/>
        <w:bidi/>
        <w:spacing w:before="0" w:after="80"/>
      </w:pPr>
      <w:bookmarkStart w:id="90" w:name="_Toc200000090"/>
      <w:r>
        <w:t>پیوست الف: فرم خام مصاحبه دور نخست دلفی</w:t>
      </w:r>
      <w:bookmarkEnd w:id="90"/>
    </w:p>
    <w:p>
      <w:pPr>
        <w:pStyle w:val="AppendixSub"/>
        <w:keepNext/>
        <w:bidi/>
        <w:spacing w:before="200" w:after="80"/>
      </w:pPr>
      <w:r>
        <w:t>معرفی پژوهش و رضایت آگاهانه</w:t>
      </w:r>
    </w:p>
    <w:p>
      <w:pPr>
        <w:bidi/>
        <w:spacing w:after="60"/>
        <w:jc w:val="both"/>
      </w:pPr>
      <w:r>
        <w:rPr>
          <w:rtl/>
        </w:rPr>
        <w:t xml:space="preserve">با سلام و احترام،</w:t>
      </w:r>
    </w:p>
    <w:p>
      <w:pPr>
        <w:bidi/>
        <w:spacing w:after="60"/>
        <w:jc w:val="both"/>
      </w:pPr>
      <w:r>
        <w:rPr>
          <w:rtl/>
        </w:rPr>
        <w:t xml:space="preserve">این مصاحبه در چارچوب پایان‌نامه کارشناسی ارشد رشته مدیریت بازرگانی، با عنوان «شناسایی و اولویت‌بندی چالش‌های فروش در شرکت‌های تک‌محصولی فعال در صنعت مواد غذایی» طراحی شده است. هدف این پژوهش، شناسایی چالش‌هایی است که شرکت‌های تک‌محصولی صنعت مواد غذایی در حوزه فروش با آن‌ها روبه‌رو هستند، و سپس اولویت‌بندی این چالش‌ها بر پایه نظر جمعی خبرگان این حوزه.</w:t>
      </w:r>
    </w:p>
    <w:p>
      <w:pPr>
        <w:bidi/>
        <w:spacing w:after="60"/>
        <w:jc w:val="both"/>
      </w:pPr>
      <w:r>
        <w:rPr>
          <w:rtl/>
        </w:rPr>
        <w:t xml:space="preserve">داده‌های این پژوهش با روش دلفی گردآوری می‌شود؛ روشی که در آن نظر خبرگان طی چند دور متوالی جمع‌آوری و به‌صورت ناشناس به اعضای پانل بازخورد داده می‌شود تا در دورهای بعدی، امکان بازبینی و نزدیک‌شدن نظرها به یکدیگر فراهم آید. این مصاحبه، نخستین دور از مجموع دورهای این فرایند است و ماهیتی کاملاً باز دارد؛ در دورهای بعدی، فهرست به‌دست‌آمده از همین دور، برای امتیازدهی در اختیار شما قرار خواهد گرفت.</w:t>
      </w:r>
    </w:p>
    <w:p>
      <w:pPr>
        <w:bidi/>
        <w:spacing w:after="60"/>
        <w:jc w:val="both"/>
      </w:pPr>
      <w:r>
        <w:rPr>
          <w:rtl/>
        </w:rPr>
        <w:t xml:space="preserve">مشارکت در این پژوهش کاملاً داوطلبانه است و در هر مرحله می‌توانید بدون نیاز به ذکر دلیل از ادامه همکاری انصراف دهید. درج نام در این مصاحبه اختیاری است؛ در گزارش نهایی پژوهش، از پاسخ‌دهندگان با کدهای خ۱ تا خ۷ یاد خواهد شد و هویت فردی شما و نام شرکت محل فعالیتتان فاش نخواهد شد. داده‌های گردآوری‌شده تنها برای مقاصد این پژوهش استفاده خواهد شد.</w:t>
      </w:r>
    </w:p>
    <w:p>
      <w:pPr>
        <w:bidi/>
        <w:spacing w:after="60"/>
        <w:jc w:val="both"/>
      </w:pPr>
      <w:r>
        <w:rPr>
          <w:rtl/>
        </w:rPr>
        <w:t xml:space="preserve">پاسخ‌گویی به این مصاحبه حدود ۱۵ تا ۲۰ دقیقه زمان می‌برد. از وقتی که برای مشارکت در این پژوهش اختصاص می‌دهید، صمیمانه سپاسگزاریم.</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8788"/>
      </w:tblGrid>
      <w:tr>
        <w:trPr>
          <w:cantSplit/>
        </w:trPr>
        <w:tc>
          <w:tcPr>
            <w:tcW w:w="8788" w:type="dxa"/>
            <w:tcBorders>
              <w:top w:val="single" w:sz="4" w:color="000000" w:space="0"/>
              <w:left w:val="single" w:sz="4" w:color="000000" w:space="0"/>
              <w:bottom w:val="single" w:sz="4" w:color="000000" w:space="0"/>
              <w:right w:val="single" w:sz="4" w:color="000000" w:space="0"/>
            </w:tcBorders>
            <w:tcMar>
              <w:top w:w="90" w:type="dxa"/>
              <w:left w:w="110" w:type="dxa"/>
              <w:bottom w:w="90" w:type="dxa"/>
              <w:right w:w="110" w:type="dxa"/>
            </w:tcMar>
            <w:vAlign w:val="center"/>
          </w:tcPr>
          <w:p>
            <w:pPr>
              <w:bidi/>
              <w:spacing w:after="0"/>
              <w:jc w:val="both"/>
            </w:pPr>
            <w:r>
              <w:rPr>
                <w:sz w:val="26"/>
                <w:szCs w:val="26"/>
                <w:rtl/>
              </w:rPr>
              <w:t xml:space="preserve">☐ با آگاهی کامل از موارد فوق، رضایت خود را برای مشارکت داوطلبانه در این پژوهش اعلام می‌کنم.</w:t>
            </w:r>
          </w:p>
        </w:tc>
      </w:tr>
    </w:tbl>
    <w:p>
      <w:pPr>
        <w:bidi/>
        <w:spacing w:after="60"/>
      </w:pPr>
    </w:p>
    <w:p>
      <w:pPr>
        <w:pBdr>
          <w:bottom w:val="single" w:sz="6" w:space="1" w:color="auto"/>
        </w:pBdr>
        <w:bidi/>
        <w:spacing w:after="60"/>
        <w:jc w:val="both"/>
      </w:pPr>
    </w:p>
    <w:p>
      <w:pPr>
        <w:pStyle w:val="AppendixSub"/>
        <w:keepNext/>
        <w:bidi/>
        <w:spacing w:before="200" w:after="80"/>
      </w:pPr>
      <w:r>
        <w:t>بخش نخست: مشخصات جمعیت‌شناختی</w:t>
      </w:r>
    </w:p>
    <w:p>
      <w:pPr>
        <w:bidi/>
        <w:spacing w:after="60"/>
        <w:jc w:val="both"/>
      </w:pPr>
      <w:r>
        <w:rPr>
          <w:rtl/>
        </w:rPr>
        <w:t xml:space="preserve">لطفاً گزینه مناسب را با علامت ضربدر یا تیک مشخص کنید. پاسخ به سؤال «نام» اختیاری است.</w:t>
      </w:r>
    </w:p>
    <w:p>
      <w:pPr>
        <w:bidi/>
        <w:spacing w:after="60"/>
      </w:pPr>
      <w:r>
        <w:rPr>
          <w:rtl/>
        </w:rPr>
        <w:t xml:space="preserve">نام و نام خانوادگی (اختیاری): </w:t>
      </w:r>
      <w:r>
        <w:rPr>
          <w:u w:val="single"/>
          <w:rtl/>
        </w:rPr>
        <w:t xml:space="preserve">                               </w:t>
      </w:r>
    </w:p>
    <w:p>
      <w:pPr>
        <w:bidi/>
        <w:spacing w:after="60"/>
        <w:jc w:val="both"/>
      </w:pPr>
      <w:r>
        <w:rPr>
          <w:b/>
          <w:bCs/>
          <w:rtl/>
        </w:rPr>
        <w:t xml:space="preserve">۱. جایگاه شغلی:</w:t>
      </w:r>
    </w:p>
    <w:p>
      <w:pPr>
        <w:bidi/>
        <w:spacing w:after="60"/>
        <w:ind w:left="360"/>
        <w:jc w:val="both"/>
      </w:pPr>
      <w:r>
        <w:rPr>
          <w:rtl/>
        </w:rPr>
        <w:t xml:space="preserve">☐ عضو هیئت علمی</w:t>
      </w:r>
      <w:r>
        <w:rPr>
          <w:rtl/>
        </w:rPr>
        <w:tab/>
        <w:t xml:space="preserve">☐ مدیر فروش</w:t>
      </w:r>
    </w:p>
    <w:p>
      <w:pPr>
        <w:bidi/>
        <w:spacing w:after="60"/>
        <w:ind w:left="360"/>
        <w:jc w:val="both"/>
      </w:pPr>
      <w:r>
        <w:rPr>
          <w:rtl/>
        </w:rPr>
        <w:t xml:space="preserve">☐ کارشناس فروش</w:t>
      </w:r>
      <w:r>
        <w:rPr>
          <w:rtl/>
        </w:rPr>
        <w:tab/>
        <w:t xml:space="preserve">☐ کارشناس برنامه‌ریزی تولید</w:t>
      </w:r>
    </w:p>
    <w:p>
      <w:pPr>
        <w:bidi/>
        <w:spacing w:after="60"/>
      </w:pPr>
      <w:r>
        <w:rPr>
          <w:rtl/>
        </w:rPr>
        <w:t xml:space="preserve">سایر (لطفاً ذکر کنید): </w:t>
      </w:r>
      <w:r>
        <w:rPr>
          <w:u w:val="single"/>
          <w:rtl/>
        </w:rPr>
        <w:t xml:space="preserve">                              </w:t>
      </w:r>
    </w:p>
    <w:p>
      <w:pPr>
        <w:bidi/>
        <w:spacing w:after="60"/>
        <w:jc w:val="both"/>
      </w:pPr>
      <w:r>
        <w:rPr>
          <w:b/>
          <w:bCs/>
          <w:rtl/>
        </w:rPr>
        <w:t xml:space="preserve">۲. سطح تحصیلات:</w:t>
      </w:r>
    </w:p>
    <w:p>
      <w:pPr>
        <w:bidi/>
        <w:spacing w:after="60"/>
        <w:ind w:left="360"/>
        <w:jc w:val="both"/>
      </w:pPr>
      <w:r>
        <w:rPr>
          <w:rtl/>
        </w:rPr>
        <w:t xml:space="preserve">☐ دیپلم</w:t>
      </w:r>
      <w:r>
        <w:rPr>
          <w:rtl/>
        </w:rPr>
        <w:tab/>
        <w:t xml:space="preserve">☐ کارشناسی</w:t>
      </w:r>
    </w:p>
    <w:p>
      <w:pPr>
        <w:bidi/>
        <w:spacing w:after="60"/>
        <w:ind w:left="360"/>
        <w:jc w:val="both"/>
      </w:pPr>
      <w:r>
        <w:rPr>
          <w:rtl/>
        </w:rPr>
        <w:t xml:space="preserve">☐ کارشناسی ارشد</w:t>
      </w:r>
      <w:r>
        <w:rPr>
          <w:rtl/>
        </w:rPr>
        <w:tab/>
        <w:t xml:space="preserve">☐ دکترا</w:t>
      </w:r>
    </w:p>
    <w:p>
      <w:pPr>
        <w:bidi/>
        <w:spacing w:after="60"/>
        <w:jc w:val="both"/>
      </w:pPr>
      <w:r>
        <w:rPr>
          <w:b/>
          <w:bCs/>
          <w:rtl/>
        </w:rPr>
        <w:t xml:space="preserve">۳. سابقه فعالیت در حوزه فروش یا بازاریابی محصولات غذایی:</w:t>
      </w:r>
    </w:p>
    <w:p>
      <w:pPr>
        <w:bidi/>
        <w:spacing w:after="60"/>
        <w:ind w:left="360"/>
        <w:jc w:val="both"/>
      </w:pPr>
      <w:r>
        <w:rPr>
          <w:rtl/>
        </w:rPr>
        <w:t xml:space="preserve">☐ کمتر از ۵ سال</w:t>
      </w:r>
      <w:r>
        <w:rPr>
          <w:rtl/>
        </w:rPr>
        <w:tab/>
        <w:t xml:space="preserve">☐ ۵ تا ۱۰ سال</w:t>
      </w:r>
    </w:p>
    <w:p>
      <w:pPr>
        <w:bidi/>
        <w:spacing w:after="60"/>
        <w:ind w:left="360"/>
        <w:jc w:val="both"/>
      </w:pPr>
      <w:r>
        <w:rPr>
          <w:rtl/>
        </w:rPr>
        <w:t xml:space="preserve">☐ ۱۱ تا ۲۰ سال</w:t>
      </w:r>
      <w:r>
        <w:rPr>
          <w:rtl/>
        </w:rPr>
        <w:tab/>
        <w:t xml:space="preserve">☐ بیش از ۲۰ سال</w:t>
      </w:r>
    </w:p>
    <w:p>
      <w:pPr>
        <w:bidi/>
        <w:spacing w:after="60"/>
        <w:jc w:val="both"/>
      </w:pPr>
      <w:r>
        <w:rPr>
          <w:b/>
          <w:bCs/>
          <w:rtl/>
        </w:rPr>
        <w:t xml:space="preserve">۴. نوع محصول اصلی شرکت محل فعالیت:</w:t>
      </w:r>
    </w:p>
    <w:p>
      <w:pPr>
        <w:bidi/>
        <w:spacing w:after="60"/>
        <w:ind w:left="360"/>
        <w:jc w:val="both"/>
      </w:pPr>
      <w:r>
        <w:rPr>
          <w:rtl/>
        </w:rPr>
        <w:t xml:space="preserve">☐ فرآورده‌های لبنی</w:t>
      </w:r>
      <w:r>
        <w:rPr>
          <w:rtl/>
        </w:rPr>
        <w:tab/>
        <w:t xml:space="preserve">☐ کره</w:t>
      </w:r>
    </w:p>
    <w:p>
      <w:pPr>
        <w:bidi/>
        <w:spacing w:after="60"/>
        <w:ind w:left="360"/>
        <w:jc w:val="both"/>
      </w:pPr>
      <w:r>
        <w:rPr>
          <w:rtl/>
        </w:rPr>
        <w:t xml:space="preserve">☐ حلوا ارده</w:t>
      </w:r>
      <w:r>
        <w:rPr>
          <w:rtl/>
        </w:rPr>
        <w:tab/>
        <w:t xml:space="preserve">☐ سایر</w:t>
      </w:r>
    </w:p>
    <w:p>
      <w:pPr>
        <w:bidi/>
        <w:spacing w:after="60"/>
      </w:pPr>
      <w:r>
        <w:rPr>
          <w:rtl/>
        </w:rPr>
        <w:t xml:space="preserve">در صورت انتخاب «سایر»، لطفاً ذکر کنید: </w:t>
      </w:r>
      <w:r>
        <w:rPr>
          <w:u w:val="single"/>
          <w:rtl/>
        </w:rPr>
        <w:t xml:space="preserve">                      </w:t>
      </w:r>
    </w:p>
    <w:p>
      <w:pPr>
        <w:pBdr>
          <w:bottom w:val="single" w:sz="6" w:space="1" w:color="auto"/>
        </w:pBdr>
        <w:bidi/>
        <w:spacing w:after="60"/>
        <w:jc w:val="both"/>
      </w:pPr>
    </w:p>
    <w:p>
      <w:pPr>
        <w:pStyle w:val="AppendixSub"/>
        <w:keepNext/>
        <w:bidi/>
        <w:spacing w:before="200" w:after="80"/>
      </w:pPr>
      <w:r>
        <w:t>بخش دوم: پرسش اصلی پژوهش</w:t>
      </w:r>
    </w:p>
    <w:p>
      <w:pPr>
        <w:bidi/>
        <w:spacing w:after="60"/>
        <w:jc w:val="both"/>
      </w:pPr>
      <w:r>
        <w:rPr>
          <w:rtl/>
        </w:rPr>
        <w:t xml:space="preserve">راهنمای پاسخ‌گویی: پرسش زیر عمداً به‌صورت باز و بدون فهرست پیشنهادی طرح شده است. هدف این بخش، شنیدن تجربه واقعی شما از چالش‌های فروش است؛ بنابراین هیچ پاسخی «نادرست» نیست و محدودیتی در تعداد موارد ذکرشده وجود ندارد. لطفاً هر چالشی را که از منظر تجربه کاری خود در فروش محصولات تک‌محصولی صنعت مواد غذایی مهم می‌دانید، فارغ از ترتیب یا اهمیت، بیان کنید.</w:t>
      </w:r>
    </w:p>
    <w:p>
      <w:pPr>
        <w:bidi/>
        <w:spacing w:after="60"/>
        <w:jc w:val="both"/>
      </w:pPr>
      <w:r>
        <w:rPr>
          <w:b/>
          <w:bCs/>
          <w:rtl/>
        </w:rPr>
        <w:t xml:space="preserve">پرسش محوری: «از نظر شما، چالش‌های فروش محصولات تک‌محصولی چیست؟»</w:t>
      </w:r>
    </w:p>
    <w:p>
      <w:pPr>
        <w:bidi/>
        <w:spacing w:after="60"/>
      </w:pPr>
      <w:r>
        <w:rPr>
          <w:rtl/>
        </w:rPr>
        <w:t xml:space="preserve">۱) </w:t>
      </w:r>
      <w:r>
        <w:rPr>
          <w:u w:val="single"/>
          <w:rtl/>
        </w:rPr>
        <w:tab/>
      </w:r>
    </w:p>
    <w:p>
      <w:pPr>
        <w:bidi/>
        <w:spacing w:after="60"/>
      </w:pPr>
      <w:r>
        <w:rPr>
          <w:rtl/>
        </w:rPr>
        <w:t xml:space="preserve">۲) </w:t>
      </w:r>
      <w:r>
        <w:rPr>
          <w:u w:val="single"/>
          <w:rtl/>
        </w:rPr>
        <w:tab/>
      </w:r>
    </w:p>
    <w:p>
      <w:pPr>
        <w:bidi/>
        <w:spacing w:after="60"/>
      </w:pPr>
      <w:r>
        <w:rPr>
          <w:rtl/>
        </w:rPr>
        <w:t xml:space="preserve">۳) </w:t>
      </w:r>
      <w:r>
        <w:rPr>
          <w:u w:val="single"/>
          <w:rtl/>
        </w:rPr>
        <w:tab/>
      </w:r>
    </w:p>
    <w:p>
      <w:pPr>
        <w:bidi/>
        <w:spacing w:after="60"/>
      </w:pPr>
      <w:r>
        <w:rPr>
          <w:rtl/>
        </w:rPr>
        <w:t xml:space="preserve">۴) </w:t>
      </w:r>
      <w:r>
        <w:rPr>
          <w:u w:val="single"/>
          <w:rtl/>
        </w:rPr>
        <w:tab/>
      </w:r>
    </w:p>
    <w:p>
      <w:pPr>
        <w:bidi/>
        <w:spacing w:after="60"/>
      </w:pPr>
      <w:r>
        <w:rPr>
          <w:rtl/>
        </w:rPr>
        <w:t xml:space="preserve">۵) </w:t>
      </w:r>
      <w:r>
        <w:rPr>
          <w:u w:val="single"/>
          <w:rtl/>
        </w:rPr>
        <w:tab/>
      </w:r>
    </w:p>
    <w:p>
      <w:pPr>
        <w:bidi/>
        <w:spacing w:after="60"/>
      </w:pPr>
      <w:r>
        <w:rPr>
          <w:rtl/>
        </w:rPr>
        <w:t xml:space="preserve">۶) </w:t>
      </w:r>
      <w:r>
        <w:rPr>
          <w:u w:val="single"/>
          <w:rtl/>
        </w:rPr>
        <w:tab/>
      </w:r>
    </w:p>
    <w:p>
      <w:pPr>
        <w:bidi/>
        <w:spacing w:after="60"/>
      </w:pPr>
      <w:r>
        <w:rPr>
          <w:rtl/>
        </w:rPr>
        <w:t xml:space="preserve">۷) </w:t>
      </w:r>
      <w:r>
        <w:rPr>
          <w:u w:val="single"/>
          <w:rtl/>
        </w:rPr>
        <w:tab/>
      </w:r>
    </w:p>
    <w:p>
      <w:pPr>
        <w:bidi/>
        <w:spacing w:after="60"/>
      </w:pPr>
      <w:r>
        <w:rPr>
          <w:rtl/>
        </w:rPr>
        <w:t xml:space="preserve">۸) </w:t>
      </w:r>
      <w:r>
        <w:rPr>
          <w:u w:val="single"/>
          <w:rtl/>
        </w:rPr>
        <w:tab/>
      </w:r>
    </w:p>
    <w:p>
      <w:pPr>
        <w:bidi/>
        <w:spacing w:after="60"/>
      </w:pPr>
      <w:r>
        <w:rPr>
          <w:rtl/>
        </w:rPr>
        <w:t xml:space="preserve">۹) </w:t>
      </w:r>
      <w:r>
        <w:rPr>
          <w:u w:val="single"/>
          <w:rtl/>
        </w:rPr>
        <w:tab/>
      </w:r>
    </w:p>
    <w:p>
      <w:pPr>
        <w:bidi/>
        <w:spacing w:after="60"/>
      </w:pPr>
      <w:r>
        <w:rPr>
          <w:rtl/>
        </w:rPr>
        <w:t xml:space="preserve">۱۰) </w:t>
      </w:r>
      <w:r>
        <w:rPr>
          <w:u w:val="single"/>
          <w:rtl/>
        </w:rPr>
        <w:tab/>
      </w:r>
    </w:p>
    <w:p>
      <w:pPr>
        <w:bidi/>
        <w:spacing w:after="60"/>
        <w:jc w:val="both"/>
      </w:pPr>
      <w:r>
        <w:rPr>
          <w:rtl/>
        </w:rPr>
        <w:t xml:space="preserve">(در صورت نیاز به فضای بیشتر، می‌توانید در پشت برگه یا برگه جداگانه ادامه دهید.)</w:t>
      </w:r>
    </w:p>
    <w:p>
      <w:pPr>
        <w:pBdr>
          <w:bottom w:val="single" w:sz="6" w:space="1" w:color="auto"/>
        </w:pBdr>
        <w:bidi/>
        <w:spacing w:after="60"/>
        <w:jc w:val="both"/>
      </w:pPr>
    </w:p>
    <w:p>
      <w:pPr>
        <w:pStyle w:val="AppendixSub"/>
        <w:keepNext/>
        <w:bidi/>
        <w:spacing w:before="200" w:after="80"/>
      </w:pPr>
      <w:r>
        <w:t>پایان مصاحبه</w:t>
      </w:r>
    </w:p>
    <w:p>
      <w:pPr>
        <w:bidi/>
        <w:spacing w:after="60"/>
        <w:jc w:val="both"/>
      </w:pPr>
      <w:r>
        <w:rPr>
          <w:rtl/>
        </w:rPr>
        <w:t xml:space="preserve">از همکاری صمیمانه شما در این مرحله از پژوهش سپاسگزاریم. نتایج تجمیعی این دور، به‌صورت ناشناس و در قالب فهرستی از چالش‌های فروش، در دور دوم برای امتیازدهی در اختیار شما قرار خواهد گرفت.</w:t>
      </w:r>
    </w:p>
    <w:p>
      <w:pPr>
        <w:bidi/>
        <w:spacing w:after="60"/>
      </w:pPr>
      <w:r>
        <w:rPr>
          <w:rtl/>
        </w:rPr>
        <w:t xml:space="preserve">راه ارتباطی پژوهشگر برای پیگیری دورهای بعدی: </w:t>
      </w:r>
      <w:r>
        <w:rPr>
          <w:u w:val="single"/>
          <w:rtl/>
        </w:rPr>
        <w:t xml:space="preserve">                </w:t>
      </w:r>
    </w:p>
    <w:p>
      <w:pPr>
        <w:pStyle w:val="Heading2"/>
        <w:keepNext/>
        <w:pageBreakBefore/>
        <w:bidi/>
        <w:spacing w:before="0" w:after="80"/>
      </w:pPr>
      <w:bookmarkStart w:id="91" w:name="_Toc200000091"/>
      <w:r>
        <w:t>پیوست ب: فرم خام پرسشنامه دور دوم دلفی (رتبه‌بندی گویه‌ها)</w:t>
      </w:r>
      <w:bookmarkEnd w:id="91"/>
    </w:p>
    <w:p>
      <w:pPr>
        <w:pStyle w:val="AppendixSub"/>
        <w:keepNext/>
        <w:bidi/>
        <w:spacing w:before="200" w:after="80"/>
      </w:pPr>
      <w:r>
        <w:t>معرفی و راهنمای تکمیل</w:t>
      </w:r>
    </w:p>
    <w:p>
      <w:pPr>
        <w:bidi/>
        <w:spacing w:after="60"/>
        <w:jc w:val="both"/>
      </w:pPr>
      <w:r>
        <w:rPr>
          <w:rtl/>
        </w:rPr>
        <w:t xml:space="preserve">با سلام و احترام،</w:t>
      </w:r>
    </w:p>
    <w:p>
      <w:pPr>
        <w:bidi/>
        <w:spacing w:after="60"/>
        <w:jc w:val="both"/>
      </w:pPr>
      <w:r>
        <w:rPr>
          <w:rtl/>
        </w:rPr>
        <w:t xml:space="preserve">سپاسگزاریم که در دور نخست این پژوهش مشارکت کردید. پاسخ‌های باز شما و سایر اعضای پانل، با روش تحلیل مضمون بررسی و به فهرستی شامل بیست‌ونه گویه در قالب نُه مؤلفه اصلی تبدیل شد. این پرسشنامه، دور دوم فرایند دلفی است: از شما خواسته می‌شود میزان اهمیت هر یک از این گویه‌ها را، از منظر تجربه خود در حوزه فروش محصولات تک‌محصولی صنعت مواد غذایی، بر پایه طیف پنج‌درجه‌ای زیر مشخص کنید.</w:t>
      </w:r>
    </w:p>
    <w:p>
      <w:pPr>
        <w:bidi/>
        <w:spacing w:after="60"/>
        <w:jc w:val="both"/>
      </w:pPr>
      <w:r>
        <w:rPr>
          <w:b/>
          <w:bCs/>
          <w:rtl/>
        </w:rPr>
        <w:t xml:space="preserve">طیف رتبه‌بندی:</w:t>
      </w:r>
    </w:p>
    <w:p>
      <w:pPr>
        <w:bidi/>
        <w:spacing w:after="60"/>
        <w:ind w:left="360"/>
        <w:jc w:val="both"/>
      </w:pPr>
      <w:r>
        <w:rPr>
          <w:rtl/>
        </w:rPr>
        <w:t xml:space="preserve">☐ ۱ = بدون اهمیت یا کم‌ارتباط با چالش‌های فروش</w:t>
      </w:r>
    </w:p>
    <w:p>
      <w:pPr>
        <w:bidi/>
        <w:spacing w:after="60"/>
        <w:ind w:left="360"/>
        <w:jc w:val="both"/>
      </w:pPr>
      <w:r>
        <w:rPr>
          <w:rtl/>
        </w:rPr>
        <w:t xml:space="preserve">☐ ۲ = کم‌اهمیت</w:t>
      </w:r>
    </w:p>
    <w:p>
      <w:pPr>
        <w:bidi/>
        <w:spacing w:after="60"/>
        <w:ind w:left="360"/>
        <w:jc w:val="both"/>
      </w:pPr>
      <w:r>
        <w:rPr>
          <w:rtl/>
        </w:rPr>
        <w:t xml:space="preserve">☐ ۳ = تا حدی مهم</w:t>
      </w:r>
    </w:p>
    <w:p>
      <w:pPr>
        <w:bidi/>
        <w:spacing w:after="60"/>
        <w:ind w:left="360"/>
        <w:jc w:val="both"/>
      </w:pPr>
      <w:r>
        <w:rPr>
          <w:rtl/>
        </w:rPr>
        <w:t xml:space="preserve">☐ ۴ = مهم</w:t>
      </w:r>
    </w:p>
    <w:p>
      <w:pPr>
        <w:bidi/>
        <w:spacing w:after="60"/>
        <w:ind w:left="360"/>
        <w:jc w:val="both"/>
      </w:pPr>
      <w:r>
        <w:rPr>
          <w:rtl/>
        </w:rPr>
        <w:t xml:space="preserve">☐ ۵ = بسیار مهم و تعیین‌کننده</w:t>
      </w:r>
    </w:p>
    <w:p>
      <w:pPr>
        <w:bidi/>
        <w:spacing w:after="60"/>
        <w:jc w:val="both"/>
      </w:pPr>
      <w:r>
        <w:rPr>
          <w:rtl/>
        </w:rPr>
        <w:t xml:space="preserve">لطفاً برای هر گویه، فقط یک عدد را در جدول مربوط به آن علامت بزنید. پاسخ‌های شما همچنان محرمانه است و در گزارش نهایی تنها به‌صورت تجمیعی و ناشناس ارائه می‌شود. نتایج آماری تجمیعی این دور، در دور سوم به‌صورت ناشناس به شما بازخورد داده خواهد شد تا در صورت تمایل، رتبه‌بندی خود را بازبینی کنید.</w:t>
      </w:r>
    </w:p>
    <w:p>
      <w:pPr>
        <w:bidi/>
        <w:spacing w:after="60"/>
      </w:pPr>
      <w:r>
        <w:rPr>
          <w:rtl/>
        </w:rPr>
        <w:t xml:space="preserve">کد خبره شما (مطابق دور نخست): </w:t>
      </w:r>
      <w:r>
        <w:rPr>
          <w:u w:val="single"/>
          <w:rtl/>
        </w:rPr>
        <w:t xml:space="preserve">                    </w:t>
      </w:r>
    </w:p>
    <w:p>
      <w:pPr>
        <w:pBdr>
          <w:bottom w:val="single" w:sz="6" w:space="1" w:color="auto"/>
        </w:pBdr>
        <w:bidi/>
        <w:spacing w:after="60"/>
        <w:jc w:val="both"/>
      </w:pPr>
    </w:p>
    <w:p>
      <w:pPr>
        <w:keepNext/>
        <w:bidi/>
        <w:spacing w:after="60"/>
        <w:jc w:val="both"/>
      </w:pPr>
      <w:r>
        <w:rPr>
          <w:rtl/>
        </w:rPr>
        <w:t xml:space="preserve">جدول زیر همه ۲۹ گویه را در قالب نُه مؤلفه نشان می‌دهد؛ برای هر گویه یک عدد را علامت بزنید.</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700"/>
        <w:gridCol w:w="5288"/>
        <w:gridCol w:w="560"/>
        <w:gridCol w:w="560"/>
        <w:gridCol w:w="560"/>
        <w:gridCol w:w="560"/>
        <w:gridCol w:w="560"/>
      </w:tblGrid>
      <w:tr>
        <w:trPr>
          <w:cantSplit/>
          <w:tblHeader/>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ردیف</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b/>
                <w:bCs/>
                <w:sz w:val="20"/>
                <w:szCs w:val="20"/>
                <w:rtl/>
              </w:rPr>
              <w:t xml:space="preserve">گویه</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۱</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۲</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۵</w:t>
            </w:r>
          </w:p>
        </w:tc>
      </w:tr>
      <w:tr>
        <w:trPr>
          <w:cantSplit/>
        </w:trPr>
        <w:tc>
          <w:tcPr>
            <w:tcW w:w="8788" w:type="dxa"/>
            <w:gridSpan w:val="7"/>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۱) آسیب‌پذیری ساختاری ناشی از تمرکز بر محصول واحد</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وابستگی کامل درآمد و سودآوری شرکت به تقاضای یک محصول</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نبود امکان جبران افت فروش از محل سایر اقلام سبد محصول</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۳</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کاهش انعطاف‌پذیری و کندی واکنش شرکت به تغییرات بازار</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7"/>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۲) ضعف برندسازی و دشواری تمایز محصول</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۴</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ضعف در برندسازی و تبلیغات و کمرنگ بودن جایگاه برند در ذهن مشتری</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۵</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دشواری ایجاد تمایز نسبت به محصولات رقیب</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۶</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نبود نوآوری و توسعه محصول</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۷</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کم‌توجهی به تحقیقات بازار و مطالعه رفتار مصرف‌کننده</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7"/>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۳) دشواری جذب و حفظ مشتری و وفاداری پایین</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۸</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دشواری جذب مشتری جدید</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۹</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وفاداری پایین مشتری به شرکت تک‌محصولی</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۱۰</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نبود پیشنهاد تازه برای حفظ و فعال‌سازی مجدد مشتریان فعلی</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7"/>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۴) ضعف در برنامه‌ریزی، پیش‌بینی و مدیریت فروش</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۱۱</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ضعف در پیش‌بینی دقیق تقاضای بازار</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۱۲</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ضعف در برنامه‌ریزی و مدیریت موجودی</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۱۳</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ضعف در نظام برنامه‌ریزی و اطلاعات فروش</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۱۴</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محدودیت منابع مالی برای توزیع و ترویج محصول</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7"/>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۵) ناکارآمدی و هزینه‌بری شبکه توزیع و فروش</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۱۵</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هزینه بالای پخش و توزیع به ازای یک قلم کالا</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۱۶</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کوچک بودن شبکه فروش و پوشش محدود بازار</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۱۷</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کاهش قدرت چانه‌زنی در برابر شبکه توزیع و خرده‌فروشی چندمحصولی</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۱۸</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وابستگی به تعداد محدودی مشتری یا کانال فروش</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7"/>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۶) شدت رقابت و فشار قیمتی بازار</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۱۹</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ورود رقبای جدید و افزایش شدت رقابت</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۲۰</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حضور محصولات جایگزین و برندهای رقیب دارای سبد متنوع</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۲۱</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رقابت قیمتی و نوسان قیمت رقبا</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7"/>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۷) تغییر ذائقه مصرف‌کننده و محدودیت بازار هدف</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۲۲</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تغییر سریع ذائقه و ترجیحات مصرف‌کننده در گذر زمان</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۲۳</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محدود بودن بازار هدف به یک گروه خاص از مشتریان</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۲۴</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افت ناگهانی تقاضا</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7"/>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۸) ناپایداری تأمین و نوسان بهای مواد اولیه</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۲۵</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نوسان و کمبود در تأمین مواد اولیه</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۲۶</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وابستگی تأمین به واردات و اثر تحریم و محدودیت‌های اقتصادی</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۲۷</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ناپیوستگی عرضه و کسری محصول در بازار</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7"/>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۹) فشارهای اقتصاد کلان و کاهش قدرت خرید</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۲۸</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افزایش بهای تمام‌شده و فشار بر حاشیه سود</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۲۹</w:t>
            </w:r>
          </w:p>
        </w:tc>
        <w:tc>
          <w:tcPr>
            <w:tcW w:w="528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کاهش قدرت خرید و مشکلات اقتصادی مصرف‌کننده</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bl>
    <w:p>
      <w:pPr>
        <w:bidi/>
        <w:spacing w:after="80"/>
      </w:pPr>
    </w:p>
    <w:p>
      <w:pPr>
        <w:pStyle w:val="AppendixSub"/>
        <w:keepNext/>
        <w:bidi/>
        <w:spacing w:before="200" w:after="80"/>
      </w:pPr>
      <w:r>
        <w:t>پایان پرسشنامه</w:t>
      </w:r>
    </w:p>
    <w:p>
      <w:pPr>
        <w:bidi/>
        <w:spacing w:after="60"/>
        <w:jc w:val="both"/>
      </w:pPr>
      <w:r>
        <w:rPr>
          <w:rtl/>
        </w:rPr>
        <w:t xml:space="preserve">از همکاری صمیمانه شما در این مرحله از پژوهش سپاسگزاریم. در صورت تمایل به ثبت توضیح تکمیلی درباره هر یک از گویه‌ها، می‌توانید از فضای زیر استفاده کنید.</w:t>
      </w:r>
    </w:p>
    <w:p>
      <w:pPr>
        <w:pStyle w:val="Heading2"/>
        <w:keepNext/>
        <w:pageBreakBefore/>
        <w:bidi/>
        <w:spacing w:before="0" w:after="80"/>
      </w:pPr>
      <w:bookmarkStart w:id="92" w:name="_Toc200000092"/>
      <w:r>
        <w:t>پیوست پ: فرم خام پرسشنامه دور سوم دلفی (بازنگری رتبه‌بندی با بازخورد گروهی)</w:t>
      </w:r>
      <w:bookmarkEnd w:id="92"/>
    </w:p>
    <w:p>
      <w:pPr>
        <w:bidi/>
        <w:spacing w:after="60"/>
        <w:jc w:val="both"/>
      </w:pPr>
      <w:r>
        <w:rPr>
          <w:rtl/>
        </w:rPr>
        <w:t xml:space="preserve">در دور سوم، هر عضو پانل فرم خود را دریافت کرد. ستون «بازخورد دور دوم» امتیاز خود عضو در دور دوم و میانگین و میانه گروه را نشان می‌دهد؛ در این فرم خام این مقادیر خالی است و برای هر عضو جداگانه تکمیل می‌شود.</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700"/>
        <w:gridCol w:w="3028"/>
        <w:gridCol w:w="2360"/>
        <w:gridCol w:w="540"/>
        <w:gridCol w:w="540"/>
        <w:gridCol w:w="540"/>
        <w:gridCol w:w="540"/>
        <w:gridCol w:w="540"/>
      </w:tblGrid>
      <w:tr>
        <w:trPr>
          <w:cantSplit/>
          <w:tblHeader/>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ردیف</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b/>
                <w:bCs/>
                <w:sz w:val="20"/>
                <w:szCs w:val="20"/>
                <w:rtl/>
              </w:rPr>
              <w:t xml:space="preserve">گویه</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b/>
                <w:bCs/>
                <w:sz w:val="20"/>
                <w:szCs w:val="20"/>
                <w:rtl/>
              </w:rPr>
              <w:t xml:space="preserve">بازخورد دور دوم</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۱</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۲</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۳</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۴</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b/>
                <w:bCs/>
                <w:sz w:val="20"/>
                <w:szCs w:val="20"/>
                <w:rtl/>
              </w:rPr>
              <w:t xml:space="preserve">۵</w:t>
            </w:r>
          </w:p>
        </w:tc>
      </w:tr>
      <w:tr>
        <w:trPr>
          <w:cantSplit/>
        </w:trPr>
        <w:tc>
          <w:tcPr>
            <w:tcW w:w="8788" w:type="dxa"/>
            <w:gridSpan w:val="8"/>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۱) آسیب‌پذیری ساختاری ناشی از تمرکز بر محصول واحد</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وابستگی کامل درآمد و سودآوری شرکت به تقاضای یک محصول</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نبود امکان جبران افت فروش از محل سایر اقلام سبد محصول</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۳</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کاهش انعطاف‌پذیری و کندی واکنش شرکت به تغییرات بازار</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8"/>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۲) ضعف برندسازی و دشواری تمایز محصول</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۴</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ضعف در برندسازی و تبلیغات و کمرنگ بودن جایگاه برند در ذهن مشتری</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۵</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دشواری ایجاد تمایز نسبت به محصولات رقیب</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۶</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نبود نوآوری و توسعه محصول</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۷</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کم‌توجهی به تحقیقات بازار و مطالعه رفتار مصرف‌کننده</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8"/>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۳) دشواری جذب و حفظ مشتری و وفاداری پایین</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۸</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دشواری جذب مشتری جدید</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۹</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وفاداری پایین مشتری به شرکت تک‌محصولی</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۱۰</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نبود پیشنهاد تازه برای حفظ و فعال‌سازی مجدد مشتریان فعلی</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8"/>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۴) ضعف در برنامه‌ریزی، پیش‌بینی و مدیریت فروش</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۱۱</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ضعف در پیش‌بینی دقیق تقاضای بازار</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۱۲</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ضعف در برنامه‌ریزی و مدیریت موجودی</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۱۳</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ضعف در نظام برنامه‌ریزی و اطلاعات فروش</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۱۴</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محدودیت منابع مالی برای توزیع و ترویج محصول</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8"/>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۵) ناکارآمدی و هزینه‌بری شبکه توزیع و فروش</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۱۵</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هزینه بالای پخش و توزیع به ازای یک قلم کالا</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۱۶</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کوچک بودن شبکه فروش و پوشش محدود بازار</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۱۷</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کاهش قدرت چانه‌زنی در برابر شبکه توزیع و خرده‌فروشی چندمحصولی</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۱۸</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وابستگی به تعداد محدودی مشتری یا کانال فروش</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8"/>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۶) شدت رقابت و فشار قیمتی بازار</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۱۹</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ورود رقبای جدید و افزایش شدت رقابت</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۲۰</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حضور محصولات جایگزین و برندهای رقیب دارای سبد متنوع</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۲۱</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رقابت قیمتی و نوسان قیمت رقبا</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8"/>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۷) تغییر ذائقه مصرف‌کننده و محدودیت بازار هدف</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۲۲</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تغییر سریع ذائقه و ترجیحات مصرف‌کننده در گذر زمان</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۲۳</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محدود بودن بازار هدف به یک گروه خاص از مشتریان</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۲۴</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افت ناگهانی تقاضا</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8"/>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۸) ناپایداری تأمین و نوسان بهای مواد اولیه</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۲۵</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نوسان و کمبود در تأمین مواد اولیه</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۲۶</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وابستگی تأمین به واردات و اثر تحریم و محدودیت‌های اقتصادی</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۲۷</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ناپیوستگی عرضه و کسری محصول در بازار</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8788" w:type="dxa"/>
            <w:gridSpan w:val="8"/>
            <w:tcBorders>
              <w:top w:val="single" w:sz="4" w:color="000000" w:space="0"/>
              <w:left w:val="single" w:sz="4" w:color="000000" w:space="0"/>
              <w:bottom w:val="single" w:sz="4" w:color="000000" w:space="0"/>
              <w:right w:val="single" w:sz="4" w:color="000000" w:space="0"/>
            </w:tcBorders>
            <w:shd w:val="clear" w:color="auto" w:fill="E7E6E6"/>
            <w:tcMar>
              <w:top w:w="45" w:type="dxa"/>
              <w:left w:w="45" w:type="dxa"/>
              <w:bottom w:w="45" w:type="dxa"/>
              <w:right w:w="45" w:type="dxa"/>
            </w:tcMar>
            <w:vAlign w:val="center"/>
          </w:tcPr>
          <w:p>
            <w:pPr>
              <w:bidi/>
              <w:spacing w:after="0"/>
              <w:jc w:val="center"/>
            </w:pPr>
            <w:r>
              <w:rPr>
                <w:sz w:val="20"/>
                <w:szCs w:val="20"/>
                <w:rtl/>
              </w:rPr>
              <w:t xml:space="preserve">مؤلفه ۹) فشارهای اقتصاد کلان و کاهش قدرت خرید</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۲۸</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افزایش بهای تمام‌شده و فشار بر حاشیه سود</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۲۹</w:t>
            </w:r>
          </w:p>
        </w:tc>
        <w:tc>
          <w:tcPr>
            <w:tcW w:w="3028"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کاهش قدرت خرید و مشکلات اقتصادی مصرف‌کننده</w:t>
            </w:r>
          </w:p>
        </w:tc>
        <w:tc>
          <w:tcPr>
            <w:tcW w:w="236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pPr>
            <w:r>
              <w:rPr>
                <w:sz w:val="20"/>
                <w:szCs w:val="20"/>
                <w:rtl/>
              </w:rPr>
              <w:t xml:space="preserve">شما: …</w:t>
              <w:tab/>
              <w:t xml:space="preserve">میانگین گروه: …</w:t>
              <w:tab/>
              <w:t xml:space="preserve">میانه: …</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c>
          <w:tcPr>
            <w:tcW w:w="540" w:type="dxa"/>
            <w:tcBorders>
              <w:top w:val="single" w:sz="4" w:color="000000" w:space="0"/>
              <w:left w:val="single" w:sz="4" w:color="000000" w:space="0"/>
              <w:bottom w:val="single" w:sz="4" w:color="000000" w:space="0"/>
              <w:right w:val="single" w:sz="4" w:color="000000" w:space="0"/>
            </w:tcBorders>
            <w:tcMar>
              <w:top w:w="45" w:type="dxa"/>
              <w:left w:w="45" w:type="dxa"/>
              <w:bottom w:w="45" w:type="dxa"/>
              <w:right w:w="45" w:type="dxa"/>
            </w:tcMar>
            <w:vAlign w:val="center"/>
          </w:tcPr>
          <w:p>
            <w:pPr>
              <w:bidi/>
              <w:spacing w:after="0"/>
              <w:jc w:val="center"/>
            </w:pPr>
            <w:r>
              <w:rPr>
                <w:sz w:val="20"/>
                <w:szCs w:val="20"/>
                <w:rtl/>
              </w:rPr>
              <w:t xml:space="preserve">☐</w:t>
            </w:r>
          </w:p>
        </w:tc>
      </w:tr>
    </w:tbl>
    <w:p>
      <w:pPr>
        <w:spacing w:after="0" w:line="240" w:lineRule="auto"/>
        <w:sectPr>
          <w:footerReference w:type="default" r:id="rId6"/>
          <w:footerReference w:type="first" r:id="rId5"/>
          <w:pgSz w:w="11906" w:h="16838"/>
          <w:pgMar w:top="1701" w:right="1701" w:bottom="1417" w:left="1417" w:header="709" w:footer="709" w:gutter="0"/>
          <w:pgNumType w:fmt="decimal"/>
          <w:cols w:space="720"/>
          <w:titlePg/>
          <w:docGrid w:linePitch="360"/>
        </w:sectPr>
      </w:pPr>
    </w:p>
    <w:p>
      <w:pPr>
        <w:spacing w:after="200"/>
      </w:pPr>
      <w:r>
        <w:rPr>
          <w:rFonts w:ascii="Times New Roman" w:hAnsi="Times New Roman" w:cs="Times New Roman" w:eastAsia="Times New Roman"/>
          <w:b/>
          <w:bCs/>
          <w:sz w:val="28"/>
          <w:szCs w:val="28"/>
        </w:rPr>
        <w:t xml:space="preserve">Abstract</w:t>
      </w:r>
    </w:p>
    <w:p>
      <w:pPr>
        <w:spacing w:after="200"/>
        <w:jc w:val="both"/>
      </w:pPr>
      <w:r>
        <w:rPr>
          <w:rFonts w:ascii="Times New Roman" w:hAnsi="Times New Roman" w:cs="Times New Roman" w:eastAsia="Times New Roman"/>
          <w:sz w:val="24"/>
          <w:szCs w:val="24"/>
        </w:rPr>
        <w:t xml:space="preserve">Single-product companies in the food industry are highly vulnerable to market fluctuations because their entire revenue depends on one product, and they cannot offset a decline in its sales through other items. Despite this vulnerability, the sales challenges of such firms have not been studied specifically in the Iranian literature. This study aimed at the identification and prioritization of the sales challenges of single-product companies in the Iranian food industry. The research is applied in purpose, exploratory in nature, and mixed in approach, and it used the Delphi method in three rounds, and the weights were derived with the analytic hierarchy process. The panel consisted of seven experts selected through judgmental purposive sampling. The open-ended responses of the first round were coded through thematic analysis, which yielded twenty-nine items grouped into nine components, five internal and four external. In the second and third rounds, the experts rated the importance of the items on a five-point scale, and in the third round they received anonymous group feedback. Agreement among the panel was assessed with Kendall's coefficient of concordance, and the stability of the rankings between the last two rounds with Spearman's rank correlation coefficient. Kendall's W rose from 0.224 in the second round to 0.756 in the third, and the Spearman correlation was 0.847 at the item level. In the final ranking, macroeconomic pressures and reduced purchasing power, changes in consumer taste and the limited target market, and competitive intensity and price pressure ranked first to third, and all four external components were among the top five; structural vulnerability arising from single-product concentration ranked fourth. The findings indicate that the panel regards external shocks, which are more severe for a single-product firm because it has no internal compensating mechanism, as the most urgent sales challenges.</w:t>
      </w:r>
    </w:p>
    <w:p>
      <w:pPr>
        <w:spacing w:after="80"/>
        <w:jc w:val="both"/>
        <w:sectPr>
          <w:footerReference w:type="default" r:id="rId7"/>
          <w:pgSz w:w="11906" w:h="16838"/>
          <w:pgMar w:top="1701" w:right="1701" w:bottom="1417" w:left="1417" w:header="709" w:footer="709" w:gutter="0"/>
          <w:pgNumType w:fmt="decimal"/>
          <w:cols w:space="720"/>
          <w:docGrid w:linePitch="360"/>
        </w:sectPr>
      </w:pPr>
      <w:r>
        <w:rPr>
          <w:rFonts w:ascii="Times New Roman" w:hAnsi="Times New Roman" w:cs="Times New Roman" w:eastAsia="Times New Roman"/>
          <w:b/>
          <w:bCs/>
          <w:sz w:val="24"/>
          <w:szCs w:val="24"/>
        </w:rPr>
        <w:t xml:space="preserve">Keywords: </w:t>
      </w:r>
      <w:r>
        <w:rPr>
          <w:rFonts w:ascii="Times New Roman" w:hAnsi="Times New Roman" w:cs="Times New Roman" w:eastAsia="Times New Roman"/>
          <w:sz w:val="24"/>
          <w:szCs w:val="24"/>
        </w:rPr>
        <w:t xml:space="preserve">Sales, Single-product</w:t>
      </w:r>
    </w:p>
    <w:p>
      <w:pPr>
        <w:jc w:val="center"/>
      </w:pPr>
      <w:r>
        <w:rPr>
          <w:noProof/>
        </w:rPr>
        <w:lastRenderedPageBreak/>
        <w:drawing>
          <wp:inline distT="0" distB="0" distL="0" distR="0" wp14:anchorId="597C7CE7" wp14:editId="17D08868">
            <wp:extent cx="1047750" cy="1047750"/>
            <wp:effectExtent l="0" t="0" r="0" b="0"/>
            <wp:docPr id="7" name="Picture 4" descr="آرم موسسه آموزش عالی تابرا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1047750" cy="1047750"/>
                    </a:xfrm>
                    <a:prstGeom prst="rect">
                      <a:avLst/>
                    </a:prstGeom>
                  </pic:spPr>
                </pic:pic>
              </a:graphicData>
            </a:graphic>
          </wp:inline>
        </w:drawing>
      </w:r>
    </w:p>
    <w:p>
      <w:pPr>
        <w:spacing w:before="200" w:after="120"/>
        <w:jc w:val="center"/>
      </w:pPr>
      <w:proofErr w:type="spellStart"/>
      <w:r>
        <w:rPr>
          <w:rFonts w:ascii="Times New Roman" w:eastAsia="Times New Roman" w:hAnsi="Times New Roman" w:cs="Times New Roman"/>
          <w:b/>
          <w:bCs/>
        </w:rPr>
        <w:t>Tabaran</w:t>
      </w:r>
      <w:proofErr w:type="spellEnd"/>
      <w:r>
        <w:rPr>
          <w:rFonts w:ascii="Times New Roman" w:eastAsia="Times New Roman" w:hAnsi="Times New Roman" w:cs="Times New Roman"/>
          <w:b/>
          <w:bCs/>
        </w:rPr>
        <w:t xml:space="preserve"> Institute of Higher Education</w:t>
      </w:r>
    </w:p>
    <w:p>
      <w:pPr>
        <w:spacing w:after="700"/>
        <w:jc w:val="center"/>
      </w:pPr>
      <w:r>
        <w:rPr>
          <w:rFonts w:ascii="Times New Roman" w:eastAsia="Times New Roman" w:hAnsi="Times New Roman" w:cs="Times New Roman"/>
          <w:b/>
          <w:bCs/>
        </w:rPr>
        <w:t>Faculty of ............................</w:t>
      </w:r>
    </w:p>
    <w:p>
      <w:pPr>
        <w:spacing w:after="700"/>
        <w:jc w:val="center"/>
      </w:pPr>
      <w:r>
        <w:rPr>
          <w:rFonts w:ascii="Times New Roman" w:eastAsia="Times New Roman" w:hAnsi="Times New Roman" w:cs="Times New Roman"/>
          <w:b/>
          <w:bCs/>
        </w:rPr>
        <w:t>Thesis Submitted in Partial Fulfillment of the Requirements for the Degree of Master of Arts (MA) in Business Management (Strategic Management)</w:t>
      </w:r>
    </w:p>
    <w:p>
      <w:pPr>
        <w:spacing w:after="700"/>
        <w:jc w:val="center"/>
      </w:pPr>
      <w:r>
        <w:rPr>
          <w:rFonts w:ascii="Times New Roman" w:eastAsia="Times New Roman" w:hAnsi="Times New Roman" w:cs="Times New Roman"/>
          <w:b/>
          <w:bCs/>
        </w:rPr>
        <w:t>Identifying and Prioritizing Sales Challenges in Single-Product Companies Operating in the Food Industry: A Qualitative Study Based on Thematic Analysis</w:t>
      </w:r>
    </w:p>
    <w:p>
      <w:pPr>
        <w:spacing w:after="100"/>
        <w:jc w:val="center"/>
      </w:pPr>
      <w:r>
        <w:rPr>
          <w:rFonts w:ascii="Times New Roman" w:eastAsia="Times New Roman" w:hAnsi="Times New Roman" w:cs="Times New Roman"/>
          <w:b/>
          <w:bCs/>
        </w:rPr>
        <w:t>Supervisor</w:t>
      </w:r>
    </w:p>
    <w:p>
      <w:pPr>
        <w:spacing w:after="500"/>
        <w:jc w:val="center"/>
      </w:pPr>
      <w:r>
        <w:rPr>
          <w:rFonts w:ascii="Times New Roman" w:eastAsia="Times New Roman" w:hAnsi="Times New Roman" w:cs="Times New Roman"/>
        </w:rPr>
        <w:t>Dr. ............................</w:t>
      </w:r>
    </w:p>
    <w:p>
      <w:pPr>
        <w:spacing w:after="100"/>
        <w:jc w:val="center"/>
      </w:pPr>
      <w:r>
        <w:rPr>
          <w:rFonts w:ascii="Times New Roman" w:eastAsia="Times New Roman" w:hAnsi="Times New Roman" w:cs="Times New Roman"/>
          <w:b/>
          <w:bCs/>
        </w:rPr>
        <w:t>By</w:t>
      </w:r>
    </w:p>
    <w:p>
      <w:pPr>
        <w:spacing w:after="500"/>
        <w:jc w:val="center"/>
      </w:pPr>
      <w:r>
        <w:rPr>
          <w:rFonts w:ascii="Times New Roman" w:eastAsia="Times New Roman" w:hAnsi="Times New Roman" w:cs="Times New Roman"/>
        </w:rPr>
        <w:t xml:space="preserve">Saeed Khan </w:t>
      </w:r>
      <w:proofErr w:type="spellStart"/>
      <w:r>
        <w:rPr>
          <w:rFonts w:ascii="Times New Roman" w:eastAsia="Times New Roman" w:hAnsi="Times New Roman" w:cs="Times New Roman"/>
        </w:rPr>
        <w:t>Gheytaghi</w:t>
      </w:r>
      <w:proofErr w:type="spellEnd"/>
    </w:p>
    <w:p>
      <w:pPr>
        <w:spacing w:after="100"/>
        <w:jc w:val="center"/>
      </w:pPr>
      <w:proofErr w:type="spellStart"/>
      <w:r>
        <w:rPr>
          <w:rFonts w:ascii="Times New Roman" w:eastAsia="Times New Roman" w:hAnsi="Times New Roman" w:cs="Times New Roman"/>
        </w:rPr>
        <w:t>Mashad</w:t>
      </w:r>
      <w:proofErr w:type="spellEnd"/>
    </w:p>
    <w:p>
      <w:pPr>
        <w:jc w:val="center"/>
      </w:pPr>
      <w:r>
        <w:rPr>
          <w:rFonts w:ascii="Times New Roman" w:eastAsia="Times New Roman" w:hAnsi="Times New Roman" w:cs="Times New Roman"/>
        </w:rPr>
        <w:t>Autumn 2026</w:t>
      </w:r>
    </w:p>
    <w:sectPr>
      <w:footerReference w:type="default" r:id="rId5"/>
      <w:pgSz w:w="11906" w:h="16838"/>
      <w:pgMar w:top="1701" w:right="1701"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pPr>
      <w:pStyle w:val="Footer"/>
      <w:bid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pPr>
      <w:pStyle w:val="Footer"/>
      <w:bidi/>
      <w:jc w:val="center"/>
    </w:pPr>
    <w:r>
      <w:rPr>
        <w:sz w:val="22"/>
        <w:szCs w:val="22"/>
        <w:rtl/>
      </w:rPr>
      <w:fldChar w:fldCharType="begin"/>
    </w:r>
    <w:r>
      <w:rPr>
        <w:sz w:val="22"/>
        <w:szCs w:val="22"/>
        <w:rtl/>
      </w:rPr>
      <w:instrText xml:space="preserve"> PAGE </w:instrText>
    </w:r>
    <w:r>
      <w:rPr>
        <w:sz w:val="22"/>
        <w:szCs w:val="22"/>
        <w:rtl/>
      </w:rPr>
      <w:fldChar w:fldCharType="separate"/>
    </w:r>
    <w:r>
      <w:rPr>
        <w:sz w:val="22"/>
        <w:szCs w:val="22"/>
        <w:rtl/>
      </w:rPr>
      <w:t xml:space="preserve">1</w:t>
    </w:r>
    <w:r>
      <w:rPr>
        <w:sz w:val="22"/>
        <w:szCs w:val="22"/>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pPr>
      <w:pStyle w:val="Footer"/>
      <w:bidi/>
      <w:jc w:val="center"/>
    </w:pPr>
    <w:r>
      <w:rPr>
        <w:sz w:val="22"/>
        <w:szCs w:val="22"/>
        <w:rtl/>
      </w:rPr>
      <w:fldChar w:fldCharType="begin"/>
    </w:r>
    <w:r>
      <w:rPr>
        <w:sz w:val="22"/>
        <w:szCs w:val="22"/>
        <w:rtl/>
      </w:rPr>
      <w:instrText xml:space="preserve"> PAGE </w:instrText>
    </w:r>
    <w:r>
      <w:rPr>
        <w:sz w:val="22"/>
        <w:szCs w:val="22"/>
        <w:rtl/>
      </w:rPr>
      <w:fldChar w:fldCharType="separate"/>
    </w:r>
    <w:r>
      <w:rPr>
        <w:sz w:val="22"/>
        <w:szCs w:val="22"/>
        <w:rtl/>
      </w:rPr>
      <w:t xml:space="preserve">1</w:t>
    </w:r>
    <w:r>
      <w:rPr>
        <w:sz w:val="22"/>
        <w:szCs w:val="22"/>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rPr>
          <w:rFonts w:ascii="Times New Roman" w:eastAsia="Times New Roman" w:hAnsi="Times New Roman" w:cs="Times New Roman"/>
          <w:sz w:val="20"/>
          <w:szCs w:val="20"/>
        </w:rPr>
        <w:t xml:space="preserve"> Kotler et al., 2022</w:t>
      </w:r>
    </w:p>
  </w:footnote>
  <w:footnote w:id="2">
    <w:p>
      <w:pPr>
        <w:pStyle w:val="FootnoteText"/>
      </w:pPr>
      <w:r>
        <w:rPr>
          <w:rStyle w:val="FootnoteReference"/>
        </w:rPr>
        <w:footnoteRef/>
      </w:r>
      <w:r>
        <w:rPr>
          <w:rFonts w:ascii="Times New Roman" w:eastAsia="Times New Roman" w:hAnsi="Times New Roman" w:cs="Times New Roman"/>
          <w:sz w:val="20"/>
          <w:szCs w:val="20"/>
        </w:rPr>
        <w:t xml:space="preserve"> Mammen et al., 2021</w:t>
      </w:r>
    </w:p>
  </w:footnote>
  <w:footnote w:id="3">
    <w:p>
      <w:pPr>
        <w:pStyle w:val="FootnoteText"/>
      </w:pPr>
      <w:r>
        <w:rPr>
          <w:rStyle w:val="FootnoteReference"/>
        </w:rPr>
        <w:footnoteRef/>
      </w:r>
      <w:r>
        <w:rPr>
          <w:rFonts w:ascii="Times New Roman" w:eastAsia="Times New Roman" w:hAnsi="Times New Roman" w:cs="Times New Roman"/>
          <w:sz w:val="20"/>
          <w:szCs w:val="20"/>
        </w:rPr>
        <w:t xml:space="preserve"> Mammen et al., 2021</w:t>
      </w:r>
    </w:p>
  </w:footnote>
  <w:footnote w:id="4">
    <w:p>
      <w:pPr>
        <w:pStyle w:val="FootnoteText"/>
      </w:pPr>
      <w:r>
        <w:rPr>
          <w:rStyle w:val="FootnoteReference"/>
        </w:rPr>
        <w:footnoteRef/>
      </w:r>
      <w:r>
        <w:rPr>
          <w:rFonts w:ascii="Times New Roman" w:eastAsia="Times New Roman" w:hAnsi="Times New Roman" w:cs="Times New Roman"/>
          <w:sz w:val="20"/>
          <w:szCs w:val="20"/>
        </w:rPr>
        <w:t xml:space="preserve"> Mammen et al., 2021</w:t>
      </w:r>
    </w:p>
  </w:footnote>
  <w:footnote w:id="5">
    <w:p>
      <w:pPr>
        <w:pStyle w:val="FootnoteText"/>
      </w:pPr>
      <w:r>
        <w:rPr>
          <w:rStyle w:val="FootnoteReference"/>
        </w:rPr>
        <w:footnoteRef/>
      </w:r>
      <w:r>
        <w:rPr>
          <w:rFonts w:ascii="Times New Roman" w:eastAsia="Times New Roman" w:hAnsi="Times New Roman" w:cs="Times New Roman"/>
          <w:sz w:val="20"/>
          <w:szCs w:val="20"/>
        </w:rPr>
        <w:t xml:space="preserve"> Mangla et al., 2021</w:t>
      </w:r>
    </w:p>
  </w:footnote>
  <w:footnote w:id="6">
    <w:p>
      <w:pPr>
        <w:pStyle w:val="FootnoteText"/>
      </w:pPr>
      <w:r>
        <w:rPr>
          <w:rStyle w:val="FootnoteReference"/>
        </w:rPr>
        <w:footnoteRef/>
      </w:r>
      <w:r>
        <w:rPr>
          <w:rFonts w:ascii="Times New Roman" w:eastAsia="Times New Roman" w:hAnsi="Times New Roman" w:cs="Times New Roman"/>
          <w:sz w:val="20"/>
          <w:szCs w:val="20"/>
        </w:rPr>
        <w:t xml:space="preserve"> Zain et al., 2024</w:t>
      </w:r>
    </w:p>
  </w:footnote>
  <w:footnote w:id="7">
    <w:p>
      <w:pPr>
        <w:pStyle w:val="FootnoteText"/>
      </w:pPr>
      <w:r>
        <w:rPr>
          <w:rStyle w:val="FootnoteReference"/>
        </w:rPr>
        <w:footnoteRef/>
      </w:r>
      <w:r>
        <w:rPr>
          <w:rFonts w:ascii="Times New Roman" w:eastAsia="Times New Roman" w:hAnsi="Times New Roman" w:cs="Times New Roman"/>
          <w:sz w:val="20"/>
          <w:szCs w:val="20"/>
        </w:rPr>
        <w:t xml:space="preserve"> Okoli &amp; Pawlowski, 2004. The Delphi method as a research tool: An example, design considerations and applications.</w:t>
      </w:r>
    </w:p>
  </w:footnote>
  <w:footnote w:id="8">
    <w:p>
      <w:pPr>
        <w:pStyle w:val="FootnoteText"/>
      </w:pPr>
      <w:r>
        <w:rPr>
          <w:rStyle w:val="FootnoteReference"/>
        </w:rPr>
        <w:footnoteRef/>
      </w:r>
      <w:r>
        <w:rPr>
          <w:rFonts w:ascii="Times New Roman" w:eastAsia="Times New Roman" w:hAnsi="Times New Roman" w:cs="Times New Roman"/>
          <w:sz w:val="20"/>
          <w:szCs w:val="20"/>
        </w:rPr>
        <w:t xml:space="preserve"> Bernard et al., 2010. Multiple-product firms and product switching.</w:t>
      </w:r>
    </w:p>
  </w:footnote>
  <w:footnote w:id="9">
    <w:p>
      <w:pPr>
        <w:pStyle w:val="FootnoteText"/>
      </w:pPr>
      <w:r>
        <w:rPr>
          <w:rStyle w:val="FootnoteReference"/>
        </w:rPr>
        <w:footnoteRef/>
      </w:r>
      <w:r>
        <w:rPr>
          <w:rFonts w:ascii="Times New Roman" w:eastAsia="Times New Roman" w:hAnsi="Times New Roman" w:cs="Times New Roman"/>
          <w:sz w:val="20"/>
          <w:szCs w:val="20"/>
        </w:rPr>
        <w:t xml:space="preserve"> Gabaix, 2011. The granular origins of aggregate fluctuations.</w:t>
      </w:r>
    </w:p>
  </w:footnote>
  <w:footnote w:id="10">
    <w:p>
      <w:pPr>
        <w:pStyle w:val="FootnoteText"/>
      </w:pPr>
      <w:r>
        <w:rPr>
          <w:rStyle w:val="FootnoteReference"/>
        </w:rPr>
        <w:footnoteRef/>
      </w:r>
      <w:r>
        <w:rPr>
          <w:rFonts w:ascii="Times New Roman" w:eastAsia="Times New Roman" w:hAnsi="Times New Roman" w:cs="Times New Roman"/>
          <w:sz w:val="20"/>
          <w:szCs w:val="20"/>
        </w:rPr>
        <w:t xml:space="preserve"> Kotler &amp; Keller, 2016. Marketing management (15th ed.).</w:t>
      </w:r>
    </w:p>
  </w:footnote>
  <w:footnote w:id="11">
    <w:p>
      <w:pPr>
        <w:pStyle w:val="FootnoteText"/>
      </w:pPr>
      <w:r>
        <w:rPr>
          <w:rStyle w:val="FootnoteReference"/>
        </w:rPr>
        <w:footnoteRef/>
      </w:r>
      <w:r>
        <w:rPr>
          <w:rFonts w:ascii="Times New Roman" w:eastAsia="Times New Roman" w:hAnsi="Times New Roman" w:cs="Times New Roman"/>
          <w:sz w:val="20"/>
          <w:szCs w:val="20"/>
        </w:rPr>
        <w:t xml:space="preserve"> Schommer et al., 2019</w:t>
      </w:r>
    </w:p>
  </w:footnote>
  <w:footnote w:id="12">
    <w:p>
      <w:pPr>
        <w:pStyle w:val="FootnoteText"/>
      </w:pPr>
      <w:r>
        <w:rPr>
          <w:rStyle w:val="FootnoteReference"/>
        </w:rPr>
        <w:footnoteRef/>
      </w:r>
      <w:r>
        <w:rPr>
          <w:rFonts w:ascii="Times New Roman" w:eastAsia="Times New Roman" w:hAnsi="Times New Roman" w:cs="Times New Roman"/>
          <w:sz w:val="20"/>
          <w:szCs w:val="20"/>
        </w:rPr>
        <w:t xml:space="preserve"> Kotler &amp; Keller, 2016</w:t>
      </w:r>
    </w:p>
  </w:footnote>
  <w:footnote w:id="13">
    <w:p>
      <w:pPr>
        <w:pStyle w:val="FootnoteText"/>
      </w:pPr>
      <w:r>
        <w:rPr>
          <w:rStyle w:val="FootnoteReference"/>
        </w:rPr>
        <w:footnoteRef/>
      </w:r>
      <w:r>
        <w:rPr>
          <w:rFonts w:ascii="Times New Roman" w:eastAsia="Times New Roman" w:hAnsi="Times New Roman" w:cs="Times New Roman"/>
          <w:sz w:val="20"/>
          <w:szCs w:val="20"/>
        </w:rPr>
        <w:t xml:space="preserve"> Kotler &amp; Keller, 2016</w:t>
      </w:r>
    </w:p>
  </w:footnote>
  <w:footnote w:id="14">
    <w:p>
      <w:pPr>
        <w:pStyle w:val="FootnoteText"/>
      </w:pPr>
      <w:r>
        <w:rPr>
          <w:rStyle w:val="FootnoteReference"/>
        </w:rPr>
        <w:footnoteRef/>
      </w:r>
      <w:r>
        <w:rPr>
          <w:rFonts w:ascii="Times New Roman" w:eastAsia="Times New Roman" w:hAnsi="Times New Roman" w:cs="Times New Roman"/>
          <w:sz w:val="20"/>
          <w:szCs w:val="20"/>
        </w:rPr>
        <w:t xml:space="preserve"> Suryati &amp; Lusiah, 2022</w:t>
      </w:r>
    </w:p>
  </w:footnote>
  <w:footnote w:id="15">
    <w:p>
      <w:pPr>
        <w:pStyle w:val="FootnoteText"/>
      </w:pPr>
      <w:r>
        <w:rPr>
          <w:rStyle w:val="FootnoteReference"/>
        </w:rPr>
        <w:footnoteRef/>
      </w:r>
      <w:r>
        <w:rPr>
          <w:rFonts w:ascii="Times New Roman" w:eastAsia="Times New Roman" w:hAnsi="Times New Roman" w:cs="Times New Roman"/>
          <w:sz w:val="20"/>
          <w:szCs w:val="20"/>
        </w:rPr>
        <w:t xml:space="preserve"> Mangla et al., 2021</w:t>
      </w:r>
    </w:p>
  </w:footnote>
  <w:footnote w:id="16">
    <w:p>
      <w:pPr>
        <w:pStyle w:val="FootnoteText"/>
      </w:pPr>
      <w:r>
        <w:rPr>
          <w:rStyle w:val="FootnoteReference"/>
        </w:rPr>
        <w:footnoteRef/>
      </w:r>
      <w:r>
        <w:rPr>
          <w:rFonts w:ascii="Times New Roman" w:eastAsia="Times New Roman" w:hAnsi="Times New Roman" w:cs="Times New Roman"/>
          <w:sz w:val="20"/>
          <w:szCs w:val="20"/>
        </w:rPr>
        <w:t xml:space="preserve"> Dukhaykh &amp; Alangri, 2026</w:t>
      </w:r>
    </w:p>
  </w:footnote>
  <w:footnote w:id="17">
    <w:p>
      <w:pPr>
        <w:pStyle w:val="FootnoteText"/>
      </w:pPr>
      <w:r>
        <w:rPr>
          <w:rStyle w:val="FootnoteReference"/>
        </w:rPr>
        <w:footnoteRef/>
      </w:r>
      <w:r>
        <w:rPr>
          <w:rFonts w:ascii="Times New Roman" w:eastAsia="Times New Roman" w:hAnsi="Times New Roman" w:cs="Times New Roman"/>
          <w:sz w:val="20"/>
          <w:szCs w:val="20"/>
        </w:rPr>
        <w:t xml:space="preserve"> Suryati &amp; Lusiah, 2022</w:t>
      </w:r>
    </w:p>
  </w:footnote>
  <w:footnote w:id="18">
    <w:p>
      <w:pPr>
        <w:pStyle w:val="FootnoteText"/>
      </w:pPr>
      <w:r>
        <w:rPr>
          <w:rStyle w:val="FootnoteReference"/>
        </w:rPr>
        <w:footnoteRef/>
      </w:r>
      <w:r>
        <w:rPr>
          <w:rFonts w:ascii="Times New Roman" w:eastAsia="Times New Roman" w:hAnsi="Times New Roman" w:cs="Times New Roman"/>
          <w:sz w:val="20"/>
          <w:szCs w:val="20"/>
        </w:rPr>
        <w:t xml:space="preserve"> Kero &amp; Bogale, 2023</w:t>
      </w:r>
    </w:p>
  </w:footnote>
  <w:footnote w:id="19">
    <w:p>
      <w:pPr>
        <w:pStyle w:val="FootnoteText"/>
      </w:pPr>
      <w:r>
        <w:rPr>
          <w:rStyle w:val="FootnoteReference"/>
        </w:rPr>
        <w:footnoteRef/>
      </w:r>
      <w:r>
        <w:rPr>
          <w:rFonts w:ascii="Times New Roman" w:eastAsia="Times New Roman" w:hAnsi="Times New Roman" w:cs="Times New Roman"/>
          <w:sz w:val="20"/>
          <w:szCs w:val="20"/>
        </w:rPr>
        <w:t xml:space="preserve"> Pangarkar &amp; Prabhudesai, 2024</w:t>
      </w:r>
    </w:p>
  </w:footnote>
  <w:footnote w:id="20">
    <w:p>
      <w:pPr>
        <w:pStyle w:val="FootnoteText"/>
      </w:pPr>
      <w:r>
        <w:rPr>
          <w:rStyle w:val="FootnoteReference"/>
        </w:rPr>
        <w:footnoteRef/>
      </w:r>
      <w:r>
        <w:rPr>
          <w:rFonts w:ascii="Times New Roman" w:eastAsia="Times New Roman" w:hAnsi="Times New Roman" w:cs="Times New Roman"/>
          <w:sz w:val="20"/>
          <w:szCs w:val="20"/>
        </w:rPr>
        <w:t xml:space="preserve"> Kotler &amp; Keller, 2016</w:t>
      </w:r>
    </w:p>
  </w:footnote>
  <w:footnote w:id="21">
    <w:p>
      <w:pPr>
        <w:pStyle w:val="FootnoteText"/>
      </w:pPr>
      <w:r>
        <w:rPr>
          <w:rStyle w:val="FootnoteReference"/>
        </w:rPr>
        <w:footnoteRef/>
      </w:r>
      <w:r>
        <w:rPr>
          <w:rFonts w:ascii="Times New Roman" w:eastAsia="Times New Roman" w:hAnsi="Times New Roman" w:cs="Times New Roman"/>
          <w:sz w:val="20"/>
          <w:szCs w:val="20"/>
        </w:rPr>
        <w:t xml:space="preserve"> Dukhaykh &amp; Alangri, 2026</w:t>
      </w:r>
    </w:p>
  </w:footnote>
  <w:footnote w:id="22">
    <w:p>
      <w:pPr>
        <w:pStyle w:val="FootnoteText"/>
      </w:pPr>
      <w:r>
        <w:rPr>
          <w:rStyle w:val="FootnoteReference"/>
        </w:rPr>
        <w:footnoteRef/>
      </w:r>
      <w:r>
        <w:rPr>
          <w:rFonts w:ascii="Times New Roman" w:eastAsia="Times New Roman" w:hAnsi="Times New Roman" w:cs="Times New Roman"/>
          <w:sz w:val="20"/>
          <w:szCs w:val="20"/>
        </w:rPr>
        <w:t xml:space="preserve"> Zain et al., 2023</w:t>
      </w:r>
    </w:p>
  </w:footnote>
  <w:footnote w:id="23">
    <w:p>
      <w:pPr>
        <w:pStyle w:val="FootnoteText"/>
      </w:pPr>
      <w:r>
        <w:rPr>
          <w:rStyle w:val="FootnoteReference"/>
        </w:rPr>
        <w:footnoteRef/>
      </w:r>
      <w:r>
        <w:rPr>
          <w:rFonts w:ascii="Times New Roman" w:eastAsia="Times New Roman" w:hAnsi="Times New Roman" w:cs="Times New Roman"/>
          <w:sz w:val="20"/>
          <w:szCs w:val="20"/>
        </w:rPr>
        <w:t xml:space="preserve"> Singh et al., 2022</w:t>
      </w:r>
    </w:p>
  </w:footnote>
  <w:footnote w:id="24">
    <w:p>
      <w:pPr>
        <w:pStyle w:val="FootnoteText"/>
      </w:pPr>
      <w:r>
        <w:rPr>
          <w:rStyle w:val="FootnoteReference"/>
        </w:rPr>
        <w:footnoteRef/>
      </w:r>
      <w:r>
        <w:rPr>
          <w:rFonts w:ascii="Times New Roman" w:eastAsia="Times New Roman" w:hAnsi="Times New Roman" w:cs="Times New Roman"/>
          <w:sz w:val="20"/>
          <w:szCs w:val="20"/>
        </w:rPr>
        <w:t xml:space="preserve"> Shah et al., 2023</w:t>
      </w:r>
    </w:p>
  </w:footnote>
  <w:footnote w:id="25">
    <w:p>
      <w:pPr>
        <w:pStyle w:val="FootnoteText"/>
      </w:pPr>
      <w:r>
        <w:rPr>
          <w:rStyle w:val="FootnoteReference"/>
        </w:rPr>
        <w:footnoteRef/>
      </w:r>
      <w:r>
        <w:rPr>
          <w:rFonts w:ascii="Times New Roman" w:eastAsia="Times New Roman" w:hAnsi="Times New Roman" w:cs="Times New Roman"/>
          <w:sz w:val="20"/>
          <w:szCs w:val="20"/>
        </w:rPr>
        <w:t xml:space="preserve"> Shah et al., 2023</w:t>
      </w:r>
    </w:p>
  </w:footnote>
  <w:footnote w:id="26">
    <w:p>
      <w:pPr>
        <w:pStyle w:val="FootnoteText"/>
      </w:pPr>
      <w:r>
        <w:rPr>
          <w:rStyle w:val="FootnoteReference"/>
        </w:rPr>
        <w:footnoteRef/>
      </w:r>
      <w:r>
        <w:rPr>
          <w:rFonts w:ascii="Times New Roman" w:eastAsia="Times New Roman" w:hAnsi="Times New Roman" w:cs="Times New Roman"/>
          <w:sz w:val="20"/>
          <w:szCs w:val="20"/>
        </w:rPr>
        <w:t xml:space="preserve"> Naeem et al., 2023</w:t>
      </w:r>
    </w:p>
  </w:footnote>
  <w:footnote w:id="27">
    <w:p>
      <w:pPr>
        <w:pStyle w:val="FootnoteText"/>
      </w:pPr>
      <w:r>
        <w:rPr>
          <w:rStyle w:val="FootnoteReference"/>
        </w:rPr>
        <w:footnoteRef/>
      </w:r>
      <w:r>
        <w:rPr>
          <w:rFonts w:ascii="Times New Roman" w:eastAsia="Times New Roman" w:hAnsi="Times New Roman" w:cs="Times New Roman"/>
          <w:sz w:val="20"/>
          <w:szCs w:val="20"/>
        </w:rPr>
        <w:t xml:space="preserve"> Thomran et al., 2022</w:t>
      </w:r>
    </w:p>
  </w:footnote>
  <w:footnote w:id="28">
    <w:p>
      <w:pPr>
        <w:pStyle w:val="FootnoteText"/>
      </w:pPr>
      <w:r>
        <w:rPr>
          <w:rStyle w:val="FootnoteReference"/>
        </w:rPr>
        <w:footnoteRef/>
      </w:r>
      <w:r>
        <w:rPr>
          <w:rFonts w:ascii="Times New Roman" w:eastAsia="Times New Roman" w:hAnsi="Times New Roman" w:cs="Times New Roman"/>
          <w:sz w:val="20"/>
          <w:szCs w:val="20"/>
        </w:rPr>
        <w:t xml:space="preserve"> Suryati &amp; Lusiah, 2022</w:t>
      </w:r>
    </w:p>
  </w:footnote>
  <w:footnote w:id="29">
    <w:p>
      <w:pPr>
        <w:pStyle w:val="FootnoteText"/>
      </w:pPr>
      <w:r>
        <w:rPr>
          <w:rStyle w:val="FootnoteReference"/>
        </w:rPr>
        <w:footnoteRef/>
      </w:r>
      <w:r>
        <w:rPr>
          <w:rFonts w:ascii="Times New Roman" w:eastAsia="Times New Roman" w:hAnsi="Times New Roman" w:cs="Times New Roman"/>
          <w:sz w:val="20"/>
          <w:szCs w:val="20"/>
        </w:rPr>
        <w:t xml:space="preserve"> Taneo et al., 2022</w:t>
      </w:r>
    </w:p>
  </w:footnote>
  <w:footnote w:id="30">
    <w:p>
      <w:pPr>
        <w:pStyle w:val="FootnoteText"/>
      </w:pPr>
      <w:r>
        <w:rPr>
          <w:rStyle w:val="FootnoteReference"/>
        </w:rPr>
        <w:footnoteRef/>
      </w:r>
      <w:r>
        <w:rPr>
          <w:rFonts w:ascii="Times New Roman" w:eastAsia="Times New Roman" w:hAnsi="Times New Roman" w:cs="Times New Roman"/>
          <w:sz w:val="20"/>
          <w:szCs w:val="20"/>
        </w:rPr>
        <w:t xml:space="preserve"> Sharabati et al., 2024</w:t>
      </w:r>
    </w:p>
  </w:footnote>
  <w:footnote w:id="31">
    <w:p>
      <w:pPr>
        <w:pStyle w:val="FootnoteText"/>
      </w:pPr>
      <w:r>
        <w:rPr>
          <w:rStyle w:val="FootnoteReference"/>
        </w:rPr>
        <w:footnoteRef/>
      </w:r>
      <w:r>
        <w:rPr>
          <w:rFonts w:ascii="Times New Roman" w:eastAsia="Times New Roman" w:hAnsi="Times New Roman" w:cs="Times New Roman"/>
          <w:sz w:val="20"/>
          <w:szCs w:val="20"/>
        </w:rPr>
        <w:t xml:space="preserve"> Landjohou &amp; Christopher, 2026</w:t>
      </w:r>
    </w:p>
  </w:footnote>
  <w:footnote w:id="32">
    <w:p>
      <w:pPr>
        <w:pStyle w:val="FootnoteText"/>
      </w:pPr>
      <w:r>
        <w:rPr>
          <w:rStyle w:val="FootnoteReference"/>
        </w:rPr>
        <w:footnoteRef/>
      </w:r>
      <w:r>
        <w:rPr>
          <w:rFonts w:ascii="Times New Roman" w:eastAsia="Times New Roman" w:hAnsi="Times New Roman" w:cs="Times New Roman"/>
          <w:sz w:val="20"/>
          <w:szCs w:val="20"/>
        </w:rPr>
        <w:t xml:space="preserve"> Preferred Reporting Items for Systematic Reviews and Meta-Analyses (PRISMA)</w:t>
      </w:r>
    </w:p>
  </w:footnote>
  <w:footnote w:id="33">
    <w:p>
      <w:pPr>
        <w:pStyle w:val="FootnoteText"/>
      </w:pPr>
      <w:r>
        <w:rPr>
          <w:rStyle w:val="FootnoteReference"/>
        </w:rPr>
        <w:footnoteRef/>
      </w:r>
      <w:r>
        <w:rPr>
          <w:rFonts w:ascii="Times New Roman" w:eastAsia="Times New Roman" w:hAnsi="Times New Roman" w:cs="Times New Roman"/>
          <w:sz w:val="20"/>
          <w:szCs w:val="20"/>
        </w:rPr>
        <w:t xml:space="preserve"> Taneo et al., 2022</w:t>
      </w:r>
    </w:p>
  </w:footnote>
  <w:footnote w:id="34">
    <w:p>
      <w:pPr>
        <w:pStyle w:val="FootnoteText"/>
      </w:pPr>
      <w:r>
        <w:rPr>
          <w:rStyle w:val="FootnoteReference"/>
        </w:rPr>
        <w:footnoteRef/>
      </w:r>
      <w:r>
        <w:rPr>
          <w:rFonts w:ascii="Times New Roman" w:eastAsia="Times New Roman" w:hAnsi="Times New Roman" w:cs="Times New Roman"/>
          <w:sz w:val="20"/>
          <w:szCs w:val="20"/>
        </w:rPr>
        <w:t xml:space="preserve"> Dukhaykh &amp; Alangri, 2026</w:t>
      </w:r>
    </w:p>
  </w:footnote>
  <w:footnote w:id="35">
    <w:p>
      <w:pPr>
        <w:pStyle w:val="FootnoteText"/>
      </w:pPr>
      <w:r>
        <w:rPr>
          <w:rStyle w:val="FootnoteReference"/>
        </w:rPr>
        <w:footnoteRef/>
      </w:r>
      <w:r>
        <w:rPr>
          <w:rFonts w:ascii="Times New Roman" w:eastAsia="Times New Roman" w:hAnsi="Times New Roman" w:cs="Times New Roman"/>
          <w:sz w:val="20"/>
          <w:szCs w:val="20"/>
        </w:rPr>
        <w:t xml:space="preserve"> Williams &amp; Aaron, 2018</w:t>
      </w:r>
    </w:p>
  </w:footnote>
  <w:footnote w:id="36">
    <w:p>
      <w:pPr>
        <w:pStyle w:val="FootnoteText"/>
      </w:pPr>
      <w:r>
        <w:rPr>
          <w:rStyle w:val="FootnoteReference"/>
        </w:rPr>
        <w:footnoteRef/>
      </w:r>
      <w:r>
        <w:rPr>
          <w:rFonts w:ascii="Times New Roman" w:eastAsia="Times New Roman" w:hAnsi="Times New Roman" w:cs="Times New Roman"/>
          <w:sz w:val="20"/>
          <w:szCs w:val="20"/>
        </w:rPr>
        <w:t xml:space="preserve"> Pangarkar &amp; Prabhudesai, 2024</w:t>
      </w:r>
    </w:p>
  </w:footnote>
  <w:footnote w:id="37">
    <w:p>
      <w:pPr>
        <w:pStyle w:val="FootnoteText"/>
      </w:pPr>
      <w:r>
        <w:rPr>
          <w:rStyle w:val="FootnoteReference"/>
        </w:rPr>
        <w:footnoteRef/>
      </w:r>
      <w:r>
        <w:rPr>
          <w:rFonts w:ascii="Times New Roman" w:eastAsia="Times New Roman" w:hAnsi="Times New Roman" w:cs="Times New Roman"/>
          <w:sz w:val="20"/>
          <w:szCs w:val="20"/>
        </w:rPr>
        <w:t xml:space="preserve"> Mangla et al., 2021</w:t>
      </w:r>
    </w:p>
  </w:footnote>
  <w:footnote w:id="38">
    <w:p>
      <w:pPr>
        <w:pStyle w:val="FootnoteText"/>
      </w:pPr>
      <w:r>
        <w:rPr>
          <w:rStyle w:val="FootnoteReference"/>
        </w:rPr>
        <w:footnoteRef/>
      </w:r>
      <w:r>
        <w:rPr>
          <w:rFonts w:ascii="Times New Roman" w:eastAsia="Times New Roman" w:hAnsi="Times New Roman" w:cs="Times New Roman"/>
          <w:sz w:val="20"/>
          <w:szCs w:val="20"/>
        </w:rPr>
        <w:t xml:space="preserve"> Sharabati et al., 2024</w:t>
      </w:r>
    </w:p>
  </w:footnote>
  <w:footnote w:id="39">
    <w:p>
      <w:pPr>
        <w:pStyle w:val="FootnoteText"/>
      </w:pPr>
      <w:r>
        <w:rPr>
          <w:rStyle w:val="FootnoteReference"/>
        </w:rPr>
        <w:footnoteRef/>
      </w:r>
      <w:r>
        <w:rPr>
          <w:rFonts w:ascii="Times New Roman" w:eastAsia="Times New Roman" w:hAnsi="Times New Roman" w:cs="Times New Roman"/>
          <w:sz w:val="20"/>
          <w:szCs w:val="20"/>
        </w:rPr>
        <w:t xml:space="preserve"> Taneo et al., 2022</w:t>
      </w:r>
    </w:p>
  </w:footnote>
  <w:footnote w:id="40">
    <w:p>
      <w:pPr>
        <w:pStyle w:val="FootnoteText"/>
      </w:pPr>
      <w:r>
        <w:rPr>
          <w:rStyle w:val="FootnoteReference"/>
        </w:rPr>
        <w:footnoteRef/>
      </w:r>
      <w:r>
        <w:rPr>
          <w:rFonts w:ascii="Times New Roman" w:eastAsia="Times New Roman" w:hAnsi="Times New Roman" w:cs="Times New Roman"/>
          <w:sz w:val="20"/>
          <w:szCs w:val="20"/>
        </w:rPr>
        <w:t xml:space="preserve"> Mammen et al., 2021</w:t>
      </w:r>
    </w:p>
  </w:footnote>
  <w:footnote w:id="41">
    <w:p>
      <w:pPr>
        <w:pStyle w:val="FootnoteText"/>
      </w:pPr>
      <w:r>
        <w:rPr>
          <w:rStyle w:val="FootnoteReference"/>
        </w:rPr>
        <w:footnoteRef/>
      </w:r>
      <w:r>
        <w:rPr>
          <w:rFonts w:ascii="Times New Roman" w:eastAsia="Times New Roman" w:hAnsi="Times New Roman" w:cs="Times New Roman"/>
          <w:sz w:val="20"/>
          <w:szCs w:val="20"/>
        </w:rPr>
        <w:t xml:space="preserve"> Dukhaykh &amp; Alangri, 2026</w:t>
      </w:r>
    </w:p>
  </w:footnote>
  <w:footnote w:id="42">
    <w:p>
      <w:pPr>
        <w:pStyle w:val="FootnoteText"/>
      </w:pPr>
      <w:r>
        <w:rPr>
          <w:rStyle w:val="FootnoteReference"/>
        </w:rPr>
        <w:footnoteRef/>
      </w:r>
      <w:r>
        <w:rPr>
          <w:rFonts w:ascii="Times New Roman" w:eastAsia="Times New Roman" w:hAnsi="Times New Roman" w:cs="Times New Roman"/>
          <w:sz w:val="20"/>
          <w:szCs w:val="20"/>
        </w:rPr>
        <w:t xml:space="preserve"> Arte &amp; Larimo, 2022</w:t>
      </w:r>
    </w:p>
  </w:footnote>
  <w:footnote w:id="43">
    <w:p>
      <w:pPr>
        <w:pStyle w:val="FootnoteText"/>
      </w:pPr>
      <w:r>
        <w:rPr>
          <w:rStyle w:val="FootnoteReference"/>
        </w:rPr>
        <w:footnoteRef/>
      </w:r>
      <w:r>
        <w:rPr>
          <w:rFonts w:ascii="Times New Roman" w:eastAsia="Times New Roman" w:hAnsi="Times New Roman" w:cs="Times New Roman"/>
          <w:sz w:val="20"/>
          <w:szCs w:val="20"/>
        </w:rPr>
        <w:t xml:space="preserve"> Arte &amp; Larimo, 2022</w:t>
      </w:r>
    </w:p>
  </w:footnote>
  <w:footnote w:id="44">
    <w:p>
      <w:pPr>
        <w:pStyle w:val="FootnoteText"/>
      </w:pPr>
      <w:r>
        <w:rPr>
          <w:rStyle w:val="FootnoteReference"/>
        </w:rPr>
        <w:footnoteRef/>
      </w:r>
      <w:r>
        <w:rPr>
          <w:rFonts w:ascii="Times New Roman" w:eastAsia="Times New Roman" w:hAnsi="Times New Roman" w:cs="Times New Roman"/>
          <w:sz w:val="20"/>
          <w:szCs w:val="20"/>
        </w:rPr>
        <w:t xml:space="preserve"> Schommer et al., 2019</w:t>
      </w:r>
    </w:p>
  </w:footnote>
  <w:footnote w:id="45">
    <w:p>
      <w:pPr>
        <w:pStyle w:val="FootnoteText"/>
      </w:pPr>
      <w:r>
        <w:rPr>
          <w:rStyle w:val="FootnoteReference"/>
        </w:rPr>
        <w:footnoteRef/>
      </w:r>
      <w:r>
        <w:rPr>
          <w:rFonts w:ascii="Times New Roman" w:eastAsia="Times New Roman" w:hAnsi="Times New Roman" w:cs="Times New Roman"/>
          <w:sz w:val="20"/>
          <w:szCs w:val="20"/>
        </w:rPr>
        <w:t xml:space="preserve"> Mammen et al., 2021</w:t>
      </w:r>
    </w:p>
  </w:footnote>
  <w:footnote w:id="46">
    <w:p>
      <w:pPr>
        <w:pStyle w:val="FootnoteText"/>
      </w:pPr>
      <w:r>
        <w:rPr>
          <w:rStyle w:val="FootnoteReference"/>
        </w:rPr>
        <w:footnoteRef/>
      </w:r>
      <w:r>
        <w:rPr>
          <w:rFonts w:ascii="Times New Roman" w:eastAsia="Times New Roman" w:hAnsi="Times New Roman" w:cs="Times New Roman"/>
          <w:sz w:val="20"/>
          <w:szCs w:val="20"/>
        </w:rPr>
        <w:t xml:space="preserve"> Arte &amp; Larimo, 2022</w:t>
      </w:r>
    </w:p>
  </w:footnote>
  <w:footnote w:id="47">
    <w:p>
      <w:pPr>
        <w:pStyle w:val="FootnoteText"/>
      </w:pPr>
      <w:r>
        <w:rPr>
          <w:rStyle w:val="FootnoteReference"/>
        </w:rPr>
        <w:footnoteRef/>
      </w:r>
      <w:r>
        <w:rPr>
          <w:rFonts w:ascii="Times New Roman" w:eastAsia="Times New Roman" w:hAnsi="Times New Roman" w:cs="Times New Roman"/>
          <w:sz w:val="20"/>
          <w:szCs w:val="20"/>
        </w:rPr>
        <w:t xml:space="preserve"> Mammen et al., 2021</w:t>
      </w:r>
    </w:p>
  </w:footnote>
  <w:footnote w:id="48">
    <w:p>
      <w:pPr>
        <w:pStyle w:val="FootnoteText"/>
      </w:pPr>
      <w:r>
        <w:rPr>
          <w:rStyle w:val="FootnoteReference"/>
        </w:rPr>
        <w:footnoteRef/>
      </w:r>
      <w:r>
        <w:rPr>
          <w:rFonts w:ascii="Times New Roman" w:eastAsia="Times New Roman" w:hAnsi="Times New Roman" w:cs="Times New Roman"/>
          <w:sz w:val="20"/>
          <w:szCs w:val="20"/>
        </w:rPr>
        <w:t xml:space="preserve"> Schommer et al., 2019</w:t>
      </w:r>
    </w:p>
  </w:footnote>
  <w:footnote w:id="49">
    <w:p>
      <w:pPr>
        <w:pStyle w:val="FootnoteText"/>
      </w:pPr>
      <w:r>
        <w:rPr>
          <w:rStyle w:val="FootnoteReference"/>
        </w:rPr>
        <w:footnoteRef/>
      </w:r>
      <w:r>
        <w:rPr>
          <w:rFonts w:ascii="Times New Roman" w:eastAsia="Times New Roman" w:hAnsi="Times New Roman" w:cs="Times New Roman"/>
          <w:sz w:val="20"/>
          <w:szCs w:val="20"/>
        </w:rPr>
        <w:t xml:space="preserve"> Williams &amp; Aaron, 2018</w:t>
      </w:r>
    </w:p>
  </w:footnote>
  <w:footnote w:id="50">
    <w:p>
      <w:pPr>
        <w:pStyle w:val="FootnoteText"/>
      </w:pPr>
      <w:r>
        <w:rPr>
          <w:rStyle w:val="FootnoteReference"/>
        </w:rPr>
        <w:footnoteRef/>
      </w:r>
      <w:r>
        <w:rPr>
          <w:rFonts w:ascii="Times New Roman" w:eastAsia="Times New Roman" w:hAnsi="Times New Roman" w:cs="Times New Roman"/>
          <w:sz w:val="20"/>
          <w:szCs w:val="20"/>
        </w:rPr>
        <w:t xml:space="preserve"> Mammen et al., 2021</w:t>
      </w:r>
    </w:p>
  </w:footnote>
  <w:footnote w:id="51">
    <w:p>
      <w:pPr>
        <w:pStyle w:val="FootnoteText"/>
      </w:pPr>
      <w:r>
        <w:rPr>
          <w:rStyle w:val="FootnoteReference"/>
        </w:rPr>
        <w:footnoteRef/>
      </w:r>
      <w:r>
        <w:rPr>
          <w:rFonts w:ascii="Times New Roman" w:eastAsia="Times New Roman" w:hAnsi="Times New Roman" w:cs="Times New Roman"/>
          <w:sz w:val="20"/>
          <w:szCs w:val="20"/>
        </w:rPr>
        <w:t xml:space="preserve"> Dukhaykh &amp; Alangri, 2026</w:t>
      </w:r>
    </w:p>
  </w:footnote>
  <w:footnote w:id="52">
    <w:p>
      <w:pPr>
        <w:pStyle w:val="FootnoteText"/>
      </w:pPr>
      <w:r>
        <w:rPr>
          <w:rStyle w:val="FootnoteReference"/>
        </w:rPr>
        <w:footnoteRef/>
      </w:r>
      <w:r>
        <w:rPr>
          <w:rFonts w:ascii="Times New Roman" w:eastAsia="Times New Roman" w:hAnsi="Times New Roman" w:cs="Times New Roman"/>
          <w:sz w:val="20"/>
          <w:szCs w:val="20"/>
        </w:rPr>
        <w:t xml:space="preserve"> Kero &amp; Bogale, 2023</w:t>
      </w:r>
    </w:p>
  </w:footnote>
  <w:footnote w:id="53">
    <w:p>
      <w:pPr>
        <w:pStyle w:val="FootnoteText"/>
      </w:pPr>
      <w:r>
        <w:rPr>
          <w:rStyle w:val="FootnoteReference"/>
        </w:rPr>
        <w:footnoteRef/>
      </w:r>
      <w:r>
        <w:rPr>
          <w:rFonts w:ascii="Times New Roman" w:eastAsia="Times New Roman" w:hAnsi="Times New Roman" w:cs="Times New Roman"/>
          <w:sz w:val="20"/>
          <w:szCs w:val="20"/>
        </w:rPr>
        <w:t xml:space="preserve"> Taneo et al., 2022</w:t>
      </w:r>
    </w:p>
  </w:footnote>
  <w:footnote w:id="54">
    <w:p>
      <w:pPr>
        <w:pStyle w:val="FootnoteText"/>
      </w:pPr>
      <w:r>
        <w:rPr>
          <w:rStyle w:val="FootnoteReference"/>
        </w:rPr>
        <w:footnoteRef/>
      </w:r>
      <w:r>
        <w:rPr>
          <w:rFonts w:ascii="Times New Roman" w:eastAsia="Times New Roman" w:hAnsi="Times New Roman" w:cs="Times New Roman"/>
          <w:sz w:val="20"/>
          <w:szCs w:val="20"/>
        </w:rPr>
        <w:t xml:space="preserve"> Dukhaykh &amp; Alangri, 2026</w:t>
      </w:r>
    </w:p>
  </w:footnote>
  <w:footnote w:id="55">
    <w:p>
      <w:pPr>
        <w:pStyle w:val="FootnoteText"/>
      </w:pPr>
      <w:r>
        <w:rPr>
          <w:rStyle w:val="FootnoteReference"/>
        </w:rPr>
        <w:footnoteRef/>
      </w:r>
      <w:r>
        <w:rPr>
          <w:rFonts w:ascii="Times New Roman" w:eastAsia="Times New Roman" w:hAnsi="Times New Roman" w:cs="Times New Roman"/>
          <w:sz w:val="20"/>
          <w:szCs w:val="20"/>
        </w:rPr>
        <w:t xml:space="preserve"> Miklian &amp; Hoelscher, 2022</w:t>
      </w:r>
    </w:p>
  </w:footnote>
  <w:footnote w:id="56">
    <w:p>
      <w:pPr>
        <w:pStyle w:val="FootnoteText"/>
      </w:pPr>
      <w:r>
        <w:rPr>
          <w:rStyle w:val="FootnoteReference"/>
        </w:rPr>
        <w:footnoteRef/>
      </w:r>
      <w:r>
        <w:rPr>
          <w:rFonts w:ascii="Times New Roman" w:eastAsia="Times New Roman" w:hAnsi="Times New Roman" w:cs="Times New Roman"/>
          <w:sz w:val="20"/>
          <w:szCs w:val="20"/>
        </w:rPr>
        <w:t xml:space="preserve"> Miklian &amp; Hoelscher, 2022</w:t>
      </w:r>
    </w:p>
  </w:footnote>
  <w:footnote w:id="57">
    <w:p>
      <w:pPr>
        <w:pStyle w:val="FootnoteText"/>
      </w:pPr>
      <w:r>
        <w:rPr>
          <w:rStyle w:val="FootnoteReference"/>
        </w:rPr>
        <w:footnoteRef/>
      </w:r>
      <w:r>
        <w:rPr>
          <w:rFonts w:ascii="Times New Roman" w:eastAsia="Times New Roman" w:hAnsi="Times New Roman" w:cs="Times New Roman"/>
          <w:sz w:val="20"/>
          <w:szCs w:val="20"/>
        </w:rPr>
        <w:t xml:space="preserve"> Mammen et al., 2021</w:t>
      </w:r>
    </w:p>
  </w:footnote>
  <w:footnote w:id="58">
    <w:p>
      <w:pPr>
        <w:pStyle w:val="FootnoteText"/>
      </w:pPr>
      <w:r>
        <w:rPr>
          <w:rStyle w:val="FootnoteReference"/>
        </w:rPr>
        <w:footnoteRef/>
      </w:r>
      <w:r>
        <w:rPr>
          <w:rFonts w:ascii="Times New Roman" w:eastAsia="Times New Roman" w:hAnsi="Times New Roman" w:cs="Times New Roman"/>
          <w:sz w:val="20"/>
          <w:szCs w:val="20"/>
        </w:rPr>
        <w:t xml:space="preserve"> Arte &amp; Larimo, 2022</w:t>
      </w:r>
    </w:p>
  </w:footnote>
  <w:footnote w:id="59">
    <w:p>
      <w:pPr>
        <w:pStyle w:val="FootnoteText"/>
      </w:pPr>
      <w:r>
        <w:rPr>
          <w:rStyle w:val="FootnoteReference"/>
        </w:rPr>
        <w:footnoteRef/>
      </w:r>
      <w:r>
        <w:rPr>
          <w:rFonts w:ascii="Times New Roman" w:eastAsia="Times New Roman" w:hAnsi="Times New Roman" w:cs="Times New Roman"/>
          <w:sz w:val="20"/>
          <w:szCs w:val="20"/>
        </w:rPr>
        <w:t xml:space="preserve"> Mammen et al., 2021</w:t>
      </w:r>
    </w:p>
  </w:footnote>
  <w:footnote w:id="60">
    <w:p>
      <w:pPr>
        <w:pStyle w:val="FootnoteText"/>
      </w:pPr>
      <w:r>
        <w:rPr>
          <w:rStyle w:val="FootnoteReference"/>
        </w:rPr>
        <w:footnoteRef/>
      </w:r>
      <w:r>
        <w:rPr>
          <w:rFonts w:ascii="Times New Roman" w:eastAsia="Times New Roman" w:hAnsi="Times New Roman" w:cs="Times New Roman"/>
          <w:sz w:val="20"/>
          <w:szCs w:val="20"/>
        </w:rPr>
        <w:t xml:space="preserve"> Singh et al., 2022</w:t>
      </w:r>
    </w:p>
  </w:footnote>
  <w:footnote w:id="61">
    <w:p>
      <w:pPr>
        <w:pStyle w:val="FootnoteText"/>
      </w:pPr>
      <w:r>
        <w:rPr>
          <w:rStyle w:val="FootnoteReference"/>
        </w:rPr>
        <w:footnoteRef/>
      </w:r>
      <w:r>
        <w:rPr>
          <w:rFonts w:ascii="Times New Roman" w:eastAsia="Times New Roman" w:hAnsi="Times New Roman" w:cs="Times New Roman"/>
          <w:sz w:val="20"/>
          <w:szCs w:val="20"/>
        </w:rPr>
        <w:t xml:space="preserve"> Mangla et al., 2021</w:t>
      </w:r>
    </w:p>
  </w:footnote>
  <w:footnote w:id="62">
    <w:p>
      <w:pPr>
        <w:pStyle w:val="FootnoteText"/>
      </w:pPr>
      <w:r>
        <w:rPr>
          <w:rStyle w:val="FootnoteReference"/>
        </w:rPr>
        <w:footnoteRef/>
      </w:r>
      <w:r>
        <w:rPr>
          <w:rFonts w:ascii="Times New Roman" w:eastAsia="Times New Roman" w:hAnsi="Times New Roman" w:cs="Times New Roman"/>
          <w:sz w:val="20"/>
          <w:szCs w:val="20"/>
        </w:rPr>
        <w:t xml:space="preserve"> Shah et al., 2023</w:t>
      </w:r>
    </w:p>
  </w:footnote>
  <w:footnote w:id="63">
    <w:p>
      <w:pPr>
        <w:pStyle w:val="FootnoteText"/>
      </w:pPr>
      <w:r>
        <w:rPr>
          <w:rStyle w:val="FootnoteReference"/>
        </w:rPr>
        <w:footnoteRef/>
      </w:r>
      <w:r>
        <w:rPr>
          <w:rFonts w:ascii="Times New Roman" w:eastAsia="Times New Roman" w:hAnsi="Times New Roman" w:cs="Times New Roman"/>
          <w:sz w:val="20"/>
          <w:szCs w:val="20"/>
        </w:rPr>
        <w:t xml:space="preserve"> Singh et al., 2022</w:t>
      </w:r>
    </w:p>
  </w:footnote>
  <w:footnote w:id="64">
    <w:p>
      <w:pPr>
        <w:pStyle w:val="FootnoteText"/>
      </w:pPr>
      <w:r>
        <w:rPr>
          <w:rStyle w:val="FootnoteReference"/>
        </w:rPr>
        <w:footnoteRef/>
      </w:r>
      <w:r>
        <w:rPr>
          <w:rFonts w:ascii="Times New Roman" w:eastAsia="Times New Roman" w:hAnsi="Times New Roman" w:cs="Times New Roman"/>
          <w:sz w:val="20"/>
          <w:szCs w:val="20"/>
        </w:rPr>
        <w:t xml:space="preserve"> Singh et al., 2022</w:t>
      </w:r>
    </w:p>
  </w:footnote>
  <w:footnote w:id="65">
    <w:p>
      <w:pPr>
        <w:pStyle w:val="FootnoteText"/>
      </w:pPr>
      <w:r>
        <w:rPr>
          <w:rStyle w:val="FootnoteReference"/>
        </w:rPr>
        <w:footnoteRef/>
      </w:r>
      <w:r>
        <w:rPr>
          <w:rFonts w:ascii="Times New Roman" w:eastAsia="Times New Roman" w:hAnsi="Times New Roman" w:cs="Times New Roman"/>
          <w:sz w:val="20"/>
          <w:szCs w:val="20"/>
        </w:rPr>
        <w:t xml:space="preserve"> Mangla et al., 2021</w:t>
      </w:r>
    </w:p>
  </w:footnote>
  <w:footnote w:id="66">
    <w:p>
      <w:pPr>
        <w:pStyle w:val="FootnoteText"/>
      </w:pPr>
      <w:r>
        <w:rPr>
          <w:rStyle w:val="FootnoteReference"/>
        </w:rPr>
        <w:footnoteRef/>
      </w:r>
      <w:r>
        <w:rPr>
          <w:rFonts w:ascii="Times New Roman" w:eastAsia="Times New Roman" w:hAnsi="Times New Roman" w:cs="Times New Roman"/>
          <w:sz w:val="20"/>
          <w:szCs w:val="20"/>
        </w:rPr>
        <w:t xml:space="preserve"> Kero &amp; Bogale, 2023</w:t>
      </w:r>
    </w:p>
  </w:footnote>
  <w:footnote w:id="67">
    <w:p>
      <w:pPr>
        <w:pStyle w:val="FootnoteText"/>
      </w:pPr>
      <w:r>
        <w:rPr>
          <w:rStyle w:val="FootnoteReference"/>
        </w:rPr>
        <w:footnoteRef/>
      </w:r>
      <w:r>
        <w:rPr>
          <w:rFonts w:ascii="Times New Roman" w:eastAsia="Times New Roman" w:hAnsi="Times New Roman" w:cs="Times New Roman"/>
          <w:sz w:val="20"/>
          <w:szCs w:val="20"/>
        </w:rPr>
        <w:t xml:space="preserve"> Pangarkar &amp; Prabhudesai, 2024</w:t>
      </w:r>
    </w:p>
  </w:footnote>
  <w:footnote w:id="68">
    <w:p>
      <w:pPr>
        <w:pStyle w:val="FootnoteText"/>
      </w:pPr>
      <w:r>
        <w:rPr>
          <w:rStyle w:val="FootnoteReference"/>
        </w:rPr>
        <w:footnoteRef/>
      </w:r>
      <w:r>
        <w:rPr>
          <w:rFonts w:ascii="Times New Roman" w:eastAsia="Times New Roman" w:hAnsi="Times New Roman" w:cs="Times New Roman"/>
          <w:sz w:val="20"/>
          <w:szCs w:val="20"/>
        </w:rPr>
        <w:t xml:space="preserve"> Mammen et al., 2021</w:t>
      </w:r>
    </w:p>
  </w:footnote>
  <w:footnote w:id="69">
    <w:p>
      <w:pPr>
        <w:pStyle w:val="FootnoteText"/>
      </w:pPr>
      <w:r>
        <w:rPr>
          <w:rStyle w:val="FootnoteReference"/>
        </w:rPr>
        <w:footnoteRef/>
      </w:r>
      <w:r>
        <w:rPr>
          <w:rFonts w:ascii="Times New Roman" w:eastAsia="Times New Roman" w:hAnsi="Times New Roman" w:cs="Times New Roman"/>
          <w:sz w:val="20"/>
          <w:szCs w:val="20"/>
        </w:rPr>
        <w:t xml:space="preserve"> Naeem et al., 2023</w:t>
      </w:r>
    </w:p>
  </w:footnote>
  <w:footnote w:id="70">
    <w:p>
      <w:pPr>
        <w:pStyle w:val="FootnoteText"/>
      </w:pPr>
      <w:r>
        <w:rPr>
          <w:rStyle w:val="FootnoteReference"/>
        </w:rPr>
        <w:footnoteRef/>
      </w:r>
      <w:r>
        <w:rPr>
          <w:rFonts w:ascii="Times New Roman" w:eastAsia="Times New Roman" w:hAnsi="Times New Roman" w:cs="Times New Roman"/>
          <w:sz w:val="20"/>
          <w:szCs w:val="20"/>
        </w:rPr>
        <w:t xml:space="preserve"> Dukhaykh &amp; Alangri, 2026</w:t>
      </w:r>
    </w:p>
  </w:footnote>
  <w:footnote w:id="71">
    <w:p>
      <w:pPr>
        <w:pStyle w:val="FootnoteText"/>
      </w:pPr>
      <w:r>
        <w:rPr>
          <w:rStyle w:val="FootnoteReference"/>
        </w:rPr>
        <w:footnoteRef/>
      </w:r>
      <w:r>
        <w:rPr>
          <w:rFonts w:ascii="Times New Roman" w:eastAsia="Times New Roman" w:hAnsi="Times New Roman" w:cs="Times New Roman"/>
          <w:sz w:val="20"/>
          <w:szCs w:val="20"/>
        </w:rPr>
        <w:t xml:space="preserve"> Dukhaykh &amp; Alangri, 2026. Dynamic capabilities and sustainable competitive advantage in SMEs: The roles of innovation and organizational learning.</w:t>
      </w:r>
    </w:p>
  </w:footnote>
  <w:footnote w:id="72">
    <w:p>
      <w:pPr>
        <w:pStyle w:val="FootnoteText"/>
      </w:pPr>
      <w:r>
        <w:rPr>
          <w:rStyle w:val="FootnoteReference"/>
        </w:rPr>
        <w:footnoteRef/>
      </w:r>
      <w:r>
        <w:rPr>
          <w:rFonts w:ascii="Times New Roman" w:eastAsia="Times New Roman" w:hAnsi="Times New Roman" w:cs="Times New Roman"/>
          <w:sz w:val="20"/>
          <w:szCs w:val="20"/>
        </w:rPr>
        <w:t xml:space="preserve"> Shah et al., 2023</w:t>
      </w:r>
    </w:p>
  </w:footnote>
  <w:footnote w:id="73">
    <w:p>
      <w:pPr>
        <w:pStyle w:val="FootnoteText"/>
      </w:pPr>
      <w:r>
        <w:rPr>
          <w:rStyle w:val="FootnoteReference"/>
        </w:rPr>
        <w:footnoteRef/>
      </w:r>
      <w:r>
        <w:rPr>
          <w:rFonts w:ascii="Times New Roman" w:eastAsia="Times New Roman" w:hAnsi="Times New Roman" w:cs="Times New Roman"/>
          <w:sz w:val="20"/>
          <w:szCs w:val="20"/>
        </w:rPr>
        <w:t xml:space="preserve"> Landjohou &amp; Christopher, 2026. The impact of digital marketing on small and medium enterprises (SMEs) growth: A systematic review.</w:t>
      </w:r>
    </w:p>
  </w:footnote>
  <w:footnote w:id="74">
    <w:p>
      <w:pPr>
        <w:pStyle w:val="FootnoteText"/>
      </w:pPr>
      <w:r>
        <w:rPr>
          <w:rStyle w:val="FootnoteReference"/>
        </w:rPr>
        <w:footnoteRef/>
      </w:r>
      <w:r>
        <w:rPr>
          <w:rFonts w:ascii="Times New Roman" w:eastAsia="Times New Roman" w:hAnsi="Times New Roman" w:cs="Times New Roman"/>
          <w:sz w:val="20"/>
          <w:szCs w:val="20"/>
        </w:rPr>
        <w:t xml:space="preserve"> Sharabati et al., 2024. The impact of digital marketing on the performance of SMEs: An analytical study in light of modern digital transformations.</w:t>
      </w:r>
    </w:p>
  </w:footnote>
  <w:footnote w:id="75">
    <w:p>
      <w:pPr>
        <w:pStyle w:val="FootnoteText"/>
      </w:pPr>
      <w:r>
        <w:rPr>
          <w:rStyle w:val="FootnoteReference"/>
        </w:rPr>
        <w:footnoteRef/>
      </w:r>
      <w:r>
        <w:rPr>
          <w:rFonts w:ascii="Times New Roman" w:eastAsia="Times New Roman" w:hAnsi="Times New Roman" w:cs="Times New Roman"/>
          <w:sz w:val="20"/>
          <w:szCs w:val="20"/>
        </w:rPr>
        <w:t xml:space="preserve"> Gupta &amp; Jagtap, 2024. Unlocking digital growth: Overcoming barriers to digital transformation for Indian food SMEs.</w:t>
      </w:r>
    </w:p>
  </w:footnote>
  <w:footnote w:id="76">
    <w:p>
      <w:pPr>
        <w:pStyle w:val="FootnoteText"/>
      </w:pPr>
      <w:r>
        <w:rPr>
          <w:rStyle w:val="FootnoteReference"/>
        </w:rPr>
        <w:footnoteRef/>
      </w:r>
      <w:r>
        <w:rPr>
          <w:rFonts w:ascii="Times New Roman" w:eastAsia="Times New Roman" w:hAnsi="Times New Roman" w:cs="Times New Roman"/>
          <w:sz w:val="20"/>
          <w:szCs w:val="20"/>
        </w:rPr>
        <w:t xml:space="preserve"> Zain et al., 2023. Evaluation and prioritisation of GSCM barriers in food and beverage SMEs using the AHP.</w:t>
      </w:r>
    </w:p>
  </w:footnote>
  <w:footnote w:id="77">
    <w:p>
      <w:pPr>
        <w:pStyle w:val="FootnoteText"/>
      </w:pPr>
      <w:r>
        <w:rPr>
          <w:rStyle w:val="FootnoteReference"/>
        </w:rPr>
        <w:footnoteRef/>
      </w:r>
      <w:r>
        <w:rPr>
          <w:rFonts w:ascii="Times New Roman" w:eastAsia="Times New Roman" w:hAnsi="Times New Roman" w:cs="Times New Roman"/>
          <w:sz w:val="20"/>
          <w:szCs w:val="20"/>
        </w:rPr>
        <w:t xml:space="preserve"> Shah et al., 2023. Opportunities and challenges in food entrepreneurship: In-depth qualitative investigation of millet entrepreneurs.</w:t>
      </w:r>
    </w:p>
  </w:footnote>
  <w:footnote w:id="78">
    <w:p>
      <w:pPr>
        <w:pStyle w:val="FootnoteText"/>
      </w:pPr>
      <w:r>
        <w:rPr>
          <w:rStyle w:val="FootnoteReference"/>
        </w:rPr>
        <w:footnoteRef/>
      </w:r>
      <w:r>
        <w:rPr>
          <w:rFonts w:ascii="Times New Roman" w:eastAsia="Times New Roman" w:hAnsi="Times New Roman" w:cs="Times New Roman"/>
          <w:sz w:val="20"/>
          <w:szCs w:val="20"/>
        </w:rPr>
        <w:t xml:space="preserve"> Naeem et al., 2023. A step-by-step process of thematic analysis to develop a conceptual model in qualitative research.</w:t>
      </w:r>
    </w:p>
  </w:footnote>
  <w:footnote w:id="79">
    <w:p>
      <w:pPr>
        <w:pStyle w:val="FootnoteText"/>
      </w:pPr>
      <w:r>
        <w:rPr>
          <w:rStyle w:val="FootnoteReference"/>
        </w:rPr>
        <w:footnoteRef/>
      </w:r>
      <w:r>
        <w:rPr>
          <w:rFonts w:ascii="Times New Roman" w:eastAsia="Times New Roman" w:hAnsi="Times New Roman" w:cs="Times New Roman"/>
          <w:sz w:val="20"/>
          <w:szCs w:val="20"/>
        </w:rPr>
        <w:t xml:space="preserve"> Arte &amp; Larimo, 2022. Moderating influence of product diversification on the international diversification-performance relationship: A meta-analysis.</w:t>
      </w:r>
    </w:p>
  </w:footnote>
  <w:footnote w:id="80">
    <w:p>
      <w:pPr>
        <w:pStyle w:val="FootnoteText"/>
      </w:pPr>
      <w:r>
        <w:rPr>
          <w:rStyle w:val="FootnoteReference"/>
        </w:rPr>
        <w:footnoteRef/>
      </w:r>
      <w:r>
        <w:rPr>
          <w:rFonts w:ascii="Times New Roman" w:eastAsia="Times New Roman" w:hAnsi="Times New Roman" w:cs="Times New Roman"/>
          <w:sz w:val="20"/>
          <w:szCs w:val="20"/>
        </w:rPr>
        <w:t xml:space="preserve"> Taneo et al., 2022. Improving the human resource capability of food SMEs managers through training: A preliminary research.</w:t>
      </w:r>
    </w:p>
  </w:footnote>
  <w:footnote w:id="81">
    <w:p>
      <w:pPr>
        <w:pStyle w:val="FootnoteText"/>
      </w:pPr>
      <w:r>
        <w:rPr>
          <w:rStyle w:val="FootnoteReference"/>
        </w:rPr>
        <w:footnoteRef/>
      </w:r>
      <w:r>
        <w:rPr>
          <w:rFonts w:ascii="Times New Roman" w:eastAsia="Times New Roman" w:hAnsi="Times New Roman" w:cs="Times New Roman"/>
          <w:sz w:val="20"/>
          <w:szCs w:val="20"/>
        </w:rPr>
        <w:t xml:space="preserve"> Thomran et al., 2022. The key enablers of competitive advantage formation in small and medium enterprises: The case of the Ha'il region.</w:t>
      </w:r>
    </w:p>
  </w:footnote>
  <w:footnote w:id="82">
    <w:p>
      <w:pPr>
        <w:pStyle w:val="FootnoteText"/>
      </w:pPr>
      <w:r>
        <w:rPr>
          <w:rStyle w:val="FootnoteReference"/>
        </w:rPr>
        <w:footnoteRef/>
      </w:r>
      <w:r>
        <w:rPr>
          <w:rFonts w:ascii="Times New Roman" w:eastAsia="Times New Roman" w:hAnsi="Times New Roman" w:cs="Times New Roman"/>
          <w:sz w:val="20"/>
          <w:szCs w:val="20"/>
        </w:rPr>
        <w:t xml:space="preserve"> Singh et al., 2022. Investigating the barriers to growth in the Indian food processing sector.</w:t>
      </w:r>
    </w:p>
  </w:footnote>
  <w:footnote w:id="83">
    <w:p>
      <w:pPr>
        <w:pStyle w:val="FootnoteText"/>
      </w:pPr>
      <w:r>
        <w:rPr>
          <w:rStyle w:val="FootnoteReference"/>
        </w:rPr>
        <w:footnoteRef/>
      </w:r>
      <w:r>
        <w:rPr>
          <w:rFonts w:ascii="Times New Roman" w:eastAsia="Times New Roman" w:hAnsi="Times New Roman" w:cs="Times New Roman"/>
          <w:sz w:val="20"/>
          <w:szCs w:val="20"/>
        </w:rPr>
        <w:t xml:space="preserve"> Miklian &amp; Hoelscher, 2022. SMEs and exogenous shocks: A conceptual literature review and forward research agenda.</w:t>
      </w:r>
    </w:p>
  </w:footnote>
  <w:footnote w:id="84">
    <w:p>
      <w:pPr>
        <w:pStyle w:val="FootnoteText"/>
      </w:pPr>
      <w:r>
        <w:rPr>
          <w:rStyle w:val="FootnoteReference"/>
        </w:rPr>
        <w:footnoteRef/>
      </w:r>
      <w:r>
        <w:rPr>
          <w:rFonts w:ascii="Times New Roman" w:eastAsia="Times New Roman" w:hAnsi="Times New Roman" w:cs="Times New Roman"/>
          <w:sz w:val="20"/>
          <w:szCs w:val="20"/>
        </w:rPr>
        <w:t xml:space="preserve"> Azam et al., 2021. Does stakeholder pressure matters in adopting sustainable supply chain initiatives? Insights from agro-based processing industry.</w:t>
      </w:r>
    </w:p>
  </w:footnote>
  <w:footnote w:id="85">
    <w:p>
      <w:pPr>
        <w:pStyle w:val="FootnoteText"/>
      </w:pPr>
      <w:r>
        <w:rPr>
          <w:rStyle w:val="FootnoteReference"/>
        </w:rPr>
        <w:footnoteRef/>
      </w:r>
      <w:r>
        <w:rPr>
          <w:rFonts w:ascii="Times New Roman" w:eastAsia="Times New Roman" w:hAnsi="Times New Roman" w:cs="Times New Roman"/>
          <w:sz w:val="20"/>
          <w:szCs w:val="20"/>
        </w:rPr>
        <w:t xml:space="preserve"> Mammen et al., 2021. The risk implications of diversification: Integrating the effects of product and geographic diversification.</w:t>
      </w:r>
    </w:p>
  </w:footnote>
  <w:footnote w:id="86">
    <w:p>
      <w:pPr>
        <w:pStyle w:val="FootnoteText"/>
      </w:pPr>
      <w:r>
        <w:rPr>
          <w:rStyle w:val="FootnoteReference"/>
        </w:rPr>
        <w:footnoteRef/>
      </w:r>
      <w:r>
        <w:rPr>
          <w:rFonts w:ascii="Times New Roman" w:eastAsia="Times New Roman" w:hAnsi="Times New Roman" w:cs="Times New Roman"/>
          <w:sz w:val="20"/>
          <w:szCs w:val="20"/>
        </w:rPr>
        <w:t xml:space="preserve"> Mangla et al., 2021. A framework to assess the challenges to food safety initiatives in an emerging economy.</w:t>
      </w:r>
    </w:p>
  </w:footnote>
  <w:footnote w:id="87">
    <w:p>
      <w:pPr>
        <w:pStyle w:val="FootnoteText"/>
      </w:pPr>
      <w:r>
        <w:rPr>
          <w:rStyle w:val="FootnoteReference"/>
        </w:rPr>
        <w:footnoteRef/>
      </w:r>
      <w:r>
        <w:rPr>
          <w:rFonts w:ascii="Times New Roman" w:eastAsia="Times New Roman" w:hAnsi="Times New Roman" w:cs="Times New Roman"/>
          <w:sz w:val="20"/>
          <w:szCs w:val="20"/>
        </w:rPr>
        <w:t xml:space="preserve"> Schommer et al., 2019. Does the diversification-firm performance relationship change over time? A meta-analytical review.</w:t>
      </w:r>
    </w:p>
  </w:footnote>
  <w:footnote w:id="88">
    <w:p>
      <w:pPr>
        <w:pStyle w:val="FootnoteText"/>
      </w:pPr>
      <w:r>
        <w:rPr>
          <w:rStyle w:val="FootnoteReference"/>
        </w:rPr>
        <w:footnoteRef/>
      </w:r>
      <w:r>
        <w:rPr>
          <w:rFonts w:ascii="Times New Roman" w:eastAsia="Times New Roman" w:hAnsi="Times New Roman" w:cs="Times New Roman"/>
          <w:sz w:val="20"/>
          <w:szCs w:val="20"/>
        </w:rPr>
        <w:t xml:space="preserve"> Williams &amp; Aaron, 2018. Specialization as a small business strategic approach.</w:t>
      </w:r>
    </w:p>
  </w:footnote>
  <w:footnote w:id="89">
    <w:p>
      <w:pPr>
        <w:pStyle w:val="FootnoteText"/>
      </w:pPr>
      <w:r>
        <w:rPr>
          <w:rStyle w:val="FootnoteReference"/>
        </w:rPr>
        <w:footnoteRef/>
      </w:r>
      <w:r>
        <w:rPr>
          <w:rFonts w:ascii="Times New Roman" w:eastAsia="Times New Roman" w:hAnsi="Times New Roman" w:cs="Times New Roman"/>
          <w:sz w:val="20"/>
          <w:szCs w:val="20"/>
        </w:rPr>
        <w:t xml:space="preserve"> Shah et al., 2023</w:t>
      </w:r>
    </w:p>
  </w:footnote>
  <w:footnote w:id="90">
    <w:p>
      <w:pPr>
        <w:pStyle w:val="FootnoteText"/>
      </w:pPr>
      <w:r>
        <w:rPr>
          <w:rStyle w:val="FootnoteReference"/>
        </w:rPr>
        <w:footnoteRef/>
      </w:r>
      <w:r>
        <w:rPr>
          <w:rFonts w:ascii="Times New Roman" w:eastAsia="Times New Roman" w:hAnsi="Times New Roman" w:cs="Times New Roman"/>
          <w:sz w:val="20"/>
          <w:szCs w:val="20"/>
        </w:rPr>
        <w:t xml:space="preserve"> Dukhaykh &amp; Alangri, 2026</w:t>
      </w:r>
    </w:p>
  </w:footnote>
  <w:footnote w:id="91">
    <w:p>
      <w:pPr>
        <w:pStyle w:val="FootnoteText"/>
      </w:pPr>
      <w:r>
        <w:rPr>
          <w:rStyle w:val="FootnoteReference"/>
        </w:rPr>
        <w:footnoteRef/>
      </w:r>
      <w:r>
        <w:rPr>
          <w:rFonts w:ascii="Times New Roman" w:eastAsia="Times New Roman" w:hAnsi="Times New Roman" w:cs="Times New Roman"/>
          <w:sz w:val="20"/>
          <w:szCs w:val="20"/>
        </w:rPr>
        <w:t xml:space="preserve"> Gupta &amp; Jagtap, 2024</w:t>
      </w:r>
    </w:p>
  </w:footnote>
  <w:footnote w:id="92">
    <w:p>
      <w:pPr>
        <w:pStyle w:val="FootnoteText"/>
      </w:pPr>
      <w:r>
        <w:rPr>
          <w:rStyle w:val="FootnoteReference"/>
        </w:rPr>
        <w:footnoteRef/>
      </w:r>
      <w:r>
        <w:rPr>
          <w:rFonts w:ascii="Times New Roman" w:eastAsia="Times New Roman" w:hAnsi="Times New Roman" w:cs="Times New Roman"/>
          <w:sz w:val="20"/>
          <w:szCs w:val="20"/>
        </w:rPr>
        <w:t xml:space="preserve"> Kero &amp; Bogale, 2023</w:t>
      </w:r>
    </w:p>
  </w:footnote>
  <w:footnote w:id="93">
    <w:p>
      <w:pPr>
        <w:pStyle w:val="FootnoteText"/>
      </w:pPr>
      <w:r>
        <w:rPr>
          <w:rStyle w:val="FootnoteReference"/>
        </w:rPr>
        <w:footnoteRef/>
      </w:r>
      <w:r>
        <w:rPr>
          <w:rFonts w:ascii="Times New Roman" w:eastAsia="Times New Roman" w:hAnsi="Times New Roman" w:cs="Times New Roman"/>
          <w:sz w:val="20"/>
          <w:szCs w:val="20"/>
        </w:rPr>
        <w:t xml:space="preserve"> Pangarkar &amp; Prabhudesai, 2024</w:t>
      </w:r>
    </w:p>
  </w:footnote>
  <w:footnote w:id="94">
    <w:p>
      <w:pPr>
        <w:pStyle w:val="FootnoteText"/>
      </w:pPr>
      <w:r>
        <w:rPr>
          <w:rStyle w:val="FootnoteReference"/>
        </w:rPr>
        <w:footnoteRef/>
      </w:r>
      <w:r>
        <w:rPr>
          <w:rFonts w:ascii="Times New Roman" w:eastAsia="Times New Roman" w:hAnsi="Times New Roman" w:cs="Times New Roman"/>
          <w:sz w:val="20"/>
          <w:szCs w:val="20"/>
        </w:rPr>
        <w:t xml:space="preserve"> Miklian &amp; Hoelscher, 2022</w:t>
      </w:r>
    </w:p>
  </w:footnote>
  <w:footnote w:id="95">
    <w:p>
      <w:pPr>
        <w:pStyle w:val="FootnoteText"/>
      </w:pPr>
      <w:r>
        <w:rPr>
          <w:rStyle w:val="FootnoteReference"/>
        </w:rPr>
        <w:footnoteRef/>
      </w:r>
      <w:r>
        <w:rPr>
          <w:rFonts w:ascii="Times New Roman" w:eastAsia="Times New Roman" w:hAnsi="Times New Roman" w:cs="Times New Roman"/>
          <w:sz w:val="20"/>
          <w:szCs w:val="20"/>
        </w:rPr>
        <w:t xml:space="preserve"> Saunders et al., 2023</w:t>
      </w:r>
    </w:p>
  </w:footnote>
  <w:footnote w:id="96">
    <w:p>
      <w:pPr>
        <w:pStyle w:val="FootnoteText"/>
      </w:pPr>
      <w:r>
        <w:rPr>
          <w:rStyle w:val="FootnoteReference"/>
        </w:rPr>
        <w:footnoteRef/>
      </w:r>
      <w:r>
        <w:rPr>
          <w:rFonts w:ascii="Times New Roman" w:eastAsia="Times New Roman" w:hAnsi="Times New Roman" w:cs="Times New Roman"/>
          <w:sz w:val="20"/>
          <w:szCs w:val="20"/>
        </w:rPr>
        <w:t xml:space="preserve"> Nasa et al., 2021</w:t>
      </w:r>
    </w:p>
  </w:footnote>
  <w:footnote w:id="97">
    <w:p>
      <w:pPr>
        <w:pStyle w:val="FootnoteText"/>
      </w:pPr>
      <w:r>
        <w:rPr>
          <w:rStyle w:val="FootnoteReference"/>
        </w:rPr>
        <w:footnoteRef/>
      </w:r>
      <w:r>
        <w:rPr>
          <w:rFonts w:ascii="Times New Roman" w:eastAsia="Times New Roman" w:hAnsi="Times New Roman" w:cs="Times New Roman"/>
          <w:sz w:val="20"/>
          <w:szCs w:val="20"/>
        </w:rPr>
        <w:t xml:space="preserve"> Beiderbeck et al., 2021</w:t>
      </w:r>
    </w:p>
  </w:footnote>
  <w:footnote w:id="98">
    <w:p>
      <w:pPr>
        <w:pStyle w:val="FootnoteText"/>
      </w:pPr>
      <w:r>
        <w:rPr>
          <w:rStyle w:val="FootnoteReference"/>
        </w:rPr>
        <w:footnoteRef/>
      </w:r>
      <w:r>
        <w:rPr>
          <w:rFonts w:ascii="Times New Roman" w:eastAsia="Times New Roman" w:hAnsi="Times New Roman" w:cs="Times New Roman"/>
          <w:sz w:val="20"/>
          <w:szCs w:val="20"/>
        </w:rPr>
        <w:t xml:space="preserve"> Schifano &amp; Niederberger, 2025</w:t>
      </w:r>
    </w:p>
  </w:footnote>
  <w:footnote w:id="99">
    <w:p>
      <w:pPr>
        <w:pStyle w:val="FootnoteText"/>
      </w:pPr>
      <w:r>
        <w:rPr>
          <w:rStyle w:val="FootnoteReference"/>
        </w:rPr>
        <w:footnoteRef/>
      </w:r>
      <w:r>
        <w:rPr>
          <w:rFonts w:ascii="Times New Roman" w:eastAsia="Times New Roman" w:hAnsi="Times New Roman" w:cs="Times New Roman"/>
          <w:sz w:val="20"/>
          <w:szCs w:val="20"/>
        </w:rPr>
        <w:t xml:space="preserve"> Schifano &amp; Niederberger, 2025</w:t>
      </w:r>
    </w:p>
  </w:footnote>
  <w:footnote w:id="100">
    <w:p>
      <w:pPr>
        <w:pStyle w:val="FootnoteText"/>
      </w:pPr>
      <w:r>
        <w:rPr>
          <w:rStyle w:val="FootnoteReference"/>
        </w:rPr>
        <w:footnoteRef/>
      </w:r>
      <w:r>
        <w:rPr>
          <w:rFonts w:ascii="Times New Roman" w:eastAsia="Times New Roman" w:hAnsi="Times New Roman" w:cs="Times New Roman"/>
          <w:sz w:val="20"/>
          <w:szCs w:val="20"/>
        </w:rPr>
        <w:t xml:space="preserve"> Nasa et al., 2021</w:t>
      </w:r>
    </w:p>
  </w:footnote>
  <w:footnote w:id="101">
    <w:p>
      <w:pPr>
        <w:pStyle w:val="FootnoteText"/>
      </w:pPr>
      <w:r>
        <w:rPr>
          <w:rStyle w:val="FootnoteReference"/>
        </w:rPr>
        <w:footnoteRef/>
      </w:r>
      <w:r>
        <w:rPr>
          <w:rFonts w:ascii="Times New Roman" w:eastAsia="Times New Roman" w:hAnsi="Times New Roman" w:cs="Times New Roman"/>
          <w:sz w:val="20"/>
          <w:szCs w:val="20"/>
        </w:rPr>
        <w:t xml:space="preserve"> Braun &amp; Clarke, 2006</w:t>
      </w:r>
    </w:p>
  </w:footnote>
  <w:footnote w:id="102">
    <w:p>
      <w:pPr>
        <w:pStyle w:val="FootnoteText"/>
      </w:pPr>
      <w:r>
        <w:rPr>
          <w:rStyle w:val="FootnoteReference"/>
        </w:rPr>
        <w:footnoteRef/>
      </w:r>
      <w:r>
        <w:rPr>
          <w:rFonts w:ascii="Times New Roman" w:eastAsia="Times New Roman" w:hAnsi="Times New Roman" w:cs="Times New Roman"/>
          <w:sz w:val="20"/>
          <w:szCs w:val="20"/>
        </w:rPr>
        <w:t xml:space="preserve"> Braun &amp; Clarke, 2021</w:t>
      </w:r>
    </w:p>
  </w:footnote>
  <w:footnote w:id="103">
    <w:p>
      <w:pPr>
        <w:pStyle w:val="FootnoteText"/>
      </w:pPr>
      <w:r>
        <w:rPr>
          <w:rStyle w:val="FootnoteReference"/>
        </w:rPr>
        <w:footnoteRef/>
      </w:r>
      <w:r>
        <w:rPr>
          <w:rFonts w:ascii="Times New Roman" w:eastAsia="Times New Roman" w:hAnsi="Times New Roman" w:cs="Times New Roman"/>
          <w:sz w:val="20"/>
          <w:szCs w:val="20"/>
        </w:rPr>
        <w:t xml:space="preserve"> Nasa et al., 2021</w:t>
      </w:r>
    </w:p>
  </w:footnote>
  <w:footnote w:id="104">
    <w:p>
      <w:pPr>
        <w:pStyle w:val="FootnoteText"/>
      </w:pPr>
      <w:r>
        <w:rPr>
          <w:rStyle w:val="FootnoteReference"/>
        </w:rPr>
        <w:footnoteRef/>
      </w:r>
      <w:r>
        <w:rPr>
          <w:rFonts w:ascii="Times New Roman" w:eastAsia="Times New Roman" w:hAnsi="Times New Roman" w:cs="Times New Roman"/>
          <w:sz w:val="20"/>
          <w:szCs w:val="20"/>
        </w:rPr>
        <w:t xml:space="preserve"> Schifano &amp; Niederberger, 2025</w:t>
      </w:r>
    </w:p>
  </w:footnote>
  <w:footnote w:id="105">
    <w:p>
      <w:pPr>
        <w:pStyle w:val="FootnoteText"/>
      </w:pPr>
      <w:r>
        <w:rPr>
          <w:rStyle w:val="FootnoteReference"/>
        </w:rPr>
        <w:footnoteRef/>
      </w:r>
      <w:r>
        <w:rPr>
          <w:rFonts w:ascii="Times New Roman" w:eastAsia="Times New Roman" w:hAnsi="Times New Roman" w:cs="Times New Roman"/>
          <w:sz w:val="20"/>
          <w:szCs w:val="20"/>
        </w:rPr>
        <w:t xml:space="preserve"> Schmidt, 1997</w:t>
      </w:r>
    </w:p>
  </w:footnote>
  <w:footnote w:id="106">
    <w:p>
      <w:pPr>
        <w:pStyle w:val="FootnoteText"/>
      </w:pPr>
      <w:r>
        <w:rPr>
          <w:rStyle w:val="FootnoteReference"/>
        </w:rPr>
        <w:footnoteRef/>
      </w:r>
      <w:r>
        <w:rPr>
          <w:rFonts w:ascii="Times New Roman" w:eastAsia="Times New Roman" w:hAnsi="Times New Roman" w:cs="Times New Roman"/>
          <w:sz w:val="20"/>
          <w:szCs w:val="20"/>
        </w:rPr>
        <w:t xml:space="preserve"> Saaty, 1980. The analytic hierarchy process.</w:t>
      </w:r>
    </w:p>
  </w:footnote>
  <w:footnote w:id="107">
    <w:p>
      <w:pPr>
        <w:pStyle w:val="FootnoteText"/>
      </w:pPr>
      <w:r>
        <w:rPr>
          <w:rStyle w:val="FootnoteReference"/>
        </w:rPr>
        <w:footnoteRef/>
      </w:r>
      <w:r>
        <w:rPr>
          <w:rFonts w:ascii="Times New Roman" w:eastAsia="Times New Roman" w:hAnsi="Times New Roman" w:cs="Times New Roman"/>
          <w:sz w:val="20"/>
          <w:szCs w:val="20"/>
        </w:rPr>
        <w:t xml:space="preserve"> Nasa et al., 2021</w:t>
      </w:r>
    </w:p>
  </w:footnote>
  <w:footnote w:id="108">
    <w:p>
      <w:pPr>
        <w:pStyle w:val="FootnoteText"/>
      </w:pPr>
      <w:r>
        <w:rPr>
          <w:rStyle w:val="FootnoteReference"/>
        </w:rPr>
        <w:footnoteRef/>
      </w:r>
      <w:r>
        <w:rPr>
          <w:rFonts w:ascii="Times New Roman" w:eastAsia="Times New Roman" w:hAnsi="Times New Roman" w:cs="Times New Roman"/>
          <w:sz w:val="20"/>
          <w:szCs w:val="20"/>
        </w:rPr>
        <w:t xml:space="preserve"> Schifano &amp; Niederberger, 2025</w:t>
      </w:r>
    </w:p>
  </w:footnote>
  <w:footnote w:id="109">
    <w:p>
      <w:pPr>
        <w:pStyle w:val="FootnoteText"/>
      </w:pPr>
      <w:r>
        <w:rPr>
          <w:rStyle w:val="FootnoteReference"/>
        </w:rPr>
        <w:footnoteRef/>
      </w:r>
      <w:r>
        <w:rPr>
          <w:rFonts w:ascii="Times New Roman" w:eastAsia="Times New Roman" w:hAnsi="Times New Roman" w:cs="Times New Roman"/>
          <w:sz w:val="20"/>
          <w:szCs w:val="20"/>
        </w:rPr>
        <w:t xml:space="preserve"> Braun &amp; Clarke, 2021</w:t>
      </w:r>
    </w:p>
  </w:footnote>
  <w:footnote w:id="110">
    <w:p>
      <w:pPr>
        <w:pStyle w:val="FootnoteText"/>
      </w:pPr>
      <w:r>
        <w:rPr>
          <w:rStyle w:val="FootnoteReference"/>
        </w:rPr>
        <w:footnoteRef/>
      </w:r>
      <w:r>
        <w:rPr>
          <w:rFonts w:ascii="Times New Roman" w:eastAsia="Times New Roman" w:hAnsi="Times New Roman" w:cs="Times New Roman"/>
          <w:sz w:val="20"/>
          <w:szCs w:val="20"/>
        </w:rPr>
        <w:t xml:space="preserve"> Schifano &amp; Niederberger, 2025</w:t>
      </w:r>
    </w:p>
  </w:footnote>
  <w:footnote w:id="111">
    <w:p>
      <w:pPr>
        <w:pStyle w:val="FootnoteText"/>
      </w:pPr>
      <w:r>
        <w:rPr>
          <w:rStyle w:val="FootnoteReference"/>
        </w:rPr>
        <w:footnoteRef/>
      </w:r>
      <w:r>
        <w:rPr>
          <w:rFonts w:ascii="Times New Roman" w:eastAsia="Times New Roman" w:hAnsi="Times New Roman" w:cs="Times New Roman"/>
          <w:sz w:val="20"/>
          <w:szCs w:val="20"/>
        </w:rPr>
        <w:t xml:space="preserve"> Schmidt, 1997</w:t>
      </w:r>
    </w:p>
  </w:footnote>
  <w:footnote w:id="112">
    <w:p>
      <w:pPr>
        <w:pStyle w:val="FootnoteText"/>
      </w:pPr>
      <w:r>
        <w:rPr>
          <w:rStyle w:val="FootnoteReference"/>
        </w:rPr>
        <w:footnoteRef/>
      </w:r>
      <w:r>
        <w:rPr>
          <w:rFonts w:ascii="Times New Roman" w:eastAsia="Times New Roman" w:hAnsi="Times New Roman" w:cs="Times New Roman"/>
          <w:sz w:val="20"/>
          <w:szCs w:val="20"/>
        </w:rPr>
        <w:t xml:space="preserve"> Schmidt, 1997</w:t>
      </w:r>
    </w:p>
  </w:footnote>
  <w:footnote w:id="113">
    <w:p>
      <w:pPr>
        <w:pStyle w:val="FootnoteText"/>
      </w:pPr>
      <w:r>
        <w:rPr>
          <w:rStyle w:val="FootnoteReference"/>
        </w:rPr>
        <w:footnoteRef/>
      </w:r>
      <w:r>
        <w:rPr>
          <w:rFonts w:ascii="Times New Roman" w:eastAsia="Times New Roman" w:hAnsi="Times New Roman" w:cs="Times New Roman"/>
          <w:sz w:val="20"/>
          <w:szCs w:val="20"/>
        </w:rPr>
        <w:t xml:space="preserve"> Schifano &amp; Niederberger, 2025</w:t>
      </w:r>
    </w:p>
  </w:footnote>
  <w:footnote w:id="114">
    <w:p>
      <w:pPr>
        <w:pStyle w:val="FootnoteText"/>
      </w:pPr>
      <w:r>
        <w:rPr>
          <w:rStyle w:val="FootnoteReference"/>
        </w:rPr>
        <w:footnoteRef/>
      </w:r>
      <w:r>
        <w:rPr>
          <w:rFonts w:ascii="Times New Roman" w:eastAsia="Times New Roman" w:hAnsi="Times New Roman" w:cs="Times New Roman"/>
          <w:sz w:val="20"/>
          <w:szCs w:val="20"/>
        </w:rPr>
        <w:t xml:space="preserve"> Saaty, 1980. The analytic hierarchy process.</w:t>
      </w:r>
    </w:p>
  </w:footnote>
  <w:footnote w:id="115">
    <w:p>
      <w:pPr>
        <w:pStyle w:val="FootnoteText"/>
      </w:pPr>
      <w:r>
        <w:rPr>
          <w:rStyle w:val="FootnoteReference"/>
        </w:rPr>
        <w:footnoteRef/>
      </w:r>
      <w:r>
        <w:rPr>
          <w:rFonts w:ascii="Times New Roman" w:eastAsia="Times New Roman" w:hAnsi="Times New Roman" w:cs="Times New Roman"/>
          <w:sz w:val="20"/>
          <w:szCs w:val="20"/>
        </w:rPr>
        <w:t> Mammen et al., 2021</w:t>
      </w:r>
    </w:p>
  </w:footnote>
  <w:footnote w:id="116">
    <w:p>
      <w:pPr>
        <w:pStyle w:val="FootnoteText"/>
      </w:pPr>
      <w:r>
        <w:rPr>
          <w:rStyle w:val="FootnoteReference"/>
        </w:rPr>
        <w:footnoteRef/>
      </w:r>
      <w:r>
        <w:rPr>
          <w:rFonts w:ascii="Times New Roman" w:eastAsia="Times New Roman" w:hAnsi="Times New Roman" w:cs="Times New Roman"/>
          <w:sz w:val="20"/>
          <w:szCs w:val="20"/>
        </w:rPr>
        <w:t> Schommer et al., 2019</w:t>
      </w:r>
    </w:p>
  </w:footnote>
  <w:footnote w:id="117">
    <w:p>
      <w:pPr>
        <w:pStyle w:val="FootnoteText"/>
      </w:pPr>
      <w:r>
        <w:rPr>
          <w:rStyle w:val="FootnoteReference"/>
        </w:rPr>
        <w:footnoteRef/>
      </w:r>
      <w:r>
        <w:rPr>
          <w:rFonts w:ascii="Times New Roman" w:eastAsia="Times New Roman" w:hAnsi="Times New Roman" w:cs="Times New Roman"/>
          <w:sz w:val="20"/>
          <w:szCs w:val="20"/>
        </w:rPr>
        <w:t> Zain et al., 2023</w:t>
      </w:r>
    </w:p>
  </w:footnote>
  <w:footnote w:id="118">
    <w:p>
      <w:pPr>
        <w:pStyle w:val="FootnoteText"/>
      </w:pPr>
      <w:r>
        <w:rPr>
          <w:rStyle w:val="FootnoteReference"/>
        </w:rPr>
        <w:footnoteRef/>
      </w:r>
      <w:r>
        <w:rPr>
          <w:rFonts w:ascii="Times New Roman" w:eastAsia="Times New Roman" w:hAnsi="Times New Roman" w:cs="Times New Roman"/>
          <w:sz w:val="20"/>
          <w:szCs w:val="20"/>
        </w:rPr>
        <w:t> Pangarkar &amp; Prabhudesai, 2024</w:t>
      </w:r>
    </w:p>
  </w:footnote>
  <w:footnote w:id="119">
    <w:p>
      <w:pPr>
        <w:pStyle w:val="FootnoteText"/>
      </w:pPr>
      <w:r>
        <w:rPr>
          <w:rStyle w:val="FootnoteReference"/>
        </w:rPr>
        <w:footnoteRef/>
      </w:r>
      <w:r>
        <w:rPr>
          <w:rFonts w:ascii="Times New Roman" w:eastAsia="Times New Roman" w:hAnsi="Times New Roman" w:cs="Times New Roman"/>
          <w:sz w:val="20"/>
          <w:szCs w:val="20"/>
        </w:rPr>
        <w:t> Suryati &amp; Lusiah, 2022</w:t>
      </w:r>
    </w:p>
  </w:footnote>
  <w:footnote w:id="120">
    <w:p>
      <w:pPr>
        <w:pStyle w:val="FootnoteText"/>
      </w:pPr>
      <w:r>
        <w:rPr>
          <w:rStyle w:val="FootnoteReference"/>
        </w:rPr>
        <w:footnoteRef/>
      </w:r>
      <w:r>
        <w:rPr>
          <w:rFonts w:ascii="Times New Roman" w:eastAsia="Times New Roman" w:hAnsi="Times New Roman" w:cs="Times New Roman"/>
          <w:sz w:val="20"/>
          <w:szCs w:val="20"/>
        </w:rPr>
        <w:t> Thomran et al., 2022</w:t>
      </w:r>
    </w:p>
  </w:footnote>
  <w:footnote w:id="121">
    <w:p>
      <w:pPr>
        <w:pStyle w:val="FootnoteText"/>
      </w:pPr>
      <w:r>
        <w:rPr>
          <w:rStyle w:val="FootnoteReference"/>
        </w:rPr>
        <w:footnoteRef/>
      </w:r>
      <w:r>
        <w:rPr>
          <w:rFonts w:ascii="Times New Roman" w:eastAsia="Times New Roman" w:hAnsi="Times New Roman" w:cs="Times New Roman"/>
          <w:sz w:val="20"/>
          <w:szCs w:val="20"/>
        </w:rPr>
        <w:t> Mangla et al., 2021</w:t>
      </w:r>
    </w:p>
  </w:footnote>
  <w:footnote w:id="122">
    <w:p>
      <w:pPr>
        <w:pStyle w:val="FootnoteText"/>
      </w:pPr>
      <w:r>
        <w:rPr>
          <w:rStyle w:val="FootnoteReference"/>
        </w:rPr>
        <w:footnoteRef/>
      </w:r>
      <w:r>
        <w:rPr>
          <w:rFonts w:ascii="Times New Roman" w:eastAsia="Times New Roman" w:hAnsi="Times New Roman" w:cs="Times New Roman"/>
          <w:sz w:val="20"/>
          <w:szCs w:val="20"/>
        </w:rPr>
        <w:t> Taneo et al., 2022</w:t>
      </w:r>
    </w:p>
  </w:footnote>
  <w:footnote w:id="123">
    <w:p>
      <w:pPr>
        <w:pStyle w:val="FootnoteText"/>
      </w:pPr>
      <w:r>
        <w:rPr>
          <w:rStyle w:val="FootnoteReference"/>
        </w:rPr>
        <w:footnoteRef/>
      </w:r>
      <w:r>
        <w:rPr>
          <w:rFonts w:ascii="Times New Roman" w:eastAsia="Times New Roman" w:hAnsi="Times New Roman" w:cs="Times New Roman"/>
          <w:sz w:val="20"/>
          <w:szCs w:val="20"/>
        </w:rPr>
        <w:t> Mammen et al., 2021</w:t>
      </w:r>
    </w:p>
  </w:footnote>
  <w:footnote w:id="124">
    <w:p>
      <w:pPr>
        <w:pStyle w:val="FootnoteText"/>
      </w:pPr>
      <w:r>
        <w:rPr>
          <w:rStyle w:val="FootnoteReference"/>
        </w:rPr>
        <w:footnoteRef/>
      </w:r>
      <w:r>
        <w:rPr>
          <w:rFonts w:ascii="Times New Roman" w:eastAsia="Times New Roman" w:hAnsi="Times New Roman" w:cs="Times New Roman"/>
          <w:sz w:val="20"/>
          <w:szCs w:val="20"/>
        </w:rPr>
        <w:t> Thomran et al., 2022</w:t>
      </w:r>
    </w:p>
  </w:footnote>
  <w:footnote w:id="125">
    <w:p>
      <w:pPr>
        <w:pStyle w:val="FootnoteText"/>
      </w:pPr>
      <w:r>
        <w:rPr>
          <w:rStyle w:val="FootnoteReference"/>
        </w:rPr>
        <w:footnoteRef/>
      </w:r>
      <w:r>
        <w:rPr>
          <w:rFonts w:ascii="Times New Roman" w:eastAsia="Times New Roman" w:hAnsi="Times New Roman" w:cs="Times New Roman"/>
          <w:sz w:val="20"/>
          <w:szCs w:val="20"/>
        </w:rPr>
        <w:t> Shah et al., 2023</w:t>
      </w:r>
    </w:p>
  </w:footnote>
  <w:footnote w:id="126">
    <w:p>
      <w:pPr>
        <w:pStyle w:val="FootnoteText"/>
      </w:pPr>
      <w:r>
        <w:rPr>
          <w:rStyle w:val="FootnoteReference"/>
        </w:rPr>
        <w:footnoteRef/>
      </w:r>
      <w:r>
        <w:rPr>
          <w:rFonts w:ascii="Times New Roman" w:eastAsia="Times New Roman" w:hAnsi="Times New Roman" w:cs="Times New Roman"/>
          <w:sz w:val="20"/>
          <w:szCs w:val="20"/>
        </w:rPr>
        <w:t> Suryati &amp; Lusiah, 2022</w:t>
      </w:r>
    </w:p>
  </w:footnote>
  <w:footnote w:id="127">
    <w:p>
      <w:pPr>
        <w:pStyle w:val="FootnoteText"/>
      </w:pPr>
      <w:r>
        <w:rPr>
          <w:rStyle w:val="FootnoteReference"/>
        </w:rPr>
        <w:footnoteRef/>
      </w:r>
      <w:r>
        <w:rPr>
          <w:rFonts w:ascii="Times New Roman" w:eastAsia="Times New Roman" w:hAnsi="Times New Roman" w:cs="Times New Roman"/>
          <w:sz w:val="20"/>
          <w:szCs w:val="20"/>
        </w:rPr>
        <w:t> Pangarkar &amp; Prabhudesai, 2024</w:t>
      </w:r>
    </w:p>
  </w:footnote>
  <w:footnote w:id="128">
    <w:p>
      <w:pPr>
        <w:pStyle w:val="FootnoteText"/>
      </w:pPr>
      <w:r>
        <w:rPr>
          <w:rStyle w:val="FootnoteReference"/>
        </w:rPr>
        <w:footnoteRef/>
      </w:r>
      <w:r>
        <w:rPr>
          <w:rFonts w:ascii="Times New Roman" w:eastAsia="Times New Roman" w:hAnsi="Times New Roman" w:cs="Times New Roman"/>
          <w:sz w:val="20"/>
          <w:szCs w:val="20"/>
        </w:rPr>
        <w:t> Pangarkar &amp; Prabhudesai, 2024</w:t>
      </w:r>
    </w:p>
  </w:footnote>
  <w:footnote w:id="129">
    <w:p>
      <w:pPr>
        <w:pStyle w:val="FootnoteText"/>
      </w:pPr>
      <w:r>
        <w:rPr>
          <w:rStyle w:val="FootnoteReference"/>
        </w:rPr>
        <w:footnoteRef/>
      </w:r>
      <w:r>
        <w:rPr>
          <w:rFonts w:ascii="Times New Roman" w:eastAsia="Times New Roman" w:hAnsi="Times New Roman" w:cs="Times New Roman"/>
          <w:sz w:val="20"/>
          <w:szCs w:val="20"/>
        </w:rPr>
        <w:t> Miklian &amp; Hoelscher, 2022</w:t>
      </w:r>
    </w:p>
  </w:footnote>
  <w:footnote w:id="130">
    <w:p>
      <w:pPr>
        <w:pStyle w:val="FootnoteText"/>
      </w:pPr>
      <w:r>
        <w:rPr>
          <w:rStyle w:val="FootnoteReference"/>
        </w:rPr>
        <w:footnoteRef/>
      </w:r>
      <w:r>
        <w:rPr>
          <w:rFonts w:ascii="Times New Roman" w:eastAsia="Times New Roman" w:hAnsi="Times New Roman" w:cs="Times New Roman"/>
          <w:sz w:val="20"/>
          <w:szCs w:val="20"/>
        </w:rPr>
        <w:t> Mammen et al., 2021</w:t>
      </w:r>
    </w:p>
  </w:footnote>
  <w:footnote w:id="131">
    <w:p>
      <w:pPr>
        <w:pStyle w:val="FootnoteText"/>
      </w:pPr>
      <w:r>
        <w:rPr>
          <w:rStyle w:val="FootnoteReference"/>
        </w:rPr>
        <w:footnoteRef/>
      </w:r>
      <w:r>
        <w:rPr>
          <w:rFonts w:ascii="Times New Roman" w:eastAsia="Times New Roman" w:hAnsi="Times New Roman" w:cs="Times New Roman"/>
          <w:sz w:val="20"/>
          <w:szCs w:val="20"/>
        </w:rPr>
        <w:t> Thomran et al., 2022</w:t>
      </w:r>
    </w:p>
  </w:footnote>
  <w:footnote w:id="132">
    <w:p>
      <w:pPr>
        <w:pStyle w:val="FootnoteText"/>
      </w:pPr>
      <w:r>
        <w:rPr>
          <w:rStyle w:val="FootnoteReference"/>
        </w:rPr>
        <w:footnoteRef/>
      </w:r>
      <w:r>
        <w:rPr>
          <w:rFonts w:ascii="Times New Roman" w:eastAsia="Times New Roman" w:hAnsi="Times New Roman" w:cs="Times New Roman"/>
          <w:sz w:val="20"/>
          <w:szCs w:val="20"/>
        </w:rPr>
        <w:t> Dukhaykh &amp; Alangri, 2026</w:t>
      </w:r>
    </w:p>
  </w:footnote>
  <w:footnote w:id="133">
    <w:p>
      <w:pPr>
        <w:pStyle w:val="FootnoteText"/>
      </w:pPr>
      <w:r>
        <w:rPr>
          <w:rStyle w:val="FootnoteReference"/>
        </w:rPr>
        <w:footnoteRef/>
      </w:r>
      <w:r>
        <w:rPr>
          <w:rFonts w:ascii="Times New Roman" w:eastAsia="Times New Roman" w:hAnsi="Times New Roman" w:cs="Times New Roman"/>
          <w:sz w:val="20"/>
          <w:szCs w:val="20"/>
        </w:rPr>
        <w:t> Nasa et al., 2021</w:t>
      </w:r>
    </w:p>
  </w:footnote>
  <w:footnote w:id="134">
    <w:p>
      <w:pPr>
        <w:pStyle w:val="FootnoteText"/>
      </w:pPr>
      <w:r>
        <w:rPr>
          <w:rStyle w:val="FootnoteReference"/>
        </w:rPr>
        <w:footnoteRef/>
      </w:r>
      <w:r>
        <w:rPr>
          <w:rFonts w:ascii="Times New Roman" w:eastAsia="Times New Roman" w:hAnsi="Times New Roman" w:cs="Times New Roman"/>
          <w:sz w:val="20"/>
          <w:szCs w:val="20"/>
        </w:rPr>
        <w:t> Schmidt, 1997</w:t>
      </w:r>
    </w:p>
  </w:footnote>
  <w:footnote w:id="135">
    <w:p>
      <w:pPr>
        <w:pStyle w:val="FootnoteText"/>
      </w:pPr>
      <w:r>
        <w:rPr>
          <w:rStyle w:val="FootnoteReference"/>
        </w:rPr>
        <w:footnoteRef/>
      </w:r>
      <w:r>
        <w:rPr>
          <w:rFonts w:ascii="Times New Roman" w:eastAsia="Times New Roman" w:hAnsi="Times New Roman" w:cs="Times New Roman"/>
          <w:sz w:val="20"/>
          <w:szCs w:val="20"/>
        </w:rPr>
        <w:t> Arte &amp; Larimo, 2022</w:t>
      </w:r>
    </w:p>
  </w:footnote>
  <w:footnote w:id="136">
    <w:p>
      <w:pPr>
        <w:pStyle w:val="FootnoteText"/>
      </w:pPr>
      <w:r>
        <w:rPr>
          <w:rStyle w:val="FootnoteReference"/>
        </w:rPr>
        <w:footnoteRef/>
      </w:r>
      <w:r>
        <w:rPr>
          <w:rFonts w:ascii="Times New Roman" w:eastAsia="Times New Roman" w:hAnsi="Times New Roman" w:cs="Times New Roman"/>
          <w:sz w:val="20"/>
          <w:szCs w:val="20"/>
        </w:rPr>
        <w:t> Mammen et al., 2021</w:t>
      </w:r>
    </w:p>
  </w:footnote>
  <w:footnote w:id="137">
    <w:p>
      <w:pPr>
        <w:pStyle w:val="FootnoteText"/>
      </w:pPr>
      <w:r>
        <w:rPr>
          <w:rStyle w:val="FootnoteReference"/>
        </w:rPr>
        <w:footnoteRef/>
      </w:r>
      <w:r>
        <w:rPr>
          <w:rFonts w:ascii="Times New Roman" w:eastAsia="Times New Roman" w:hAnsi="Times New Roman" w:cs="Times New Roman"/>
          <w:sz w:val="20"/>
          <w:szCs w:val="20"/>
        </w:rPr>
        <w:t> Taneo et al., 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lvl w:ilvl="0" w:tplc="07FA4E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multiLevelType w:val="hybridMultilevel"/>
    <w:lvl w:ilvl="0" w:tplc="141CD4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multiLevelType w:val="hybridMultilevel"/>
    <w:lvl w:ilvl="0" w:tplc="40348366">
      <w:start w:val="1"/>
      <w:numFmt w:val="bullet"/>
      <w:lvlText w:val="●"/>
      <w:lvlJc w:val="left"/>
      <w:pPr>
        <w:ind w:left="720" w:hanging="360"/>
      </w:pPr>
    </w:lvl>
    <w:lvl w:ilvl="1" w:tplc="84845566">
      <w:start w:val="1"/>
      <w:numFmt w:val="bullet"/>
      <w:lvlText w:val="○"/>
      <w:lvlJc w:val="left"/>
      <w:pPr>
        <w:ind w:left="1440" w:hanging="360"/>
      </w:pPr>
    </w:lvl>
    <w:lvl w:ilvl="2" w:tplc="BD9A7008">
      <w:start w:val="1"/>
      <w:numFmt w:val="bullet"/>
      <w:lvlText w:val="■"/>
      <w:lvlJc w:val="left"/>
      <w:pPr>
        <w:ind w:left="2160" w:hanging="360"/>
      </w:pPr>
    </w:lvl>
    <w:lvl w:ilvl="3" w:tplc="72DCD10E">
      <w:start w:val="1"/>
      <w:numFmt w:val="bullet"/>
      <w:lvlText w:val="●"/>
      <w:lvlJc w:val="left"/>
      <w:pPr>
        <w:ind w:left="2880" w:hanging="360"/>
      </w:pPr>
    </w:lvl>
    <w:lvl w:ilvl="4" w:tplc="A82E5F9E">
      <w:start w:val="1"/>
      <w:numFmt w:val="bullet"/>
      <w:lvlText w:val="○"/>
      <w:lvlJc w:val="left"/>
      <w:pPr>
        <w:ind w:left="3600" w:hanging="360"/>
      </w:pPr>
    </w:lvl>
    <w:lvl w:ilvl="5" w:tplc="CB20117C">
      <w:start w:val="1"/>
      <w:numFmt w:val="bullet"/>
      <w:lvlText w:val="■"/>
      <w:lvlJc w:val="left"/>
      <w:pPr>
        <w:ind w:left="4320" w:hanging="360"/>
      </w:pPr>
    </w:lvl>
    <w:lvl w:ilvl="6" w:tplc="0986B4DC">
      <w:start w:val="1"/>
      <w:numFmt w:val="bullet"/>
      <w:lvlText w:val="●"/>
      <w:lvlJc w:val="left"/>
      <w:pPr>
        <w:ind w:left="5040" w:hanging="360"/>
      </w:pPr>
    </w:lvl>
    <w:lvl w:ilvl="7" w:tplc="EB665D00">
      <w:start w:val="1"/>
      <w:numFmt w:val="bullet"/>
      <w:lvlText w:val="●"/>
      <w:lvlJc w:val="left"/>
      <w:pPr>
        <w:ind w:left="5760" w:hanging="360"/>
      </w:pPr>
    </w:lvl>
    <w:lvl w:ilvl="8" w:tplc="5540EAF2">
      <w:start w:val="1"/>
      <w:numFmt w:val="bullet"/>
      <w:lvlText w:val="●"/>
      <w:lvlJc w:val="left"/>
      <w:pPr>
        <w:ind w:left="6480" w:hanging="360"/>
      </w:pPr>
    </w:lvl>
  </w:abstractNum>
  <w:num w:numId="1">
    <w:abstractNumId w:val="0"/>
  </w:num>
  <w:num w:numId="2">
    <w:abstractNumId w:val="1"/>
  </w:num>
  <w:num w:numId="3">
    <w:abstractNumId w:val="2"/>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updateFields w:val="true"/>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7FE60"/>
  <w15:chartTrackingRefBased/>
  <w15:docId w15:val="{12F24094-C072-44DD-ABA7-59361B790552}"/>
</w:settings>
</file>

<file path=word/styles.xml><?xml version="1.0" encoding="utf-8"?>
<w:styles xmlns:w="http://schemas.openxmlformats.org/wordprocessingml/2006/main">
  <w:docDefaults>
    <w:rPrDefault>
      <w:rPr>
        <w:rFonts w:ascii="B Nazanin" w:eastAsia="B Nazanin" w:hAnsi="B Nazanin" w:cs="B Nazanin"/>
        <w:sz w:val="28"/>
        <w:szCs w:val="28"/>
        <w:lang w:val="en-US" w:eastAsia="en-US" w:bidi="fa-IR"/>
      </w:rPr>
    </w:rPrDefault>
    <w:pPrDefault>
      <w:pPr>
        <w:spacing w:after="0" w:line="276"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1">
    <w:name w:val="heading 1"/>
    <w:basedOn w:val="Normal"/>
    <w:next w:val="Normal"/>
    <w:uiPriority w:val="9"/>
    <w:qFormat/>
    <w:pPr>
      <w:keepNext/>
      <w:keepLines/>
      <w:bidi/>
      <w:spacing w:before="0" w:after="0" w:line="240" w:lineRule="auto"/>
      <w:jc w:val="center"/>
      <w:outlineLvl w:val="0"/>
    </w:pPr>
    <w:rPr>
      <w:rFonts w:ascii="B Titr" w:eastAsia="B Titr" w:hAnsi="B Titr" w:cs="B Titr"/>
      <w:b/>
      <w:bCs/>
      <w:color w:val="000000"/>
      <w:sz w:val="36"/>
      <w:szCs w:val="36"/>
      <w:rtl/>
    </w:rPr>
  </w:style>
  <w:style w:type="paragraph" w:styleId="Heading2">
    <w:name w:val="heading 2"/>
    <w:basedOn w:val="Normal"/>
    <w:next w:val="Normal"/>
    <w:uiPriority w:val="9"/>
    <w:qFormat/>
    <w:pPr>
      <w:keepNext/>
      <w:keepLines/>
      <w:bidi/>
      <w:spacing w:before="240" w:after="80" w:line="240" w:lineRule="auto"/>
      <w:outlineLvl w:val="1"/>
    </w:pPr>
    <w:rPr>
      <w:rFonts w:ascii="B Nazanin" w:eastAsia="B Nazanin" w:hAnsi="B Nazanin" w:cs="B Nazanin"/>
      <w:b/>
      <w:bCs/>
      <w:color w:val="000000"/>
      <w:sz w:val="32"/>
      <w:szCs w:val="32"/>
      <w:rtl/>
    </w:rPr>
  </w:style>
  <w:style w:type="paragraph" w:styleId="Heading3">
    <w:name w:val="heading 3"/>
    <w:basedOn w:val="Normal"/>
    <w:next w:val="Normal"/>
    <w:uiPriority w:val="9"/>
    <w:qFormat/>
    <w:pPr>
      <w:keepNext/>
      <w:keepLines/>
      <w:bidi/>
      <w:spacing w:before="180" w:after="80" w:line="240" w:lineRule="auto"/>
      <w:outlineLvl w:val="2"/>
    </w:pPr>
    <w:rPr>
      <w:rFonts w:ascii="B Nazanin" w:eastAsia="B Nazanin" w:hAnsi="B Nazanin" w:cs="B Nazanin"/>
      <w:b/>
      <w:bCs/>
      <w:color w:val="000000"/>
      <w:sz w:val="28"/>
      <w:szCs w:val="28"/>
      <w:rtl/>
    </w:rPr>
  </w:style>
  <w:style w:type="paragraph" w:styleId="Heading4">
    <w:name w:val="heading 4"/>
    <w:basedOn w:val="Normal"/>
    <w:next w:val="Normal"/>
    <w:uiPriority w:val="9"/>
    <w:qFormat/>
    <w:pPr>
      <w:keepNext/>
      <w:keepLines/>
      <w:bidi/>
      <w:spacing w:before="180" w:after="80" w:line="240" w:lineRule="auto"/>
      <w:outlineLvl w:val="3"/>
    </w:pPr>
    <w:rPr>
      <w:rFonts w:ascii="B Nazanin" w:eastAsia="B Nazanin" w:hAnsi="B Nazanin" w:cs="B Nazanin"/>
      <w:b/>
      <w:bCs/>
      <w:color w:val="000000"/>
      <w:sz w:val="28"/>
      <w:szCs w:val="28"/>
      <w:rtl/>
    </w:rPr>
  </w:style>
  <w:style w:type="paragraph" w:customStyle="1" w:styleId="AppendixSub">
    <w:name w:val="Appendix Sub-heading"/>
    <w:basedOn w:val="Normal"/>
    <w:next w:val="Normal"/>
    <w:qFormat/>
    <w:pPr>
      <w:keepNext/>
      <w:keepLines/>
      <w:bidi/>
      <w:spacing w:before="180" w:after="80" w:line="240" w:lineRule="auto"/>
    </w:pPr>
    <w:rPr>
      <w:b/>
      <w:bCs/>
      <w:sz w:val="28"/>
      <w:szCs w:val="28"/>
      <w:rtl/>
    </w:rPr>
  </w:style>
  <w:style w:type="paragraph" w:customStyle="1" w:styleId="FrontTitle">
    <w:name w:val="FrontTitle"/>
    <w:basedOn w:val="Normal"/>
    <w:qFormat/>
    <w:pPr>
      <w:bidi/>
      <w:spacing w:after="0" w:line="240" w:lineRule="auto"/>
      <w:jc w:val="center"/>
    </w:pPr>
    <w:rPr>
      <w:b/>
      <w:bCs/>
      <w:sz w:val="28"/>
      <w:szCs w:val="28"/>
      <w:rtl/>
    </w:rPr>
  </w:style>
  <w:style w:type="paragraph" w:styleId="ListParagraph">
    <w:name w:val="List Paragraph"/>
    <w:basedOn w:val="Normal"/>
    <w:uiPriority w:val="34"/>
    <w:qFormat/>
  </w:style>
  <w:style w:type="paragraph" w:customStyle="1" w:styleId="TableCaption">
    <w:name w:val="Table Caption"/>
    <w:basedOn w:val="Normal"/>
    <w:qFormat/>
    <w:pPr>
      <w:keepNext/>
      <w:bidi/>
      <w:spacing w:before="160" w:after="80" w:line="240" w:lineRule="auto"/>
      <w:jc w:val="center"/>
    </w:pPr>
    <w:rPr>
      <w:b/>
      <w:bCs/>
      <w:sz w:val="24"/>
      <w:szCs w:val="24"/>
      <w:rtl/>
    </w:rPr>
  </w:style>
  <w:style w:type="paragraph" w:customStyle="1" w:styleId="FigureCaption">
    <w:name w:val="Figure Caption"/>
    <w:basedOn w:val="Normal"/>
    <w:qFormat/>
    <w:pPr>
      <w:bidi/>
      <w:spacing w:before="80" w:after="160" w:line="240" w:lineRule="auto"/>
    </w:pPr>
    <w:rPr>
      <w:b/>
      <w:bCs/>
      <w:sz w:val="24"/>
      <w:szCs w:val="24"/>
      <w:rtl/>
    </w:rPr>
  </w:style>
  <w:style w:type="paragraph" w:styleId="FootnoteText">
    <w:name w:val="footnote text"/>
    <w:basedOn w:val="Normal"/>
    <w:uiPriority w:val="99"/>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style>
  <w:style w:type="paragraph" w:styleId="TOC1">
    <w:name w:val="toc 1"/>
    <w:basedOn w:val="Normal"/>
    <w:next w:val="Normal"/>
    <w:uiPriority w:val="39"/>
    <w:pPr>
      <w:tabs>
        <w:tab w:val="right" w:leader="dot" w:pos="8788"/>
      </w:tabs>
      <w:bidi/>
      <w:spacing w:before="120" w:after="40" w:line="276" w:lineRule="auto"/>
      <w:ind w:left="454" w:hanging="454"/>
    </w:pPr>
    <w:rPr>
      <w:b/>
      <w:bCs/>
      <w:noProof/>
      <w:rtl/>
    </w:rPr>
  </w:style>
  <w:style w:type="paragraph" w:styleId="TOC2">
    <w:name w:val="toc 2"/>
    <w:basedOn w:val="Normal"/>
    <w:next w:val="Normal"/>
    <w:uiPriority w:val="39"/>
    <w:pPr>
      <w:tabs>
        <w:tab w:val="right" w:leader="dot" w:pos="8788"/>
      </w:tabs>
      <w:bidi/>
      <w:spacing w:after="40" w:line="276" w:lineRule="auto"/>
      <w:ind w:left="794" w:hanging="454"/>
    </w:pPr>
    <w:rPr>
      <w:noProof/>
      <w:rtl/>
    </w:rPr>
  </w:style>
  <w:style w:type="paragraph" w:styleId="TOC3">
    <w:name w:val="toc 3"/>
    <w:basedOn w:val="Normal"/>
    <w:next w:val="Normal"/>
    <w:uiPriority w:val="39"/>
    <w:pPr>
      <w:tabs>
        <w:tab w:val="right" w:leader="dot" w:pos="8788"/>
      </w:tabs>
      <w:bidi/>
      <w:spacing w:after="40" w:line="276" w:lineRule="auto"/>
      <w:ind w:left="1134" w:hanging="454"/>
    </w:pPr>
    <w:rPr>
      <w:noProof/>
      <w:rtl/>
    </w:rPr>
  </w:style>
  <w:style w:type="paragraph" w:styleId="TOC4">
    <w:name w:val="toc 4"/>
    <w:basedOn w:val="Normal"/>
    <w:next w:val="Normal"/>
    <w:uiPriority w:val="39"/>
    <w:pPr>
      <w:tabs>
        <w:tab w:val="right" w:leader="dot" w:pos="8788"/>
      </w:tabs>
      <w:bidi/>
      <w:spacing w:after="60" w:line="276" w:lineRule="auto"/>
      <w:ind w:left="567" w:hanging="567"/>
    </w:pPr>
    <w:rPr>
      <w:noProof/>
      <w:rtl/>
    </w:rPr>
  </w:style>
  <w:style w:type="paragraph" w:styleId="TableofFigures">
    <w:name w:val="table of figures"/>
    <w:basedOn w:val="Normal"/>
    <w:next w:val="Normal"/>
    <w:uiPriority w:val="99"/>
    <w:pPr>
      <w:tabs>
        <w:tab w:val="right" w:leader="dot" w:pos="8788"/>
      </w:tabs>
      <w:bidi/>
      <w:spacing w:after="60" w:line="276" w:lineRule="auto"/>
      <w:ind w:left="567" w:hanging="567"/>
    </w:pPr>
    <w:rPr>
      <w:noProof/>
      <w:rtl/>
    </w:rPr>
  </w:style>
  <w:style w:type="paragraph" w:styleId="Header">
    <w:name w:val="header"/>
    <w:basedOn w:val="Normal"/>
    <w:uiPriority w:val="99"/>
    <w:pPr>
      <w:tabs>
        <w:tab w:val="center" w:pos="4394"/>
        <w:tab w:val="right" w:pos="8788"/>
      </w:tabs>
      <w:spacing w:after="0" w:line="240" w:lineRule="auto"/>
    </w:pPr>
  </w:style>
  <w:style w:type="paragraph" w:styleId="Footer">
    <w:name w:val="footer"/>
    <w:basedOn w:val="Normal"/>
    <w:uiPriority w:val="99"/>
    <w:pPr>
      <w:tabs>
        <w:tab w:val="center" w:pos="4394"/>
        <w:tab w:val="right" w:pos="8788"/>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theme" Target="theme/theme1.xml"/><Relationship Id="rId10" Type="http://schemas.openxmlformats.org/officeDocument/2006/relationships/numbering" Target="numbering.xml"/><Relationship Id="rId11" Type="http://schemas.openxmlformats.org/officeDocument/2006/relationships/footnotes" Target="footnotes.xml"/><Relationship Id="rId12" Type="http://schemas.openxmlformats.org/officeDocument/2006/relationships/chart" Target="charts/chart1.xml"/><Relationship Id="rId13" Type="http://schemas.openxmlformats.org/officeDocument/2006/relationships/chart" Target="charts/chart2.xml"/><Relationship Id="rId14" Type="http://schemas.openxmlformats.org/officeDocument/2006/relationships/chart" Target="charts/chart3.xml"/><Relationship Id="rId15" Type="http://schemas.openxmlformats.org/officeDocument/2006/relationships/chart" Target="charts/chart4.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Sheet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a-IR"/>
  <c:roundedCorners val="0"/>
  <c:chart>
    <c:autoTitleDeleted val="1"/>
    <c:plotArea>
      <c:layout/>
      <c:pieChart>
        <c:varyColors val="1"/>
        <c:ser>
          <c:idx val="0"/>
          <c:order val="0"/>
          <c:tx>
            <c:strRef>
              <c:f>Sheet1!$B$1</c:f>
              <c:strCache>
                <c:ptCount val="1"/>
                <c:pt idx="0">
                  <c:v>فراوانی</c:v>
                </c:pt>
              </c:strCache>
            </c:strRef>
          </c:tx>
          <c:spPr>
            <a:ln w="19050">
              <a:solidFill>
                <a:srgbClr val="FFFFFF"/>
              </a:solidFill>
            </a:ln>
          </c:spPr>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dLbl>
              <c:idx val="0"/>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‏۱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۱۴٫۳٪</a:t>
                    </a:r>
                  </a:p>
                </c:rich>
              </c:tx>
              <c:spPr>
                <a:noFill/>
                <a:ln>
                  <a:noFill/>
                </a:ln>
              </c:spPr>
              <c:dLblPos val="outEnd"/>
              <c:showLegendKey val="0"/>
              <c:showVal val="1"/>
              <c:showCatName val="0"/>
              <c:showSerName val="0"/>
              <c:showPercent val="0"/>
              <c:showBubbleSize val="0"/>
            </c:dLbl>
            <c:dLbl>
              <c:idx val="1"/>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‏۲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۲۸٫۶٪</a:t>
                    </a:r>
                  </a:p>
                </c:rich>
              </c:tx>
              <c:spPr>
                <a:noFill/>
                <a:ln>
                  <a:noFill/>
                </a:ln>
              </c:spPr>
              <c:dLblPos val="outEnd"/>
              <c:showLegendKey val="0"/>
              <c:showVal val="1"/>
              <c:showCatName val="0"/>
              <c:showSerName val="0"/>
              <c:showPercent val="0"/>
              <c:showBubbleSize val="0"/>
            </c:dLbl>
            <c:dLbl>
              <c:idx val="2"/>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‏۳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۴۲٫۹٪</a:t>
                    </a:r>
                  </a:p>
                </c:rich>
              </c:tx>
              <c:spPr>
                <a:noFill/>
                <a:ln>
                  <a:noFill/>
                </a:ln>
              </c:spPr>
              <c:dLblPos val="outEnd"/>
              <c:showLegendKey val="0"/>
              <c:showVal val="1"/>
              <c:showCatName val="0"/>
              <c:showSerName val="0"/>
              <c:showPercent val="0"/>
              <c:showBubbleSize val="0"/>
            </c:dLbl>
            <c:dLbl>
              <c:idx val="3"/>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‏۱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۱۴٫۳٪</a:t>
                    </a:r>
                  </a:p>
                </c:rich>
              </c:tx>
              <c:spPr>
                <a:noFill/>
                <a:ln>
                  <a:noFill/>
                </a:ln>
              </c:spPr>
              <c:dLblPos val="outEnd"/>
              <c:showLegendKey val="0"/>
              <c:showVal val="1"/>
              <c:showCatName val="0"/>
              <c:showSerName val="0"/>
              <c:showPercent val="0"/>
              <c:showBubbleSize val="0"/>
            </c:dLbl>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dLblPos val="outEnd"/>
            <c:showLegendKey val="0"/>
            <c:showVal val="1"/>
            <c:showCatName val="0"/>
            <c:showSerName val="0"/>
            <c:showPercent val="0"/>
            <c:showBubbleSize val="0"/>
            <c:showLeaderLines val="1"/>
            <c:leaderLines>
              <c:spPr>
                <a:ln w="9525">
                  <a:solidFill>
                    <a:srgbClr val="898781"/>
                  </a:solidFill>
                </a:ln>
              </c:spPr>
            </c:leaderLines>
          </c:dLbls>
          <c:cat>
            <c:strRef>
              <c:f>Sheet1!$A$2:$A$5</c:f>
              <c:strCache>
                <c:ptCount val="4"/>
                <c:pt idx="0">
                  <c:v>عضو هیئت علمی</c:v>
                </c:pt>
                <c:pt idx="1">
                  <c:v>مدیر فروش</c:v>
                </c:pt>
                <c:pt idx="2">
                  <c:v>کارشناس فروش</c:v>
                </c:pt>
                <c:pt idx="3">
                  <c:v>مدیر برنامه‌ریزی تولید</c:v>
                </c:pt>
              </c:strCache>
            </c:strRef>
          </c:cat>
          <c:val>
            <c:numRef>
              <c:f>Sheet1!$B$2:$B$5</c:f>
              <c:numCache>
                <c:formatCode>General</c:formatCode>
                <c:ptCount val="4"/>
                <c:pt idx="0">
                  <c:v>1</c:v>
                </c:pt>
                <c:pt idx="1">
                  <c:v>2</c:v>
                </c:pt>
                <c:pt idx="2">
                  <c:v>3</c:v>
                </c:pt>
                <c:pt idx="3">
                  <c:v>1</c:v>
                </c:pt>
              </c:numCache>
            </c:numRef>
          </c:val>
        </c:ser>
        <c:firstSliceAng val="0"/>
      </c:pieChart>
      <c:spPr>
        <a:noFill/>
        <a:ln>
          <a:noFill/>
        </a:ln>
      </c:spPr>
    </c:plotArea>
    <c:legend>
      <c:legendPos val="r"/>
      <c:overlay val="0"/>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legend>
    <c:plotVisOnly val="1"/>
    <c:dispBlanksAs val="gap"/>
  </c:chart>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fa-IR"/>
  <c:roundedCorners val="0"/>
  <c:chart>
    <c:autoTitleDeleted val="1"/>
    <c:plotArea>
      <c:layout/>
      <c:pieChart>
        <c:varyColors val="1"/>
        <c:ser>
          <c:idx val="0"/>
          <c:order val="0"/>
          <c:tx>
            <c:strRef>
              <c:f>Sheet1!$B$1</c:f>
              <c:strCache>
                <c:ptCount val="1"/>
                <c:pt idx="0">
                  <c:v>فراوانی</c:v>
                </c:pt>
              </c:strCache>
            </c:strRef>
          </c:tx>
          <c:spPr>
            <a:ln w="19050">
              <a:solidFill>
                <a:srgbClr val="FFFFFF"/>
              </a:solidFill>
            </a:ln>
          </c:spPr>
          <c:dPt>
            <c:idx val="0"/>
            <c:bubble3D val="0"/>
            <c:spPr>
              <a:solidFill>
                <a:srgbClr val="104281"/>
              </a:solidFill>
              <a:ln w="19050">
                <a:solidFill>
                  <a:srgbClr val="FFFFFF"/>
                </a:solidFill>
              </a:ln>
            </c:spPr>
          </c:dPt>
          <c:dPt>
            <c:idx val="1"/>
            <c:bubble3D val="0"/>
            <c:spPr>
              <a:solidFill>
                <a:srgbClr val="256ABF"/>
              </a:solidFill>
              <a:ln w="19050">
                <a:solidFill>
                  <a:srgbClr val="FFFFFF"/>
                </a:solidFill>
              </a:ln>
            </c:spPr>
          </c:dPt>
          <c:dPt>
            <c:idx val="2"/>
            <c:bubble3D val="0"/>
            <c:spPr>
              <a:solidFill>
                <a:srgbClr val="5598E7"/>
              </a:solidFill>
              <a:ln w="19050">
                <a:solidFill>
                  <a:srgbClr val="FFFFFF"/>
                </a:solidFill>
              </a:ln>
            </c:spPr>
          </c:dPt>
          <c:dPt>
            <c:idx val="3"/>
            <c:bubble3D val="0"/>
            <c:spPr>
              <a:solidFill>
                <a:srgbClr val="86B6EF"/>
              </a:solidFill>
              <a:ln w="19050">
                <a:solidFill>
                  <a:srgbClr val="FFFFFF"/>
                </a:solidFill>
              </a:ln>
            </c:spPr>
          </c:dPt>
          <c:dLbls>
            <c:dLbl>
              <c:idx val="0"/>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‏۳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۴۲٫۹٪</a:t>
                    </a:r>
                  </a:p>
                </c:rich>
              </c:tx>
              <c:spPr>
                <a:noFill/>
                <a:ln>
                  <a:noFill/>
                </a:ln>
              </c:spPr>
              <c:dLblPos val="outEnd"/>
              <c:showLegendKey val="0"/>
              <c:showVal val="1"/>
              <c:showCatName val="0"/>
              <c:showSerName val="0"/>
              <c:showPercent val="0"/>
              <c:showBubbleSize val="0"/>
            </c:dLbl>
            <c:dLbl>
              <c:idx val="1"/>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‏۱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۱۴٫۳٪</a:t>
                    </a:r>
                  </a:p>
                </c:rich>
              </c:tx>
              <c:spPr>
                <a:noFill/>
                <a:ln>
                  <a:noFill/>
                </a:ln>
              </c:spPr>
              <c:dLblPos val="outEnd"/>
              <c:showLegendKey val="0"/>
              <c:showVal val="1"/>
              <c:showCatName val="0"/>
              <c:showSerName val="0"/>
              <c:showPercent val="0"/>
              <c:showBubbleSize val="0"/>
            </c:dLbl>
            <c:dLbl>
              <c:idx val="2"/>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‏۱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۱۴٫۳٪</a:t>
                    </a:r>
                  </a:p>
                </c:rich>
              </c:tx>
              <c:spPr>
                <a:noFill/>
                <a:ln>
                  <a:noFill/>
                </a:ln>
              </c:spPr>
              <c:dLblPos val="outEnd"/>
              <c:showLegendKey val="0"/>
              <c:showVal val="1"/>
              <c:showCatName val="0"/>
              <c:showSerName val="0"/>
              <c:showPercent val="0"/>
              <c:showBubbleSize val="0"/>
            </c:dLbl>
            <c:dLbl>
              <c:idx val="3"/>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‏۲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۲۸٫۶٪</a:t>
                    </a:r>
                  </a:p>
                </c:rich>
              </c:tx>
              <c:spPr>
                <a:noFill/>
                <a:ln>
                  <a:noFill/>
                </a:ln>
              </c:spPr>
              <c:dLblPos val="outEnd"/>
              <c:showLegendKey val="0"/>
              <c:showVal val="1"/>
              <c:showCatName val="0"/>
              <c:showSerName val="0"/>
              <c:showPercent val="0"/>
              <c:showBubbleSize val="0"/>
            </c:dLbl>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dLblPos val="outEnd"/>
            <c:showLegendKey val="0"/>
            <c:showVal val="1"/>
            <c:showCatName val="0"/>
            <c:showSerName val="0"/>
            <c:showPercent val="0"/>
            <c:showBubbleSize val="0"/>
            <c:showLeaderLines val="1"/>
            <c:leaderLines>
              <c:spPr>
                <a:ln w="9525">
                  <a:solidFill>
                    <a:srgbClr val="898781"/>
                  </a:solidFill>
                </a:ln>
              </c:spPr>
            </c:leaderLines>
          </c:dLbls>
          <c:cat>
            <c:strRef>
              <c:f>Sheet1!$A$2:$A$5</c:f>
              <c:strCache>
                <c:ptCount val="4"/>
                <c:pt idx="0">
                  <c:v>دکترا</c:v>
                </c:pt>
                <c:pt idx="1">
                  <c:v>کارشناسی ارشد</c:v>
                </c:pt>
                <c:pt idx="2">
                  <c:v>کارشناسی</c:v>
                </c:pt>
                <c:pt idx="3">
                  <c:v>دیپلم</c:v>
                </c:pt>
              </c:strCache>
            </c:strRef>
          </c:cat>
          <c:val>
            <c:numRef>
              <c:f>Sheet1!$B$2:$B$5</c:f>
              <c:numCache>
                <c:formatCode>General</c:formatCode>
                <c:ptCount val="4"/>
                <c:pt idx="0">
                  <c:v>3</c:v>
                </c:pt>
                <c:pt idx="1">
                  <c:v>1</c:v>
                </c:pt>
                <c:pt idx="2">
                  <c:v>1</c:v>
                </c:pt>
                <c:pt idx="3">
                  <c:v>2</c:v>
                </c:pt>
              </c:numCache>
            </c:numRef>
          </c:val>
        </c:ser>
        <c:firstSliceAng val="0"/>
      </c:pieChart>
      <c:spPr>
        <a:noFill/>
        <a:ln>
          <a:noFill/>
        </a:ln>
      </c:spPr>
    </c:plotArea>
    <c:legend>
      <c:legendPos val="r"/>
      <c:overlay val="0"/>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legend>
    <c:plotVisOnly val="1"/>
    <c:dispBlanksAs val="gap"/>
  </c:chart>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fa-IR"/>
  <c:roundedCorners val="0"/>
  <c:chart>
    <c:autoTitleDeleted val="1"/>
    <c:plotArea>
      <c:layout/>
      <c:pieChart>
        <c:varyColors val="1"/>
        <c:ser>
          <c:idx val="0"/>
          <c:order val="0"/>
          <c:tx>
            <c:strRef>
              <c:f>Sheet1!$B$1</c:f>
              <c:strCache>
                <c:ptCount val="1"/>
                <c:pt idx="0">
                  <c:v>فراوانی</c:v>
                </c:pt>
              </c:strCache>
            </c:strRef>
          </c:tx>
          <c:spPr>
            <a:ln w="19050">
              <a:solidFill>
                <a:srgbClr val="FFFFFF"/>
              </a:solidFill>
            </a:ln>
          </c:spPr>
          <c:dPt>
            <c:idx val="0"/>
            <c:bubble3D val="0"/>
            <c:spPr>
              <a:solidFill>
                <a:srgbClr val="86B6EF"/>
              </a:solidFill>
              <a:ln w="19050">
                <a:solidFill>
                  <a:srgbClr val="FFFFFF"/>
                </a:solidFill>
              </a:ln>
            </c:spPr>
          </c:dPt>
          <c:dPt>
            <c:idx val="1"/>
            <c:bubble3D val="0"/>
            <c:spPr>
              <a:solidFill>
                <a:srgbClr val="5598E7"/>
              </a:solidFill>
              <a:ln w="19050">
                <a:solidFill>
                  <a:srgbClr val="FFFFFF"/>
                </a:solidFill>
              </a:ln>
            </c:spPr>
          </c:dPt>
          <c:dPt>
            <c:idx val="2"/>
            <c:bubble3D val="0"/>
            <c:spPr>
              <a:solidFill>
                <a:srgbClr val="256ABF"/>
              </a:solidFill>
              <a:ln w="19050">
                <a:solidFill>
                  <a:srgbClr val="FFFFFF"/>
                </a:solidFill>
              </a:ln>
            </c:spPr>
          </c:dPt>
          <c:dPt>
            <c:idx val="3"/>
            <c:bubble3D val="0"/>
            <c:spPr>
              <a:solidFill>
                <a:srgbClr val="104281"/>
              </a:solidFill>
              <a:ln w="19050">
                <a:solidFill>
                  <a:srgbClr val="FFFFFF"/>
                </a:solidFill>
              </a:ln>
            </c:spPr>
          </c:dPt>
          <c:dLbls>
            <c:dLbl>
              <c:idx val="0"/>
              <c:delete val="1"/>
            </c:dLbl>
            <c:dLbl>
              <c:idx val="1"/>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‏۴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۵۷٫۱٪</a:t>
                    </a:r>
                  </a:p>
                </c:rich>
              </c:tx>
              <c:spPr>
                <a:noFill/>
                <a:ln>
                  <a:noFill/>
                </a:ln>
              </c:spPr>
              <c:dLblPos val="outEnd"/>
              <c:showLegendKey val="0"/>
              <c:showVal val="1"/>
              <c:showCatName val="0"/>
              <c:showSerName val="0"/>
              <c:showPercent val="0"/>
              <c:showBubbleSize val="0"/>
            </c:dLbl>
            <c:dLbl>
              <c:idx val="2"/>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‏۳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۴۲٫۹٪</a:t>
                    </a:r>
                  </a:p>
                </c:rich>
              </c:tx>
              <c:spPr>
                <a:noFill/>
                <a:ln>
                  <a:noFill/>
                </a:ln>
              </c:spPr>
              <c:dLblPos val="outEnd"/>
              <c:showLegendKey val="0"/>
              <c:showVal val="1"/>
              <c:showCatName val="0"/>
              <c:showSerName val="0"/>
              <c:showPercent val="0"/>
              <c:showBubbleSize val="0"/>
            </c:dLbl>
            <c:dLbl>
              <c:idx val="3"/>
              <c:delete val="1"/>
            </c:dLbl>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dLblPos val="outEnd"/>
            <c:showLegendKey val="0"/>
            <c:showVal val="1"/>
            <c:showCatName val="0"/>
            <c:showSerName val="0"/>
            <c:showPercent val="0"/>
            <c:showBubbleSize val="0"/>
            <c:showLeaderLines val="1"/>
            <c:leaderLines>
              <c:spPr>
                <a:ln w="9525">
                  <a:solidFill>
                    <a:srgbClr val="898781"/>
                  </a:solidFill>
                </a:ln>
              </c:spPr>
            </c:leaderLines>
          </c:dLbls>
          <c:cat>
            <c:strRef>
              <c:f>Sheet1!$A$2:$A$5</c:f>
              <c:strCache>
                <c:ptCount val="4"/>
                <c:pt idx="0">
                  <c:v>کمتر از ۵ سال</c:v>
                </c:pt>
                <c:pt idx="1">
                  <c:v>‏۵ تا ۱۰ سال</c:v>
                </c:pt>
                <c:pt idx="2">
                  <c:v>‏۱۱ تا ۲۰ سال</c:v>
                </c:pt>
                <c:pt idx="3">
                  <c:v>بیش از ۲۰ سال</c:v>
                </c:pt>
              </c:strCache>
            </c:strRef>
          </c:cat>
          <c:val>
            <c:numRef>
              <c:f>Sheet1!$B$2:$B$5</c:f>
              <c:numCache>
                <c:formatCode>General</c:formatCode>
                <c:ptCount val="4"/>
                <c:pt idx="0">
                  <c:v>0</c:v>
                </c:pt>
                <c:pt idx="1">
                  <c:v>4</c:v>
                </c:pt>
                <c:pt idx="2">
                  <c:v>3</c:v>
                </c:pt>
                <c:pt idx="3">
                  <c:v>0</c:v>
                </c:pt>
              </c:numCache>
            </c:numRef>
          </c:val>
        </c:ser>
        <c:firstSliceAng val="0"/>
      </c:pieChart>
      <c:spPr>
        <a:noFill/>
        <a:ln>
          <a:noFill/>
        </a:ln>
      </c:spPr>
    </c:plotArea>
    <c:legend>
      <c:legendPos val="r"/>
      <c:overlay val="0"/>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legend>
    <c:plotVisOnly val="1"/>
    <c:dispBlanksAs val="gap"/>
  </c:chart>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fa-IR"/>
  <c:roundedCorners val="0"/>
  <c:chart>
    <c:autoTitleDeleted val="1"/>
    <c:plotArea>
      <c:layout/>
      <c:pieChart>
        <c:varyColors val="1"/>
        <c:ser>
          <c:idx val="0"/>
          <c:order val="0"/>
          <c:tx>
            <c:strRef>
              <c:f>Sheet1!$B$1</c:f>
              <c:strCache>
                <c:ptCount val="1"/>
                <c:pt idx="0">
                  <c:v>فراوانی</c:v>
                </c:pt>
              </c:strCache>
            </c:strRef>
          </c:tx>
          <c:spPr>
            <a:ln w="19050">
              <a:solidFill>
                <a:srgbClr val="FFFFFF"/>
              </a:solidFill>
            </a:ln>
          </c:spPr>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C3C2B7"/>
              </a:solidFill>
              <a:ln w="19050">
                <a:solidFill>
                  <a:srgbClr val="FFFFFF"/>
                </a:solidFill>
              </a:ln>
            </c:spPr>
          </c:dPt>
          <c:dLbls>
            <c:dLbl>
              <c:idx val="0"/>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‏۱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۱۴٫۳٪</a:t>
                    </a:r>
                  </a:p>
                </c:rich>
              </c:tx>
              <c:spPr>
                <a:noFill/>
                <a:ln>
                  <a:noFill/>
                </a:ln>
              </c:spPr>
              <c:dLblPos val="outEnd"/>
              <c:showLegendKey val="0"/>
              <c:showVal val="1"/>
              <c:showCatName val="0"/>
              <c:showSerName val="0"/>
              <c:showPercent val="0"/>
              <c:showBubbleSize val="0"/>
            </c:dLbl>
            <c:dLbl>
              <c:idx val="1"/>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‏۲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۲۸٫۶٪</a:t>
                    </a:r>
                  </a:p>
                </c:rich>
              </c:tx>
              <c:spPr>
                <a:noFill/>
                <a:ln>
                  <a:noFill/>
                </a:ln>
              </c:spPr>
              <c:dLblPos val="outEnd"/>
              <c:showLegendKey val="0"/>
              <c:showVal val="1"/>
              <c:showCatName val="0"/>
              <c:showSerName val="0"/>
              <c:showPercent val="0"/>
              <c:showBubbleSize val="0"/>
            </c:dLbl>
            <c:dLbl>
              <c:idx val="2"/>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‏۱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۱۴٫۳٪</a:t>
                    </a:r>
                  </a:p>
                </c:rich>
              </c:tx>
              <c:spPr>
                <a:noFill/>
                <a:ln>
                  <a:noFill/>
                </a:ln>
              </c:spPr>
              <c:dLblPos val="outEnd"/>
              <c:showLegendKey val="0"/>
              <c:showVal val="1"/>
              <c:showCatName val="0"/>
              <c:showSerName val="0"/>
              <c:showPercent val="0"/>
              <c:showBubbleSize val="0"/>
            </c:dLbl>
            <c:dLbl>
              <c:idx val="3"/>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‏۳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۴۲٫۹٪</a:t>
                    </a:r>
                  </a:p>
                </c:rich>
              </c:tx>
              <c:spPr>
                <a:noFill/>
                <a:ln>
                  <a:noFill/>
                </a:ln>
              </c:spPr>
              <c:dLblPos val="outEnd"/>
              <c:showLegendKey val="0"/>
              <c:showVal val="1"/>
              <c:showCatName val="0"/>
              <c:showSerName val="0"/>
              <c:showPercent val="0"/>
              <c:showBubbleSize val="0"/>
            </c:dLbl>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dLblPos val="outEnd"/>
            <c:showLegendKey val="0"/>
            <c:showVal val="1"/>
            <c:showCatName val="0"/>
            <c:showSerName val="0"/>
            <c:showPercent val="0"/>
            <c:showBubbleSize val="0"/>
            <c:showLeaderLines val="1"/>
            <c:leaderLines>
              <c:spPr>
                <a:ln w="9525">
                  <a:solidFill>
                    <a:srgbClr val="898781"/>
                  </a:solidFill>
                </a:ln>
              </c:spPr>
            </c:leaderLines>
          </c:dLbls>
          <c:cat>
            <c:strRef>
              <c:f>Sheet1!$A$2:$A$5</c:f>
              <c:strCache>
                <c:ptCount val="4"/>
                <c:pt idx="0">
                  <c:v>فرآورده‌های لبنی</c:v>
                </c:pt>
                <c:pt idx="1">
                  <c:v>کره</c:v>
                </c:pt>
                <c:pt idx="2">
                  <c:v>حلوا ارده</c:v>
                </c:pt>
                <c:pt idx="3">
                  <c:v>ثبت‌نشده / سایر</c:v>
                </c:pt>
              </c:strCache>
            </c:strRef>
          </c:cat>
          <c:val>
            <c:numRef>
              <c:f>Sheet1!$B$2:$B$5</c:f>
              <c:numCache>
                <c:formatCode>General</c:formatCode>
                <c:ptCount val="4"/>
                <c:pt idx="0">
                  <c:v>1</c:v>
                </c:pt>
                <c:pt idx="1">
                  <c:v>2</c:v>
                </c:pt>
                <c:pt idx="2">
                  <c:v>1</c:v>
                </c:pt>
                <c:pt idx="3">
                  <c:v>3</c:v>
                </c:pt>
              </c:numCache>
            </c:numRef>
          </c:val>
        </c:ser>
        <c:firstSliceAng val="0"/>
      </c:pieChart>
      <c:spPr>
        <a:noFill/>
        <a:ln>
          <a:noFill/>
        </a:ln>
      </c:spPr>
    </c:plotArea>
    <c:legend>
      <c:legendPos val="r"/>
      <c:overlay val="0"/>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legend>
    <c:plotVisOnly val="1"/>
    <c:dispBlanksAs val="gap"/>
  </c:chart>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113</Pages>
  <Words>30757</Words>
  <Characters>142517</Characters>
  <Application>Microsoft Office Word</Application>
  <DocSecurity>0</DocSecurity>
  <Paragraphs>2238</Paragraphs>
  <ScaleCrop>false</ScaleCrop>
  <Company/>
  <LinksUpToDate>false</LinksUpToDate>
  <CharactersWithSpaces>173466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شناسایی و اولویت‌بندی چالش‌های فروش در شرکت‌های تک‌محصولی فعال در صنعت مواد غذایی (مطالعه‌ای کیفی مبتنی بر تحلیل مضمون)</dc:title>
  <dc:subject>پایان‌نامه کارشناسی ارشد مدیریت بازرگانی (مدیریت استراتژیک)</dc:subject>
  <dc:creator>taha abdollahi</dc:creator>
  <cp:keywords/>
  <dc:description/>
  <cp:lastModifiedBy>taha abdollahi</cp:lastModifiedBy>
  <cp:revision>1</cp:revision>
  <dcterms:created xsi:type="dcterms:W3CDTF">2026-10-21T14:54:00Z</dcterms:created>
  <dcterms:modified xsi:type="dcterms:W3CDTF">2026-10-21T14:57:00Z</dcterms:modified>
</cp:coreProperties>
</file>