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1"/>
        <w:bidi/>
        <w:spacing w:before="5600"/>
        <w:jc w:val="center"/>
      </w:pPr>
      <w:r>
        <w:t>پیوست‌ها</w:t>
      </w:r>
    </w:p>
    <w:p>
      <w:pPr>
        <w:bidi/>
        <w:jc w:val="lowKashida"/>
      </w:pPr>
      <w:r>
        <w:br w:type="page"/>
      </w:r>
    </w:p>
    <w:p>
      <w:pPr>
        <w:pStyle w:val="Heading2"/>
        <w:keepNext/>
        <w:pageBreakBefore/>
        <w:bidi/>
        <w:spacing w:before="0" w:after="80"/>
        <w:jc w:val="lowKashida"/>
      </w:pPr>
      <w:r>
        <w:t>پیوست الف: پرسشنامه دور نخست دلفی</w:t>
      </w:r>
    </w:p>
    <w:p>
      <w:pPr>
        <w:pStyle w:val="Heading3"/>
        <w:keepNext/>
        <w:bidi/>
        <w:spacing w:before="200" w:after="80"/>
        <w:jc w:val="lowKashida"/>
      </w:pPr>
      <w:r>
        <w:t>معرفی پژوهش و رضایت آگاهانه</w:t>
      </w:r>
    </w:p>
    <w:p>
      <w:pPr>
        <w:bidi/>
        <w:spacing w:after="60"/>
        <w:jc w:val="lowKashida"/>
      </w:pPr>
      <w:r>
        <w:rPr>
          <w:rtl/>
        </w:rPr>
        <w:t xml:space="preserve">با سلام و احترام،</w:t>
      </w:r>
    </w:p>
    <w:p>
      <w:pPr>
        <w:bidi/>
        <w:spacing w:after="60"/>
        <w:jc w:val="lowKashida"/>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lowKashida"/>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lowKashida"/>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کدهای خ۱ تا خ۲۴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lowKashida"/>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lowKashida"/>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lowKashida"/>
      </w:pPr>
    </w:p>
    <w:p>
      <w:pPr>
        <w:pStyle w:val="Heading3"/>
        <w:keepNext/>
        <w:bidi/>
        <w:spacing w:before="200" w:after="80"/>
        <w:jc w:val="lowKashida"/>
      </w:pPr>
      <w:r>
        <w:t>بخش نخست: مشخصات جمعیت‌شناختی</w:t>
      </w:r>
    </w:p>
    <w:p>
      <w:pPr>
        <w:bidi/>
        <w:spacing w:after="60"/>
        <w:jc w:val="lowKashida"/>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lowKashida"/>
      </w:pPr>
      <w:r>
        <w:rPr>
          <w:b/>
          <w:bCs/>
          <w:rtl/>
        </w:rPr>
        <w:t xml:space="preserve">۱. جایگاه شغلی:</w:t>
      </w:r>
    </w:p>
    <w:p>
      <w:pPr>
        <w:bidi/>
        <w:spacing w:after="60"/>
        <w:ind w:left="360"/>
        <w:jc w:val="lowKashida"/>
      </w:pPr>
      <w:r>
        <w:rPr>
          <w:rtl/>
        </w:rPr>
        <w:t xml:space="preserve">☐  عضو هیئت علمی</w:t>
      </w:r>
      <w:r>
        <w:rPr>
          <w:rtl/>
        </w:rPr>
        <w:t xml:space="preserve">      ☐  مدیر فروش</w:t>
      </w:r>
    </w:p>
    <w:p>
      <w:pPr>
        <w:bidi/>
        <w:spacing w:after="60"/>
        <w:ind w:left="360"/>
        <w:jc w:val="lowKashida"/>
      </w:pPr>
      <w:r>
        <w:rPr>
          <w:rtl/>
        </w:rPr>
        <w:t xml:space="preserve">☐  کارشناس فروش</w:t>
      </w:r>
      <w:r>
        <w:rPr>
          <w:rtl/>
        </w:rPr>
        <w:t xml:space="preserve">      ☐  کارشناس برنامه‌ریزی تولید</w:t>
      </w:r>
    </w:p>
    <w:p>
      <w:pPr>
        <w:bidi/>
        <w:spacing w:after="60"/>
      </w:pPr>
      <w:r>
        <w:rPr>
          <w:rtl/>
        </w:rPr>
        <w:t xml:space="preserve">سایر (لطفاً ذکر کنید): </w:t>
      </w:r>
      <w:r>
        <w:rPr>
          <w:u w:val="single"/>
          <w:rtl/>
        </w:rPr>
        <w:t xml:space="preserve">                              </w:t>
      </w:r>
    </w:p>
    <w:p>
      <w:pPr>
        <w:bidi/>
        <w:spacing w:after="60"/>
        <w:jc w:val="lowKashida"/>
      </w:pPr>
      <w:r>
        <w:rPr>
          <w:b/>
          <w:bCs/>
          <w:rtl/>
        </w:rPr>
        <w:t xml:space="preserve">۲. سطح تحصیلات:</w:t>
      </w:r>
    </w:p>
    <w:p>
      <w:pPr>
        <w:bidi/>
        <w:spacing w:after="60"/>
        <w:ind w:left="360"/>
        <w:jc w:val="lowKashida"/>
      </w:pPr>
      <w:r>
        <w:rPr>
          <w:rtl/>
        </w:rPr>
        <w:t xml:space="preserve">☐  دیپلم</w:t>
      </w:r>
      <w:r>
        <w:rPr>
          <w:rtl/>
        </w:rPr>
        <w:t xml:space="preserve">      ☐  کارشناسی</w:t>
      </w:r>
    </w:p>
    <w:p>
      <w:pPr>
        <w:bidi/>
        <w:spacing w:after="60"/>
        <w:ind w:left="360"/>
        <w:jc w:val="lowKashida"/>
      </w:pPr>
      <w:r>
        <w:rPr>
          <w:rtl/>
        </w:rPr>
        <w:t xml:space="preserve">☐  کارشناسی ارشد</w:t>
      </w:r>
      <w:r>
        <w:rPr>
          <w:rtl/>
        </w:rPr>
        <w:t xml:space="preserve">      ☐  دکترا</w:t>
      </w:r>
    </w:p>
    <w:p>
      <w:pPr>
        <w:bidi/>
        <w:spacing w:after="60"/>
        <w:jc w:val="lowKashida"/>
      </w:pPr>
      <w:r>
        <w:rPr>
          <w:b/>
          <w:bCs/>
          <w:rtl/>
        </w:rPr>
        <w:t xml:space="preserve">۳. سابقه فعالیت در حوزه فروش یا بازاریابی محصولات غذایی:</w:t>
      </w:r>
    </w:p>
    <w:p>
      <w:pPr>
        <w:bidi/>
        <w:spacing w:after="60"/>
        <w:ind w:left="360"/>
        <w:jc w:val="lowKashida"/>
      </w:pPr>
      <w:r>
        <w:rPr>
          <w:rtl/>
        </w:rPr>
        <w:t xml:space="preserve">☐  کمتر از ۵ سال</w:t>
      </w:r>
      <w:r>
        <w:rPr>
          <w:rtl/>
        </w:rPr>
        <w:t xml:space="preserve">      ☐  ۵ تا ۱۰ سال</w:t>
      </w:r>
    </w:p>
    <w:p>
      <w:pPr>
        <w:bidi/>
        <w:spacing w:after="60"/>
        <w:ind w:left="360"/>
        <w:jc w:val="lowKashida"/>
      </w:pPr>
      <w:r>
        <w:rPr>
          <w:rtl/>
        </w:rPr>
        <w:t xml:space="preserve">☐  ۱۱ تا ۲۰ سال</w:t>
      </w:r>
      <w:r>
        <w:rPr>
          <w:rtl/>
        </w:rPr>
        <w:t xml:space="preserve">      ☐  بیش از ۲۰ سال</w:t>
      </w:r>
    </w:p>
    <w:p>
      <w:pPr>
        <w:bidi/>
        <w:spacing w:after="60"/>
        <w:jc w:val="lowKashida"/>
      </w:pPr>
      <w:r>
        <w:rPr>
          <w:b/>
          <w:bCs/>
          <w:rtl/>
        </w:rPr>
        <w:t xml:space="preserve">۴. نوع محصول اصلی شرکت محل فعالیت:</w:t>
      </w:r>
    </w:p>
    <w:p>
      <w:pPr>
        <w:bidi/>
        <w:spacing w:after="60"/>
        <w:ind w:left="360"/>
        <w:jc w:val="lowKashida"/>
      </w:pPr>
      <w:r>
        <w:rPr>
          <w:rtl/>
        </w:rPr>
        <w:t xml:space="preserve">☐  فرآورده‌های لبنی</w:t>
      </w:r>
      <w:r>
        <w:rPr>
          <w:rtl/>
        </w:rPr>
        <w:t xml:space="preserve">      ☐  کره</w:t>
      </w:r>
    </w:p>
    <w:p>
      <w:pPr>
        <w:bidi/>
        <w:spacing w:after="60"/>
        <w:ind w:left="360"/>
        <w:jc w:val="lowKashida"/>
      </w:pPr>
      <w:r>
        <w:rPr>
          <w:rtl/>
        </w:rPr>
        <w:t xml:space="preserve">☐  حلوا ارده</w:t>
      </w:r>
      <w:r>
        <w:rPr>
          <w:rtl/>
        </w:rPr>
        <w:t xml:space="preserve">      ☐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lowKashida"/>
      </w:pPr>
    </w:p>
    <w:p>
      <w:pPr>
        <w:pStyle w:val="Heading3"/>
        <w:keepNext/>
        <w:bidi/>
        <w:spacing w:before="200" w:after="80"/>
        <w:jc w:val="lowKashida"/>
      </w:pPr>
      <w:r>
        <w:t>بخش دوم: پرسش اصلی پژوهش</w:t>
      </w:r>
    </w:p>
    <w:p>
      <w:pPr>
        <w:bidi/>
        <w:spacing w:after="60"/>
        <w:jc w:val="lowKashida"/>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lowKashida"/>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 xml:space="preserve">                                                         </w:t>
      </w:r>
    </w:p>
    <w:p>
      <w:pPr>
        <w:bidi/>
        <w:spacing w:after="60"/>
      </w:pPr>
      <w:r>
        <w:rPr>
          <w:rtl/>
        </w:rPr>
        <w:t xml:space="preserve">۲) </w:t>
      </w:r>
      <w:r>
        <w:rPr>
          <w:u w:val="single"/>
          <w:rtl/>
        </w:rPr>
        <w:t xml:space="preserve">                                                         </w:t>
      </w:r>
    </w:p>
    <w:p>
      <w:pPr>
        <w:bidi/>
        <w:spacing w:after="60"/>
      </w:pPr>
      <w:r>
        <w:rPr>
          <w:rtl/>
        </w:rPr>
        <w:t xml:space="preserve">۳) </w:t>
      </w:r>
      <w:r>
        <w:rPr>
          <w:u w:val="single"/>
          <w:rtl/>
        </w:rPr>
        <w:t xml:space="preserve">                                                         </w:t>
      </w:r>
    </w:p>
    <w:p>
      <w:pPr>
        <w:bidi/>
        <w:spacing w:after="60"/>
      </w:pPr>
      <w:r>
        <w:rPr>
          <w:rtl/>
        </w:rPr>
        <w:t xml:space="preserve">۴) </w:t>
      </w:r>
      <w:r>
        <w:rPr>
          <w:u w:val="single"/>
          <w:rtl/>
        </w:rPr>
        <w:t xml:space="preserve">                                                         </w:t>
      </w:r>
    </w:p>
    <w:p>
      <w:pPr>
        <w:bidi/>
        <w:spacing w:after="60"/>
      </w:pPr>
      <w:r>
        <w:rPr>
          <w:rtl/>
        </w:rPr>
        <w:t xml:space="preserve">۵) </w:t>
      </w:r>
      <w:r>
        <w:rPr>
          <w:u w:val="single"/>
          <w:rtl/>
        </w:rPr>
        <w:t xml:space="preserve">                                                         </w:t>
      </w:r>
    </w:p>
    <w:p>
      <w:pPr>
        <w:bidi/>
        <w:spacing w:after="60"/>
      </w:pPr>
      <w:r>
        <w:rPr>
          <w:rtl/>
        </w:rPr>
        <w:t xml:space="preserve">۶) </w:t>
      </w:r>
      <w:r>
        <w:rPr>
          <w:u w:val="single"/>
          <w:rtl/>
        </w:rPr>
        <w:t xml:space="preserve">                                                         </w:t>
      </w:r>
    </w:p>
    <w:p>
      <w:pPr>
        <w:bidi/>
        <w:spacing w:after="60"/>
      </w:pPr>
      <w:r>
        <w:rPr>
          <w:rtl/>
        </w:rPr>
        <w:t xml:space="preserve">۷) </w:t>
      </w:r>
      <w:r>
        <w:rPr>
          <w:u w:val="single"/>
          <w:rtl/>
        </w:rPr>
        <w:t xml:space="preserve">                                                         </w:t>
      </w:r>
    </w:p>
    <w:p>
      <w:pPr>
        <w:bidi/>
        <w:spacing w:after="60"/>
      </w:pPr>
      <w:r>
        <w:rPr>
          <w:rtl/>
        </w:rPr>
        <w:t xml:space="preserve">۸) </w:t>
      </w:r>
      <w:r>
        <w:rPr>
          <w:u w:val="single"/>
          <w:rtl/>
        </w:rPr>
        <w:t xml:space="preserve">                                                         </w:t>
      </w:r>
    </w:p>
    <w:p>
      <w:pPr>
        <w:bidi/>
        <w:spacing w:after="60"/>
      </w:pPr>
      <w:r>
        <w:rPr>
          <w:rtl/>
        </w:rPr>
        <w:t xml:space="preserve">۹) </w:t>
      </w:r>
      <w:r>
        <w:rPr>
          <w:u w:val="single"/>
          <w:rtl/>
        </w:rPr>
        <w:t xml:space="preserve">                                                         </w:t>
      </w:r>
    </w:p>
    <w:p>
      <w:pPr>
        <w:bidi/>
        <w:spacing w:after="60"/>
      </w:pPr>
      <w:r>
        <w:rPr>
          <w:rtl/>
        </w:rPr>
        <w:t xml:space="preserve">۱۰) </w:t>
      </w:r>
      <w:r>
        <w:rPr>
          <w:u w:val="single"/>
          <w:rtl/>
        </w:rPr>
        <w:t xml:space="preserve">                                                        </w:t>
      </w:r>
    </w:p>
    <w:p>
      <w:pPr>
        <w:bidi/>
        <w:spacing w:after="60"/>
        <w:jc w:val="lowKashida"/>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lowKashida"/>
      </w:pPr>
    </w:p>
    <w:p>
      <w:pPr>
        <w:pStyle w:val="Heading3"/>
        <w:keepNext/>
        <w:bidi/>
        <w:spacing w:before="200" w:after="80"/>
        <w:jc w:val="lowKashida"/>
      </w:pPr>
      <w:r>
        <w:t>پایان پرسشنامه</w:t>
      </w:r>
    </w:p>
    <w:p>
      <w:pPr>
        <w:bidi/>
        <w:spacing w:after="60"/>
        <w:jc w:val="lowKashida"/>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jc w:val="lowKashida"/>
      </w:pPr>
      <w:r>
        <w:t>پیوست ب: پرسشنامه دور دوم دلفی (رتبه‌بندی گویه‌ها)</w:t>
      </w:r>
    </w:p>
    <w:p>
      <w:pPr>
        <w:pStyle w:val="Heading3"/>
        <w:keepNext/>
        <w:bidi/>
        <w:spacing w:before="200" w:after="80"/>
        <w:jc w:val="lowKashida"/>
      </w:pPr>
      <w:r>
        <w:t>معرفی و راهنمای تکمیل</w:t>
      </w:r>
    </w:p>
    <w:p>
      <w:pPr>
        <w:bidi/>
        <w:spacing w:after="60"/>
        <w:jc w:val="lowKashida"/>
      </w:pPr>
      <w:r>
        <w:rPr>
          <w:rtl/>
        </w:rPr>
        <w:t xml:space="preserve">با سلام و احترام،</w:t>
      </w:r>
    </w:p>
    <w:p>
      <w:pPr>
        <w:bidi/>
        <w:spacing w:after="60"/>
        <w:jc w:val="lowKashida"/>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lowKashida"/>
      </w:pPr>
      <w:r>
        <w:rPr>
          <w:b/>
          <w:bCs/>
          <w:rtl/>
        </w:rPr>
        <w:t xml:space="preserve">طیف رتبه‌بندی:</w:t>
      </w:r>
    </w:p>
    <w:p>
      <w:pPr>
        <w:bidi/>
        <w:spacing w:after="60"/>
        <w:ind w:left="360"/>
        <w:jc w:val="lowKashida"/>
      </w:pPr>
      <w:r>
        <w:rPr>
          <w:rtl/>
        </w:rPr>
        <w:t xml:space="preserve">☐  ۱ = بدون اهمیت یا کم‌ارتباط با چالش‌های فروش</w:t>
      </w:r>
    </w:p>
    <w:p>
      <w:pPr>
        <w:bidi/>
        <w:spacing w:after="60"/>
        <w:ind w:left="360"/>
        <w:jc w:val="lowKashida"/>
      </w:pPr>
      <w:r>
        <w:rPr>
          <w:rtl/>
        </w:rPr>
        <w:t xml:space="preserve">☐  ۲ = کم‌اهمیت</w:t>
      </w:r>
    </w:p>
    <w:p>
      <w:pPr>
        <w:bidi/>
        <w:spacing w:after="60"/>
        <w:ind w:left="360"/>
        <w:jc w:val="lowKashida"/>
      </w:pPr>
      <w:r>
        <w:rPr>
          <w:rtl/>
        </w:rPr>
        <w:t xml:space="preserve">☐  ۳ = تا حدی مهم</w:t>
      </w:r>
    </w:p>
    <w:p>
      <w:pPr>
        <w:bidi/>
        <w:spacing w:after="60"/>
        <w:ind w:left="360"/>
        <w:jc w:val="lowKashida"/>
      </w:pPr>
      <w:r>
        <w:rPr>
          <w:rtl/>
        </w:rPr>
        <w:t xml:space="preserve">☐  ۴ = مهم</w:t>
      </w:r>
    </w:p>
    <w:p>
      <w:pPr>
        <w:bidi/>
        <w:spacing w:after="60"/>
        <w:ind w:left="360"/>
        <w:jc w:val="lowKashida"/>
      </w:pPr>
      <w:r>
        <w:rPr>
          <w:rtl/>
        </w:rPr>
        <w:t xml:space="preserve">☐  ۵ = بسیار مهم و تعیین‌کننده</w:t>
      </w:r>
    </w:p>
    <w:p>
      <w:pPr>
        <w:bidi/>
        <w:spacing w:after="60"/>
        <w:jc w:val="lowKashida"/>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lowKashida"/>
      </w:pPr>
    </w:p>
    <w:p>
      <w:pPr>
        <w:keepNext/>
        <w:bidi/>
        <w:spacing w:after="60"/>
        <w:jc w:val="lowKashida"/>
      </w:pPr>
      <w:r>
        <w:rPr>
          <w:rtl/>
        </w:rPr>
        <w:t xml:space="preserve">جدول زیر همه ۲۹ گویه را در قالب نُه مؤلفه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Heading3"/>
        <w:keepNext/>
        <w:bidi/>
        <w:spacing w:before="200" w:after="80"/>
        <w:jc w:val="lowKashida"/>
      </w:pPr>
      <w:r>
        <w:t>پایان پرسشنامه</w:t>
      </w:r>
    </w:p>
    <w:p>
      <w:pPr>
        <w:bidi/>
        <w:spacing w:after="60"/>
        <w:jc w:val="lowKashida"/>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3"/>
        <w:keepNext/>
        <w:pageBreakBefore/>
        <w:bidi/>
        <w:spacing w:before="0" w:after="80"/>
        <w:jc w:val="lowKashida"/>
      </w:pPr>
      <w:r>
        <w:t>پاسخ‌های کامل‌شده پرسشنامه دور دوم دلفی (تفکیک به ازای ۷ عضو پانل خبرگان)</w:t>
      </w:r>
    </w:p>
    <w:p>
      <w:pPr>
        <w:bidi/>
        <w:spacing w:after="40"/>
        <w:jc w:val="lowKashida"/>
      </w:pPr>
      <w:r>
        <w:rPr>
          <w:rtl/>
        </w:rPr>
        <w:t xml:space="preserve">هر جدول، پاسخ یک عضو پانل را نشان می‌دهد (■ = امتیاز انتخاب‌شده). مشخصات اعضا مطابق ثبت پژوهشگر است.</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Heading2"/>
        <w:keepNext/>
        <w:pageBreakBefore/>
        <w:bidi/>
        <w:spacing w:before="0" w:after="80"/>
        <w:jc w:val="lowKashida"/>
      </w:pPr>
      <w:r>
        <w:t>پیوست پ: پرسشنامه دور سوم دلفی (بازنگری رتبه‌بندی با بازخورد گروهی)</w:t>
      </w:r>
    </w:p>
    <w:p>
      <w:pPr>
        <w:bidi/>
        <w:spacing w:after="60"/>
        <w:jc w:val="lowKashida"/>
      </w:pPr>
      <w:r>
        <w:rPr>
          <w:rtl/>
        </w:rPr>
        <w:t xml:space="preserve">در دور سوم، برای هر عضو پانل یک برگه جداگانه تنظیم شد. یادآوری: ستون «بازخورد دور دوم» امتیاز شما در دور قبل و میانگین و میانه امتیاز کل پانل را نشان می‌دهد. امتیاز نهایی خود را برای دور سوم در یکی از ستون‌های ۱ تا ۵ علامت بزنید.</w:t>
      </w:r>
    </w:p>
    <w:p>
      <w:pPr>
        <w:pStyle w:val="Heading3"/>
        <w:keepNext/>
        <w:bidi/>
        <w:spacing w:before="120" w:after="80"/>
        <w:jc w:val="lowKashida"/>
      </w:pPr>
      <w:r>
        <w:t>پ-۱ برگه‌های پرسشنامه دور سوم (پیش از تکمیل)</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۲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before="160" w:after="60"/>
        <w:jc w:val="center"/>
      </w:pPr>
      <w:r>
        <w:rPr>
          <w:rtl/>
        </w:rPr>
        <w:t xml:space="preserve">از همکاری صمیمانه شما در تمامی مراحل این پژوهش سپاسگزاریم.</w:t>
      </w:r>
    </w:p>
    <w:p>
      <w:pPr>
        <w:pStyle w:val="Heading3"/>
        <w:keepNext/>
        <w:pageBreakBefore/>
        <w:bidi/>
        <w:spacing w:before="0" w:after="80"/>
        <w:jc w:val="lowKashida"/>
      </w:pPr>
      <w:r>
        <w:t>پ-۲ پاسخ‌های کامل‌شده پرسشنامه دور سوم دلفی (رسیدن به اجماع نهایی؛ تفکیک به ازای ۷ عضو پانل خبرگان)</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۲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Heading2"/>
        <w:keepNext/>
        <w:pageBreakBefore/>
        <w:bidi/>
        <w:spacing w:before="0" w:after="80"/>
        <w:jc w:val="lowKashida"/>
      </w:pPr>
      <w:r>
        <w:t>پیوست ت: خروجی‌های آماری سه دور دلفی</w:t>
      </w:r>
    </w:p>
    <w:p>
      <w:pPr>
        <w:bidi/>
        <w:spacing w:after="60"/>
        <w:jc w:val="lowKashida"/>
      </w:pPr>
      <w:r>
        <w:rPr>
          <w:rtl/>
        </w:rPr>
        <w:t xml:space="preserve">این پیوست، خروجی کامل محاسبه‌های هر سه دور فرایند دلفی را که جدول‌های فصل چهارم از آن‌ها خلاصه شده است ارائه می‌دهد. داده‌های ورودی دورهای دوم و سوم، همان پاسخ‌های کامل‌شده پیوست‌های ب و پ هستند و داده دور نخست از جدول ۴-۶ گرفته شده است. شماره گویه‌ها در همه جدول‌ها همان شماره جدول ۴-۶ است و کدهای </w:t>
      </w:r>
      <w:r>
        <w:rPr>
          <w:rtl/>
        </w:rPr>
        <w:t xml:space="preserve">خ۱</w:t>
      </w:r>
      <w:r>
        <w:rPr>
          <w:rtl/>
        </w:rPr>
        <w:t xml:space="preserve"> تا </w:t>
      </w:r>
      <w:r>
        <w:rPr>
          <w:rtl/>
        </w:rPr>
        <w:t xml:space="preserve">خ۷</w:t>
      </w:r>
      <w:r>
        <w:rPr>
          <w:rtl/>
        </w:rPr>
        <w:t xml:space="preserve"> اعضای پانل را نشان می‌دهند. محاسبه‌ها با زبان برنامه‌نویسی پایتون (کتابخانه‌های </w:t>
      </w:r>
      <w:r>
        <w:rPr>
          <w:rFonts w:ascii="Times New Roman" w:hAnsi="Times New Roman" w:cs="Times New Roman" w:eastAsia="Times New Roman"/>
        </w:rPr>
        <w:t xml:space="preserve">NumPy</w:t>
      </w:r>
      <w:r>
        <w:rPr>
          <w:rtl/>
        </w:rPr>
        <w:t xml:space="preserve"> و </w:t>
      </w:r>
      <w:r>
        <w:rPr>
          <w:rFonts w:ascii="Times New Roman" w:hAnsi="Times New Roman" w:cs="Times New Roman" w:eastAsia="Times New Roman"/>
        </w:rPr>
        <w:t xml:space="preserve">SciPy</w:t>
      </w:r>
      <w:r>
        <w:rPr>
          <w:rtl/>
        </w:rPr>
        <w:t xml:space="preserve">) انجام شده و همه مقدارها با جدول‌های ۴-۸ تا ۴-۱۳ فصل چهارم تطبیق داده شده است. روش محاسبه چنین است:</w:t>
      </w:r>
    </w:p>
    <w:p>
      <w:pPr>
        <w:pStyle w:val="ListParagraph"/>
        <w:numPr>
          <w:ilvl w:val="0"/>
          <w:numId w:val="1"/>
        </w:numPr>
        <w:bidi/>
        <w:spacing w:after="40"/>
        <w:jc w:val="lowKashida"/>
      </w:pPr>
      <w:r>
        <w:rPr>
          <w:rtl/>
        </w:rPr>
        <w:t xml:space="preserve">میانگین، میانه و انحراف معیار (نمونه، با مخرج </w:t>
      </w:r>
      <w:r>
        <w:rPr>
          <w:rFonts w:ascii="Times New Roman" w:hAnsi="Times New Roman" w:cs="Times New Roman" w:eastAsia="Times New Roman"/>
        </w:rPr>
        <w:t xml:space="preserve">n − 1</w:t>
      </w:r>
      <w:r>
        <w:rPr>
          <w:rtl/>
        </w:rPr>
        <w:t xml:space="preserve">) هر گویه؛ چارک‌ها به روش درون‌یابی خطی (معادل </w:t>
      </w:r>
      <w:r>
        <w:rPr>
          <w:rFonts w:ascii="Times New Roman" w:hAnsi="Times New Roman" w:cs="Times New Roman" w:eastAsia="Times New Roman"/>
        </w:rPr>
        <w:t xml:space="preserve">QUARTILE.INC</w:t>
      </w:r>
      <w:r>
        <w:rPr>
          <w:rtl/>
        </w:rPr>
        <w:t xml:space="preserve"> در اکسل) و دامنه بین‌چارکی برابر </w:t>
      </w:r>
      <w:r>
        <w:rPr>
          <w:rFonts w:ascii="Times New Roman" w:hAnsi="Times New Roman" w:cs="Times New Roman" w:eastAsia="Times New Roman"/>
        </w:rPr>
        <w:t xml:space="preserve">Q3 − Q1</w:t>
      </w:r>
      <w:r>
        <w:rPr>
          <w:rtl/>
        </w:rPr>
        <w:t xml:space="preserve"> است. شمار پاسخ‌دهندگان در همه گویه‌ها ۷ است.</w:t>
      </w:r>
    </w:p>
    <w:p>
      <w:pPr>
        <w:pStyle w:val="ListParagraph"/>
        <w:numPr>
          <w:ilvl w:val="0"/>
          <w:numId w:val="1"/>
        </w:numPr>
        <w:bidi/>
        <w:spacing w:after="40"/>
        <w:jc w:val="lowKashida"/>
      </w:pPr>
      <w:r>
        <w:rPr>
          <w:rtl/>
        </w:rPr>
        <w:t xml:space="preserve">ضریب هماهنگی کندال با اصلاح همرتبگی: هر عضو پانل گویه‌ها را بر پایه امتیازهای خود رتبه می‌دهد (امتیازهای برابر، میانگین رتبه‌ها را می‌گیرند)؛ سپس </w:t>
      </w:r>
      <w:r>
        <w:rPr>
          <w:rFonts w:ascii="Times New Roman" w:hAnsi="Times New Roman" w:cs="Times New Roman" w:eastAsia="Times New Roman"/>
          <w:i/>
          <w:iCs/>
        </w:rPr>
        <w:t xml:space="preserve">W = 12S / [m²(n³ − n) − mΣT]</w:t>
      </w:r>
      <w:r>
        <w:rPr>
          <w:rtl/>
        </w:rPr>
        <w:t xml:space="preserve"> و </w:t>
      </w:r>
      <w:r>
        <w:rPr>
          <w:rFonts w:ascii="Times New Roman" w:hAnsi="Times New Roman" w:cs="Times New Roman" w:eastAsia="Times New Roman"/>
          <w:i/>
          <w:iCs/>
        </w:rPr>
        <w:t xml:space="preserve">χ² = m(n − 1)W</w:t>
      </w:r>
      <w:r>
        <w:rPr>
          <w:rtl/>
        </w:rPr>
        <w:t xml:space="preserve"> با </w:t>
      </w:r>
      <w:r>
        <w:rPr>
          <w:rFonts w:ascii="Times New Roman" w:hAnsi="Times New Roman" w:cs="Times New Roman" w:eastAsia="Times New Roman"/>
          <w:i/>
          <w:iCs/>
        </w:rPr>
        <w:t xml:space="preserve">df = n − 1</w:t>
      </w:r>
      <w:r>
        <w:rPr>
          <w:rtl/>
        </w:rPr>
        <w:t xml:space="preserve">؛ در اینجا </w:t>
      </w:r>
      <w:r>
        <w:rPr>
          <w:rFonts w:ascii="Times New Roman" w:hAnsi="Times New Roman" w:cs="Times New Roman" w:eastAsia="Times New Roman"/>
          <w:i/>
          <w:iCs/>
        </w:rPr>
        <w:t xml:space="preserve">m = 7</w:t>
      </w:r>
      <w:r>
        <w:rPr>
          <w:rtl/>
        </w:rPr>
        <w:t xml:space="preserve"> عضو و </w:t>
      </w:r>
      <w:r>
        <w:rPr>
          <w:rFonts w:ascii="Times New Roman" w:hAnsi="Times New Roman" w:cs="Times New Roman" w:eastAsia="Times New Roman"/>
          <w:i/>
          <w:iCs/>
        </w:rPr>
        <w:t xml:space="preserve">n = 29</w:t>
      </w:r>
      <w:r>
        <w:rPr>
          <w:rtl/>
        </w:rPr>
        <w:t xml:space="preserve"> گویه است.</w:t>
      </w:r>
    </w:p>
    <w:p>
      <w:pPr>
        <w:pStyle w:val="ListParagraph"/>
        <w:numPr>
          <w:ilvl w:val="0"/>
          <w:numId w:val="1"/>
        </w:numPr>
        <w:bidi/>
        <w:spacing w:after="40"/>
        <w:jc w:val="lowKashida"/>
      </w:pPr>
      <w:r>
        <w:rPr>
          <w:rtl/>
        </w:rPr>
        <w:t xml:space="preserve">میانگین هر مؤلفه برابر میانگین میانگین‌های گویه‌های زیرمجموعه آن است.</w:t>
      </w:r>
    </w:p>
    <w:p>
      <w:pPr>
        <w:pStyle w:val="ListParagraph"/>
        <w:numPr>
          <w:ilvl w:val="0"/>
          <w:numId w:val="1"/>
        </w:numPr>
        <w:bidi/>
        <w:spacing w:after="40"/>
        <w:jc w:val="lowKashida"/>
      </w:pPr>
      <w:r>
        <w:rPr>
          <w:rtl/>
        </w:rPr>
        <w:t xml:space="preserve">ضریب همبستگی رتبه‌ای اسپیرمن میان میانگین گویه‌ها (یا مؤلفه‌ها) در دو دور؛ رتبه‌بندی نزولی (رتبه ۱ = بالاترین میانگین) و میانگین رتبه برای مقدارهای برابر، و آزمون معناداری دودامنه.</w:t>
      </w:r>
    </w:p>
    <w:p>
      <w:pPr>
        <w:pStyle w:val="Heading3"/>
        <w:keepNext/>
        <w:bidi/>
        <w:spacing w:before="240" w:after="80"/>
        <w:jc w:val="lowKashida"/>
      </w:pPr>
      <w:r>
        <w:t>ت-۱ دور نخست: ماتریس کدگذاری پاسخ‌های باز</w:t>
      </w:r>
    </w:p>
    <w:p>
      <w:pPr>
        <w:bidi/>
        <w:spacing w:after="40"/>
        <w:jc w:val="lowKashida"/>
      </w:pPr>
      <w:r>
        <w:rPr>
          <w:rtl/>
        </w:rPr>
        <w:t xml:space="preserve">جدول ت-۱ نشان می‌دهد هر عضو پانل در پاسخ باز خود به کدام گویه‌ها اشاره کرده است (علامت ● یعنی اشاره). جمع هر ستون شمار گویه‌هایی است که آن عضو بدان‌ها اشاره کرده و جمع هر ردیف شمار اعضای اشاره‌کننده؛ جمع کل علامت‌ها ۶۶ است (۲۹ گویه و ۷ عضو). خلاصه مؤلفه‌ای این ماتریس در جدول ۴-۷ آمده است.</w:t>
      </w:r>
    </w:p>
    <w:p>
      <w:pPr>
        <w:pStyle w:val="TableCaption"/>
        <w:keepNext/>
        <w:spacing w:before="160" w:after="80"/>
        <w:jc w:val="center"/>
        <w:rPr>
          <w:vanish/>
        </w:rPr>
      </w:pPr>
      <w:r>
        <w:t xml:space="preserve">جدول ت-۱ ماتریس کدگذاری گویه‌های استخراج‌شده از دور نخست به تفکیک اعضای پانل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جمع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جمع علامت‌ها</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۶۶</w:t>
            </w:r>
          </w:p>
        </w:tc>
      </w:tr>
    </w:tbl>
    <w:p>
      <w:pPr>
        <w:pStyle w:val="Heading3"/>
        <w:keepNext/>
        <w:bidi/>
        <w:spacing w:before="360" w:after="80"/>
        <w:jc w:val="lowKashida"/>
      </w:pPr>
      <w:r>
        <w:t>ت-۲ دور دوم</w:t>
      </w:r>
    </w:p>
    <w:p>
      <w:pPr>
        <w:bidi/>
        <w:spacing w:after="40"/>
        <w:jc w:val="lowKashida"/>
      </w:pPr>
      <w:r>
        <w:rPr>
          <w:rtl/>
        </w:rPr>
        <w:t xml:space="preserve">جدول ت-۲ امتیاز اهمیت هر گویه را از دید هر عضو پانل، بر پایه طیف پنج‌درجه‌ای (۱ = بدون اهمیت یا کم‌ارتباط با چالش‌های فروش تا ۵ = بسیار مهم و تعیین‌کننده)، نشان می‌دهد.</w:t>
      </w:r>
    </w:p>
    <w:p>
      <w:pPr>
        <w:pStyle w:val="TableCaption"/>
        <w:keepNext/>
        <w:spacing w:before="160" w:after="80"/>
        <w:jc w:val="center"/>
        <w:rPr>
          <w:vanish/>
        </w:rPr>
      </w:pPr>
      <w:r>
        <w:t xml:space="preserve">جدول ت-۲ ماتریس امتیازهای اهمیت گویه‌ها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۴٫۴۱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۴٫۳۱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۳٫۸۶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۳٫۷۹</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۴٫۰۴</w:t>
            </w:r>
          </w:p>
        </w:tc>
      </w:tr>
    </w:tbl>
    <w:p>
      <w:pPr>
        <w:bidi/>
        <w:spacing w:after="120"/>
      </w:pPr>
    </w:p>
    <w:p>
      <w:pPr>
        <w:bidi/>
        <w:spacing w:after="40"/>
        <w:jc w:val="lowKashida"/>
      </w:pPr>
      <w:r>
        <w:rPr>
          <w:rtl/>
        </w:rPr>
        <w:t xml:space="preserve">جدول ت-۳ شاخص‌های توصیفی هر گویه را به همراه میانگین رتبه آن در آزمون کندال نشان می‌دهد؛ میانگین، میانه، انحراف معیار و دامنه بین‌چارکی همان مقدارهای جدول ۴-۸ هستند.</w:t>
      </w:r>
    </w:p>
    <w:p>
      <w:pPr>
        <w:pStyle w:val="TableCaption"/>
        <w:keepNext/>
        <w:spacing w:before="160" w:after="80"/>
        <w:jc w:val="center"/>
        <w:rPr>
          <w:vanish/>
        </w:rPr>
      </w:pPr>
      <w:r>
        <w:t xml:space="preserve">جدول ت-۳ آمار توصیفی و میانگین رتبه گویه‌ها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۱٫۰۷</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۱۲٫۷۹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۱۵٫۷۹</w:t>
            </w:r>
          </w:p>
        </w:tc>
      </w:tr>
    </w:tbl>
    <w:p>
      <w:pPr>
        <w:bidi/>
        <w:spacing w:after="120"/>
      </w:pPr>
    </w:p>
    <w:p>
      <w:pPr>
        <w:pStyle w:val="TableCaption"/>
        <w:keepNext/>
        <w:spacing w:before="160" w:after="80"/>
        <w:jc w:val="center"/>
        <w:rPr>
          <w:vanish/>
        </w:rPr>
      </w:pPr>
      <w:r>
        <w:t xml:space="preserve">جدول ت-۴ آمار توصیفی امتیازهای هر عضو پانل در دور دوم (روی ۲۹ گویه)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۴٫۴۱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۳٫۸۶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۰٫۶۹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r>
        <w:t xml:space="preserve">جدول ت-۵ میانگین مؤلفه‌ها در دور دوم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300"/>
        <w:gridCol w:w="1500"/>
        <w:gridCol w:w="1000"/>
        <w:gridCol w:w="1200"/>
        <w:gridCol w:w="12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دسته</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bl>
    <w:p>
      <w:pPr>
        <w:pStyle w:val="Heading3"/>
        <w:keepNext/>
        <w:bidi/>
        <w:spacing w:before="360" w:after="80"/>
        <w:jc w:val="lowKashida"/>
      </w:pPr>
      <w:r>
        <w:t>ت-۳ دور سوم</w:t>
      </w:r>
    </w:p>
    <w:p>
      <w:pPr>
        <w:bidi/>
        <w:spacing w:after="40"/>
        <w:jc w:val="lowKashida"/>
      </w:pPr>
      <w:r>
        <w:rPr>
          <w:rtl/>
        </w:rPr>
        <w:t xml:space="preserve">در دور سوم، هر عضو پانل با آگاهی از بازخورد ناشناس دور دوم (امتیاز خود و میانگین و میانه کل پانل) گویه‌ها را دوباره رتبه‌بندی کرد. جدول ت-۶ امتیازهای نهایی هر عضو را نشان می‌دهد.</w:t>
      </w:r>
    </w:p>
    <w:p>
      <w:pPr>
        <w:pStyle w:val="TableCaption"/>
        <w:keepNext/>
        <w:spacing w:before="160" w:after="80"/>
        <w:jc w:val="center"/>
        <w:rPr>
          <w:vanish/>
        </w:rPr>
      </w:pPr>
      <w:r>
        <w:t xml:space="preserve">جدول ت-۶ ماتریس امتیازهای اهمیت گویه‌ها در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۴٫۱۴</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۴٫۰۳</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r>
    </w:tbl>
    <w:p>
      <w:pPr>
        <w:bidi/>
        <w:spacing w:after="120"/>
      </w:pPr>
    </w:p>
    <w:p>
      <w:pPr>
        <w:bidi/>
        <w:spacing w:after="40"/>
        <w:jc w:val="lowKashida"/>
      </w:pPr>
      <w:r>
        <w:rPr>
          <w:rtl/>
        </w:rPr>
        <w:t xml:space="preserve">جدول ت-۷ شاخص‌های توصیفی هر گویه را در دور سوم نشان می‌دهد؛ میانگین، میانه، انحراف معیار و دامنه بین‌چارکی همان مقدارهای جدول ۴-۹ هستند.</w:t>
      </w:r>
    </w:p>
    <w:p>
      <w:pPr>
        <w:pStyle w:val="TableCaption"/>
        <w:keepNext/>
        <w:spacing w:before="160" w:after="80"/>
        <w:jc w:val="center"/>
        <w:rPr>
          <w:vanish/>
        </w:rPr>
      </w:pPr>
      <w:r>
        <w:t xml:space="preserve">جدول ت-۷ آمار توصیفی و میانگین رتبه گویه‌ها در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bl>
    <w:p>
      <w:pPr>
        <w:bidi/>
        <w:spacing w:after="120"/>
      </w:pPr>
    </w:p>
    <w:p>
      <w:pPr>
        <w:pStyle w:val="TableCaption"/>
        <w:keepNext/>
        <w:spacing w:before="160" w:after="80"/>
        <w:jc w:val="center"/>
        <w:rPr>
          <w:vanish/>
        </w:rPr>
      </w:pPr>
      <w:r>
        <w:t xml:space="preserve">جدول ت-۸ آمار توصیفی امتیازهای هر عضو پانل در دور سوم (روی ۲۹ گویه)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r>
        <w:t xml:space="preserve">جدول ت-۹ میانگین و رتبه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400"/>
        <w:gridCol w:w="1200"/>
        <w:gridCol w:w="1100"/>
        <w:gridCol w:w="1200"/>
        <w:gridCol w:w="13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۴٫۵۰</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bl>
    <w:p>
      <w:pPr>
        <w:bidi/>
        <w:spacing w:after="120"/>
      </w:pPr>
    </w:p>
    <w:p>
      <w:pPr>
        <w:keepNext/>
        <w:bidi/>
        <w:spacing w:after="40"/>
        <w:jc w:val="lowKashida"/>
      </w:pPr>
      <w:r>
        <w:rPr>
          <w:rtl/>
        </w:rPr>
        <w:t xml:space="preserve">جدول ت-۱۰ نشان می‌دهد هر عضو پس از دیدن بازخورد، امتیاز چند گویه را تغییر داد: از ۲۰۳ امتیاز (۷ عضو × ۲۹ گویه)، ۸۵ امتیاز تغییر کرد و ۸۴ مورد از آن‌ها به سوی میانگین گروه در دور دوم جابه‌جا شد.</w:t>
      </w:r>
    </w:p>
    <w:p>
      <w:pPr>
        <w:pStyle w:val="TableCaption"/>
        <w:keepNext/>
        <w:spacing w:before="160" w:after="80"/>
        <w:jc w:val="center"/>
        <w:rPr>
          <w:vanish/>
        </w:rPr>
      </w:pPr>
      <w:r>
        <w:t xml:space="preserve">جدول ت-۱۰ جابه‌جایی امتیازهای هر عضو پانل میان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1300"/>
        <w:gridCol w:w="1100"/>
        <w:gridCol w:w="1100"/>
        <w:gridCol w:w="1500"/>
        <w:gridCol w:w="1500"/>
        <w:gridCol w:w="1388"/>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عضو پانل</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شمار گویه‌های تغییریافته</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افزایش امتیاز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کاهش امتیاز</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به سوی میانگین گروه</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دورشونده از میانگین گروه</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قدر مطلق تغییر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خ۱</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خ۲</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خ۳</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خ۴</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خ۵</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خ۶</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خ۷</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۰٫۲۸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جمع</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۴۰</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۰٫۴۲</w:t>
            </w:r>
          </w:p>
        </w:tc>
      </w:tr>
    </w:tbl>
    <w:p>
      <w:pPr>
        <w:pStyle w:val="Heading3"/>
        <w:keepNext/>
        <w:bidi/>
        <w:spacing w:before="360" w:after="80"/>
        <w:jc w:val="lowKashida"/>
      </w:pPr>
      <w:r>
        <w:t>ت-۴ آزمون‌های استنباطی</w:t>
      </w:r>
    </w:p>
    <w:p>
      <w:pPr>
        <w:bidi/>
        <w:spacing w:after="40"/>
        <w:jc w:val="lowKashida"/>
      </w:pPr>
      <w:r>
        <w:rPr>
          <w:rtl/>
        </w:rPr>
        <w:t xml:space="preserve">جدول ت-۱۱ نتیجه آزمون ضریب هماهنگی کندال را در دور دوم و دور سوم نشان می‌دهد (جدول ۴-۱۰). جدول ت-۱۲ ضریب همبستگی اسپیرمن میان رتبه‌بندی دو دور را در دو سطح گویه و مؤلفه گزارش می‌کند و جدول ت-۱۳ رتبه میانگین هر گویه را در دو دور آورده است (رتبه ۱ = بالاترین میانگین؛ برای میانگین‌های برابر، میانگین رتبه)؛ رتبه مؤلفه‌ها در جدول ت-۹ آمده است.</w:t>
      </w:r>
    </w:p>
    <w:p>
      <w:pPr>
        <w:pStyle w:val="TableCaption"/>
        <w:keepNext/>
        <w:spacing w:before="160" w:after="80"/>
        <w:jc w:val="center"/>
        <w:rPr>
          <w:vanish/>
        </w:rPr>
      </w:pPr>
      <w:r>
        <w:t xml:space="preserve">جدول ت-۱۱ آزمون ضریب هماهنگی کندال (W)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000"/>
        <w:gridCol w:w="1900"/>
        <w:gridCol w:w="1888"/>
      </w:tblGrid>
      <w:tr>
        <w:trPr>
          <w:cantSplit/>
          <w:tblHeader/>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2"/>
                <w:szCs w:val="22"/>
                <w:rtl/>
              </w:rPr>
              <w:t xml:space="preserve">شاخص</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دوم</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سوم</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اعضای پانل (m)</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گویه‌ها (n)</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مجموع مجذور انحراف رتبه‌های جمع‌شده از میانگین (S)</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۱۸۵۷۴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۴۶۴۸۵</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جمع تصحیح همرتبگی (ΣT)</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۲۸۲۴۸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۶۵۱۲۴</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ضریب W کندال</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۰٫۲۲۴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۰٫۷۵۶</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آماره مجذور کای (χ²)</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۴۳٫۸۷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۱۴۸٫۱۹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درجه آزادی (df)</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سطح معناداری (p)</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۰٫۰۲۸۶</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bl>
    <w:p>
      <w:pPr>
        <w:bidi/>
        <w:spacing w:after="120"/>
      </w:pPr>
    </w:p>
    <w:p>
      <w:pPr>
        <w:pStyle w:val="TableCaption"/>
        <w:keepNext/>
        <w:spacing w:before="160" w:after="80"/>
        <w:jc w:val="center"/>
        <w:rPr>
          <w:vanish/>
        </w:rPr>
      </w:pPr>
      <w:r>
        <w:t xml:space="preserve">جدول ت-۱۲ ضریب همبستگی رتبه‌ای اسپیرمن میان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400"/>
        <w:gridCol w:w="1500"/>
        <w:gridCol w:w="2400"/>
        <w:gridCol w:w="2488"/>
      </w:tblGrid>
      <w:tr>
        <w:trPr>
          <w:cantSplit/>
          <w:tblHeader/>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تحلیل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تعداد</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ضریب اسپیرمن (ρ)</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معناداری (دودامنه)</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گویه‌ها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۰٫۸۴۷</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مؤلفه‌ها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۰٫۸۳۳</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۰٫۰۰۵۳</w:t>
            </w:r>
          </w:p>
        </w:tc>
      </w:tr>
    </w:tbl>
    <w:p>
      <w:pPr>
        <w:bidi/>
        <w:spacing w:after="120"/>
      </w:pPr>
    </w:p>
    <w:p>
      <w:pPr>
        <w:pStyle w:val="TableCaption"/>
        <w:keepNext/>
        <w:spacing w:before="160" w:after="80"/>
        <w:jc w:val="center"/>
        <w:rPr>
          <w:vanish/>
        </w:rPr>
      </w:pPr>
      <w:r>
        <w:t xml:space="preserve">جدول ت-۱۳ میانگین و رتبه گویه‌ها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1250"/>
        <w:gridCol w:w="1250"/>
        <w:gridCol w:w="1500"/>
        <w:gridCol w:w="1250"/>
        <w:gridCol w:w="1250"/>
        <w:gridCol w:w="166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تغییر میانگین</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اختلاف رتبه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bl>
    <w:p>
      <w:pPr>
        <w:pStyle w:val="Heading2"/>
        <w:keepNext/>
        <w:pageBreakBefore/>
        <w:bidi/>
        <w:spacing w:before="0" w:after="80"/>
        <w:jc w:val="lowKashida"/>
      </w:pPr>
      <w:r>
        <w:t>پیوست ث: صنعت مواد غذایی ایران در یک نگاه</w:t>
      </w:r>
    </w:p>
    <w:p>
      <w:pPr>
        <w:bidi/>
        <w:spacing w:after="60"/>
        <w:jc w:val="lowKashida"/>
      </w:pPr>
      <w:r>
        <w:rPr>
          <w:rtl/>
        </w:rPr>
        <w:t xml:space="preserve">این پیوست تصویری کلی از صنعت مواد غذایی ایران، به عنوان بستر انجام پژوهش، ارائه می‌دهد. ارقام نقل‌شده از منابع و سال‌های گوناگون گرفته شده و به دلیل تفاوت در تعریف صنعت و سال مبنا هم‌تراز نیستند؛ از این رو برای نمایش مرتبه بزرگی به کار رفته‌اند، نه به جای آمار رسمی که در گزارش‌های سالانه مرکز آمار ایران (کارگاه‌های صنعتی ۱۰ نفر کارکن و بیشتر) منتشر می‌شود.</w:t>
      </w:r>
    </w:p>
    <w:p>
      <w:pPr>
        <w:pStyle w:val="Heading3"/>
        <w:keepNext/>
        <w:bidi/>
        <w:spacing w:before="120" w:after="80"/>
        <w:jc w:val="lowKashida"/>
      </w:pPr>
      <w:r>
        <w:t>ث-۱ تعریف و دامنه صنعت</w:t>
      </w:r>
    </w:p>
    <w:p>
      <w:pPr>
        <w:bidi/>
        <w:spacing w:after="60"/>
        <w:jc w:val="lowKashida"/>
      </w:pPr>
      <w:r>
        <w:rPr>
          <w:rtl/>
        </w:rPr>
        <w:t xml:space="preserve">صنعت مواد غذایی مجموعه فعالیت‌های تولید، فرآوری، بسته‌بندی و توزیع محصولات خوراکی و آشامیدنی است (بخش ۱-۸-۳). در طبقه‌بندی بین‌المللی فعالیت‌های اقتصادی (</w:t>
      </w:r>
      <w:r>
        <w:rPr>
          <w:rFonts w:ascii="Times New Roman" w:hAnsi="Times New Roman" w:cs="Times New Roman" w:eastAsia="Times New Roman"/>
        </w:rPr>
        <w:t xml:space="preserve">ISIC</w:t>
      </w:r>
      <w:r>
        <w:rPr>
          <w:rtl/>
        </w:rPr>
        <w:t xml:space="preserve">)، تولید محصولات غذایی و تولید نوشیدنی‌ها دو بخش جداگانه‌اند (در ویرایش چهارم، بخش‌های ۱۰ و ۱۱). زیربخش‌های اصلی آن در ایران عبارت‌اند از فرآورده‌های لبنی، گوشت و فرآورده‌های گوشتی، روغن‌ها و چربی‌های خوراکی، آرد و فرآورده‌های غلات، قند و شکر، شیرینی و شکلات، کنسرو و فرآورده‌های میوه و سبزی و نوشیدنی‌ها. محصول شرکت‌های محل فعالیت اعضای پانل این پژوهش (فرآورده‌های لبنی، کره و حلوا ارده؛ جدول ۴-۵) نمونه‌هایی از همین زیربخش‌هاست.</w:t>
      </w:r>
    </w:p>
    <w:p>
      <w:pPr>
        <w:pStyle w:val="Heading3"/>
        <w:keepNext/>
        <w:bidi/>
        <w:spacing w:before="120" w:after="80"/>
        <w:jc w:val="lowKashida"/>
      </w:pPr>
      <w:r>
        <w:t>ث-۲ جایگاه اقتصادی</w:t>
      </w:r>
    </w:p>
    <w:p>
      <w:pPr>
        <w:keepNext/>
        <w:bidi/>
        <w:spacing w:after="0"/>
        <w:jc w:val="lowKashida"/>
      </w:pPr>
      <w:r>
        <w:rPr>
          <w:rtl/>
        </w:rPr>
        <w:t xml:space="preserve">صنایع غذایی از بزرگ‌ترین بخش‌های صنعتی کشور از نظر اشتغال است. جدول ث-۱ چند شاخص گزارش‌شده را، به نقل از اظهارات رئیس کمیسیون صنایع غذایی اتاق ایران در اردیبهشت ۱۴۰۳، نشان می‌دهد. سهم ایران از صادرات جهانی این صنعت اندک است؛ قلی‌پور و همکاران (۱۴۰۳) نیز فرصت‌ها و چالش‌های تجارت محصولات غذایی ایران را در بازار عمان بررسی کرده‌اند.</w:t>
      </w:r>
    </w:p>
    <w:p>
      <w:pPr>
        <w:pStyle w:val="TableCaption"/>
        <w:keepNext/>
        <w:spacing w:before="160" w:after="80"/>
        <w:jc w:val="center"/>
        <w:rPr>
          <w:vanish/>
        </w:rPr>
      </w:pPr>
      <w:r>
        <w:t xml:space="preserve">جدول ث-۱ شاخص‌های گزارش‌شده درباره صنعت مواد غذایی ایران (منبع: خبرگزاری مهر، ۱۴۰۳)</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200"/>
        <w:gridCol w:w="3588"/>
      </w:tblGrid>
      <w:tr>
        <w:trPr>
          <w:cantSplit/>
          <w:tblHeader/>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شاخص</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مقدار گزارش‌شده</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اشتغال صنعتی کشور</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ارزش صادرات جهانی صنایع غذایی در سال ۲۰۲۳</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۷۰۰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ایران از صادرات جهانی صنایع غذایی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۰٫۳ درصد</w:t>
            </w:r>
          </w:p>
        </w:tc>
      </w:tr>
    </w:tbl>
    <w:p>
      <w:pPr>
        <w:bidi/>
        <w:spacing w:after="60"/>
      </w:pPr>
    </w:p>
    <w:p>
      <w:pPr>
        <w:pStyle w:val="Heading3"/>
        <w:keepNext/>
        <w:bidi/>
        <w:spacing w:before="120" w:after="80"/>
        <w:jc w:val="lowKashida"/>
      </w:pPr>
      <w:r>
        <w:t>ث-۳ نهاده‌ها و زنجیره تأمین</w:t>
      </w:r>
    </w:p>
    <w:p>
      <w:pPr>
        <w:bidi/>
        <w:spacing w:after="60"/>
        <w:jc w:val="lowKashida"/>
      </w:pPr>
      <w:r>
        <w:rPr>
          <w:rtl/>
        </w:rPr>
        <w:t xml:space="preserve">زنجیره تأمین این صنعت به محصولات کشاورزی و دامی وابسته است؛ از این رو عرضه مواد اولیه تابع شرایط اقلیمی و فصلی است و بخشی از مواد اولیه و ملزومات بسته‌بندی به ارز و واردات بستگی دارد. نوسان نرخ ارز، محدودیت‌های مقطعی واردات و تحریم‌ها بهای تمام‌شده و پایداری تأمین را متأثر می‌سازد؛ کریمی و همکاران (۱۴۰۳) در الگوی تحلیل اختلالات زنجیره تأمین مواد غذایی، اختلال‌ها را به تاب‌آوری زنجیره و موقعیت بازاری آن مرتبط می‌دانند. ماندگاری محدود بسیاری از محصولات نیز سرعت گردش در کانال توزیع را اهمیتی ویژه می‌بخشد.</w:t>
      </w:r>
    </w:p>
    <w:p>
      <w:pPr>
        <w:pStyle w:val="Heading3"/>
        <w:keepNext/>
        <w:bidi/>
        <w:spacing w:before="120" w:after="80"/>
        <w:jc w:val="lowKashida"/>
      </w:pPr>
      <w:r>
        <w:t>ث-۴ توزیع و فروش</w:t>
      </w:r>
    </w:p>
    <w:p>
      <w:pPr>
        <w:bidi/>
        <w:spacing w:after="60"/>
        <w:jc w:val="lowKashida"/>
      </w:pPr>
      <w:r>
        <w:rPr>
          <w:rtl/>
        </w:rPr>
        <w:t xml:space="preserve">فروش محصولات غذایی در ایران عمدتاً از راه شبکه‌ای از شرکت‌های پخش، عمده‌فروشان و خرده‌فروشان انجام می‌شود. سیدغفوری و همکاران (۱۴۰۳) با رویکرد فراترکیب، عوامل اثرگذار بر انتخاب راهبرد توزیع در صنایع غذایی را احصا کرده‌اند. برای بنگاه تک‌محصولی، که باید هزینه ثابت پخش را میان یک قلم کالا سرشکن کند و در برابر شبکه خرده‌فروشی چندمحصولی قدرت چانه‌زنی اندکی دارد، همین ساختار یکی از ریشه‌های چالش فروش است (مؤلفه پنجم جدول ۴-۱۲).</w:t>
      </w:r>
    </w:p>
    <w:p>
      <w:pPr>
        <w:pStyle w:val="Heading3"/>
        <w:keepNext/>
        <w:bidi/>
        <w:spacing w:before="120" w:after="80"/>
        <w:jc w:val="lowKashida"/>
      </w:pPr>
      <w:r>
        <w:t>ث-۵ مقررات و قیمت‌گذاری</w:t>
      </w:r>
    </w:p>
    <w:p>
      <w:pPr>
        <w:bidi/>
        <w:spacing w:after="60"/>
        <w:jc w:val="lowKashida"/>
      </w:pPr>
      <w:r>
        <w:rPr>
          <w:rtl/>
        </w:rPr>
        <w:t xml:space="preserve">پیوند مستقیم محصولات غذایی با سلامت عمومی، تولید و عرضه آن‌ها را مشمول الزامات بهداشتی و استاندارد کرده است؛ مانگلا و همکاران (۲۰۲۱) چالش‌های ابتکارات ایمنی مواد غذایی، از جمله چالش‌های مربوط به سیاست‌گذاری و الزامات دولتی، را در یک اقتصاد نوظهور بررسی کرده‌اند. افزون بر آن، قیمت بخشی از اقلام اساسی با نظارت یا تعیین دولت انجام می‌شود و در دوره‌های تورمی، فاصله میان بهای تمام‌شده و قیمت مجاز فروش، حاشیه سود بنگاه را تحت فشار می‌گذارد؛ گویه «افزایش بهای تمام‌شده و فشار بر حاشیه سود» نیز در دور سوم بالاترین میانگین (۵٫۰۰) را داشت.</w:t>
      </w:r>
    </w:p>
    <w:p>
      <w:pPr>
        <w:pStyle w:val="Heading3"/>
        <w:keepNext/>
        <w:bidi/>
        <w:spacing w:before="120" w:after="80"/>
        <w:jc w:val="lowKashida"/>
      </w:pPr>
      <w:r>
        <w:t>ث-۶ جمع‌بندی و پیوند با پژوهش</w:t>
      </w:r>
    </w:p>
    <w:p>
      <w:pPr>
        <w:bidi/>
        <w:spacing w:after="0"/>
        <w:jc w:val="lowKashida"/>
      </w:pPr>
      <w:r>
        <w:rPr>
          <w:rtl/>
        </w:rPr>
        <w:t xml:space="preserve">وابستگی به نهاده‌های کشاورزی و وارداتی، شبکه توزیع پرهزینه و پراکنده، الزامات نظارتی و حساسیت قیمتی مصرف‌کننده، شرایطی می‌سازد که بنگاه تک‌محصولی، بی‌بهره از سپر تنوع محصولی، در آن آسیب‌پذیرتر است. همین بستر در یافته‌های فصل چهارم بازتاب دارد: سه مؤلفه نخست رتبه‌بندی نهایی، یعنی فشارهای اقتصاد کلان، تغییر ذائقه مصرف‌کننده و شدت رقابت، همگی برون‌سازمانی‌اند (جدول ۴-۱۳).</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پیوست‌ها</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