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7CA2B" w14:textId="77777777" w:rsidR="00414E0E" w:rsidRDefault="00414E0E" w:rsidP="00414E0E">
      <w:pPr>
        <w:pStyle w:val="Heading1"/>
        <w:bidi/>
        <w:spacing w:before="5600"/>
        <w:jc w:val="center"/>
      </w:pPr>
      <w:r>
        <w:t>فصل پنجم: بحث و نتیجه‌گیری</w:t>
      </w:r>
    </w:p>
    <w:p w14:paraId="4CD3BD7F" w14:textId="77777777" w:rsidR="00414E0E" w:rsidRDefault="00414E0E" w:rsidP="00414E0E">
      <w:pPr>
        <w:bidi/>
        <w:jc w:val="lowKashida"/>
      </w:pPr>
      <w:r>
        <w:br w:type="page"/>
      </w:r>
    </w:p>
    <w:p>
      <w:pPr>
        <w:pStyle w:val="Heading2"/>
        <w:keepNext/>
        <w:bidi/>
        <w:spacing w:before="240" w:after="80"/>
        <w:jc w:val="lowKashida"/>
      </w:pPr>
      <w:r>
        <w:t>۵-۱ مقدمه</w:t>
      </w:r>
    </w:p>
    <w:p>
      <w:pPr>
        <w:bidi/>
        <w:spacing w:after="80"/>
        <w:jc w:val="lowKashida"/>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همراه با نتیجه آزمون دو فرضیه،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jc w:val="lowKashida"/>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jc w:val="lowKashida"/>
      </w:pPr>
      <w:r>
        <w:t>۵-۲ مروری بر خلاصه تحقیق</w:t>
      </w:r>
    </w:p>
    <w:p>
      <w:pPr>
        <w:bidi/>
        <w:spacing w:after="80"/>
        <w:jc w:val="lowKashida"/>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jc w:val="lowKashida"/>
      </w:pPr>
      <w:r>
        <w:rPr>
          <w:rtl/>
        </w:rPr>
        <w:t xml:space="preserve">برای پاسخ به این خلأ، پژوهشی اکتشافی با رویکرد آمیخته و به روش دلفی طراحی شد. پانل پژوهش را هفت خبره تشکیل می‌دادند، شامل یک عضو هیئت علمی، دو مدیر فروش، سه کارشناس فروش </w:t>
      </w:r>
      <w:r>
        <w:rPr>
          <w:rtl/>
        </w:rPr>
        <w:t xml:space="preserve">و یک مدیر برنامه‌ریزی تولید</w:t>
      </w:r>
      <w:r>
        <w:rPr>
          <w:rtl/>
        </w:rPr>
        <w:t xml:space="preserve">، که به روش نمونه‌گیری هدفمند قضاوتی انتخاب شدند. فرایند دلفی در سه دور اجرا شد. در دور نخست، از اعضا پرسشی باز درباره چالش‌های فروش بنگاه تک‌محصولی پرسیده شد. در دور دوم و سوم، هر عضو اهمیت گویه‌های برآمده از دور نخست را بر طیفی پنج‌درجه‌ای رتبه‌بندی کرد و در دور سوم، بازخورد ناشناس دور دوم را در اختیار داشت.</w:t>
      </w:r>
    </w:p>
    <w:p>
      <w:pPr>
        <w:bidi/>
        <w:spacing w:after="80"/>
        <w:jc w:val="lowKashida"/>
      </w:pPr>
      <w:r>
        <w:rPr>
          <w:rtl/>
        </w:rPr>
        <w:t xml:space="preserve">پاسخ‌های دور نخست به روش تحلیل مضمون کدگذاری شد و بیست‌ونه گویه در قالب نُه مؤلفه سامان یافت: پنج مؤلفه درون‌سازمانی با هجده گویه و چهار مؤلفه برون‌سازمانی با یازده گویه. رتبه‌بندی نهایی در دو سطح گویه و مؤلفه، بر پایه میانگین امتیاز دور سوم، محاسبه شد.</w:t>
      </w:r>
    </w:p>
    <w:p>
      <w:pPr>
        <w:bidi/>
        <w:spacing w:after="80"/>
        <w:jc w:val="lowKashida"/>
      </w:pPr>
      <w:r>
        <w:rPr>
          <w:rtl/>
        </w:rPr>
        <w:t xml:space="preserve">ضریب هماهنگی کندال از ۰٫۲۲۴ در دور دوم، که توافقی ضعیف تا متوسط را نشان می‌داد، به ۰٫۷۵۶ در دور سوم، که توافقی قوی است، رسید و در هر دو دور از نظر آماری معنادار بود. میانگین انحراف معیار گویه‌ها نیز از ۰٫۷۳ به ۰٫۱۷ کاهش یافت. ضریب همبستگی رتبه‌ای اسپیرمن میان دو دور پایانی در سطح گویه ۰٫۸۴۷ و در سطح مؤلفه ۰٫۸۳۳ به دست آمد. بر این پایه، هر دو فرضیه پژوهش تأیید شد: میان اعضای پانل در دور نهایی توافق معناداری وجود داشت و رتبه‌بندی میان دور دوم و سوم به ثبات رسیده بود.</w:t>
      </w:r>
    </w:p>
    <w:p>
      <w:pPr>
        <w:bidi/>
        <w:spacing w:after="80"/>
        <w:jc w:val="lowKashida"/>
      </w:pPr>
      <w:r>
        <w:rPr>
          <w:rtl/>
        </w:rPr>
        <w:t xml:space="preserve">در رتبه‌بندی نهایی، مؤلفه «فشارهای اقتصاد کلان و کاهش قدرت خرید» با میانگین ۴٫۵۰ در رتبه نخست قرار گرفت و مؤلفه‌های «تغییر ذائقه مصرف‌کننده و محدودیت بازار هدف» (۴٫۴۳) و «شدت رقابت و فشار قیمتی بازار» (۴٫۳۳) در رتبه‌های دوم و سوم ایستادند. در سطح گویه، «ورود رقبای جدید و افزایش شدت رقابت» و «افزایش بهای تمام‌شده و فشار بر حاشیه سود» هر دو با میانگین ۵٫۰۰ در صدر جای گرفتند. هر چهار مؤلفه برون‌سازمانی در پنج رتبه نخست بودند. این دو فهرست مرتب‌شده، مبنای بحث این فصل‌اند.</w:t>
      </w:r>
    </w:p>
    <w:p>
      <w:pPr>
        <w:pStyle w:val="Heading2"/>
        <w:keepNext/>
        <w:bidi/>
        <w:spacing w:before="240" w:after="80"/>
        <w:jc w:val="lowKashida"/>
      </w:pPr>
      <w:r>
        <w:t>۵-۳ بحث و نتیجه‌گیری</w:t>
      </w:r>
    </w:p>
    <w:p>
      <w:pPr>
        <w:bidi/>
        <w:spacing w:after="80"/>
        <w:jc w:val="lowKashida"/>
      </w:pPr>
      <w:r>
        <w:rPr>
          <w:rtl/>
        </w:rPr>
        <w:t xml:space="preserve">در این بخش، یافته‌های فصل چهارم بر پایه دو پرسش پژوهش تفسیر می‌شود. پرسش نخست درباره ماهیت چالش‌هاست و پاسخ آن در برابر فهرست چالش‌های برگرفته از ادبیات (جدول ۲-۱) سنجیده می‌شود. پرسش دوم درباره اولویت چالش‌هاست و با تکیه بر رتبه‌بندی نهایی دلفی و نتیجه آزمون دو فرضیه پژوهش بحث می‌شود.</w:t>
      </w:r>
    </w:p>
    <w:p>
      <w:pPr>
        <w:pStyle w:val="Heading3"/>
        <w:keepNext/>
        <w:bidi/>
        <w:spacing w:before="180" w:after="80"/>
        <w:jc w:val="lowKashida"/>
      </w:pPr>
      <w:r>
        <w:t>۵-۳-۱ بحث و نتیجه‌گیری درباره پرسش اول پژوهش</w:t>
      </w:r>
    </w:p>
    <w:p>
      <w:pPr>
        <w:bidi/>
        <w:spacing w:after="80"/>
        <w:jc w:val="lowKashida"/>
      </w:pPr>
      <w:r>
        <w:rPr>
          <w:rtl/>
        </w:rPr>
        <w:t xml:space="preserve">پرسش نخست پژوهش این بود که چالش‌های فروش در شرکت‌های تک‌محصولی فعال در صنعت مواد غذایی کدام‌اند. پاسخ فصل چهارم، فهرستی از بیست‌ونه گویه در نُه مؤلفه بود (جدول ۴-۱۲). برای روشن‌شدن جایگاه این فهرست، آن با دوازده عامل برگرفته از ادبیات در جدول ۲-۱ مقایسه می‌شود؛ مقایسه‌ای که در بخش ۲-۴-۱ برای این فصل پیش‌بینی شده بود.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jc w:val="lowKashida"/>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2"/>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jc w:val="lowKashida"/>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3"/>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4"/>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5"/>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6"/>
      </w:r>
      <w:r>
        <w:rPr>
          <w:rtl/>
        </w:rPr>
        <w:t xml:space="preserve"> </w:t>
      </w:r>
      <w:r>
        <w:rPr>
          <w:rtl/>
        </w:rPr>
        <w:t xml:space="preserve">درباره پیوند مزیت تمایز با نوآوری</w:t>
      </w:r>
      <w:r>
        <w:rPr>
          <w:rtl/>
        </w:rPr>
        <w:t xml:space="preserve"> و ریسک‌پذیری کارآفرینانه، و مؤلفه تغییر ذائقه مصرف‌کننده </w:t>
      </w:r>
      <w:r>
        <w:rPr>
          <w:rtl/>
        </w:rPr>
        <w:t xml:space="preserve">با موضوع پژوهش آسیابانی و همکاران (۱۴۰۴) درباره پایداری ترجیحات مصرف‌کنندگان ایرانی (در مورد برنج) پیوند موضوعی دارد</w:t>
      </w:r>
      <w:r>
        <w:rPr>
          <w:rtl/>
        </w:rPr>
        <w:t xml:space="preserve">. این همپوشانی نشان می‌دهد فهرست حاصل از دلفی پدیده‌ای محلی و منحصربه‌فرد نیست و ریشه در الگوهایی دارد که در بسترهای گوناگون تکرار می‌شوند.</w:t>
      </w:r>
    </w:p>
    <w:p>
      <w:pPr>
        <w:bidi/>
        <w:spacing w:after="80"/>
        <w:jc w:val="lowKashida"/>
      </w:pPr>
      <w:r>
        <w:rPr>
          <w:rtl/>
        </w:rPr>
        <w:t xml:space="preserve">در گروه دوم، گویه‌هایی قرار دارند که در جدول ۲-۱ همتای روشنی ندارند. نخست، فشارهای اقتصاد کلان، یعنی افزایش بهای تمام‌شده و فشار بر حاشیه سود و نیز کاهش قدرت خرید و مشکلات اقتصادی مصرف‌کننده. مبانی نظری فصل دوم نوسانات اقتصاد کلان را </w:t>
      </w:r>
      <w:r>
        <w:rPr>
          <w:rtl/>
        </w:rPr>
        <w:t xml:space="preserve">در شمار عوامل محیطی آورده بود</w:t>
      </w:r>
      <w:r>
        <w:rPr>
          <w:rtl/>
        </w:rPr>
        <w:t xml:space="preserve">،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 دوم، گویه‌هایی که به نظر می‌رسد پیامد مستقیم ساختار تک‌محصولی‌اند: محدود بودن بازار هدف به یک گروه خاص از مشتریان و افت ناگهانی تقاضا. سوم، دشواری حفظ مشتریان فعلی، یعنی وفاداری پایین و نبود پیشنهاد تازه برای حفظ و فعال‌سازی مجدد آنان؛ سازوکاری که در آن، نداشتن سبد محصول ابزار نگهداشت مشتری را نیز محدود می‌کند.</w:t>
      </w:r>
    </w:p>
    <w:p>
      <w:pPr>
        <w:bidi/>
        <w:spacing w:after="80"/>
        <w:jc w:val="lowKashida"/>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7"/>
      </w:r>
      <w:r>
        <w:rPr>
          <w:rtl/>
        </w:rPr>
        <w:t xml:space="preserve">، </w:t>
      </w:r>
      <w:r>
        <w:rPr>
          <w:rtl/>
        </w:rPr>
        <w:t xml:space="preserve">محدودیت دانش و مهارت منابع انسانی، از جمله کمبود نیروی فروش ماهر (تانئو و همکاران، ۲۰۲۲)</w:t>
      </w:r>
      <w:r>
        <w:rPr>
          <w:rStyle w:val="FootnoteReference"/>
        </w:rPr>
        <w:footnoteReference w:id="8"/>
      </w:r>
      <w:r>
        <w:rPr>
          <w:rtl/>
        </w:rPr>
        <w:t xml:space="preserve">، شکاف نگرش و رفتار خرید مصرف‌کننده </w:t>
      </w:r>
      <w:r>
        <w:rPr>
          <w:rtl/>
        </w:rPr>
        <w:t xml:space="preserve">(صفری و اسماعیل‌نژاد، ۱۴۰۳)</w:t>
      </w:r>
      <w:r>
        <w:rPr>
          <w:rtl/>
        </w:rPr>
        <w:t xml:space="preserve"> و بُعد دیجیتال فروش که در بخش ۲-۴ به عنوان یکی از شکاف‌های ادبیات معرفی شد.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 فهرست گویه‌های دورهای رتبه‌بندی تنها از پاسخ‌های دور نخست ساخته شد؛ بنابراین پانل این عوامل را رتبه‌بندی نکرد و داده‌های پژوهش برای تفکیک دو تفسیر کافی نیست. این موضوع در بخش پیشنهادهای آتی آمده است.</w:t>
      </w:r>
    </w:p>
    <w:p>
      <w:pPr>
        <w:bidi/>
        <w:spacing w:after="80"/>
        <w:jc w:val="lowKashida"/>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r>
        <w:t xml:space="preserve">جدول ۵-۱ نسبت مؤلفه‌های شناسایی‌شده با یافته‌های پژوهش‌های پیشین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rsidR="00414E0E" w14:paraId="2737253F" w14:textId="77777777" w:rsidTr="00824313">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495C4" w14:textId="77777777" w:rsidR="00414E0E" w:rsidRDefault="00414E0E" w:rsidP="00414E0E">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E265A9" w14:textId="77777777" w:rsidR="00414E0E" w:rsidRDefault="00414E0E" w:rsidP="00414E0E">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62B59F" w14:textId="77777777" w:rsidR="00414E0E" w:rsidRDefault="00414E0E" w:rsidP="00414E0E">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E7B90" w14:textId="77777777" w:rsidR="00414E0E" w:rsidRDefault="00414E0E" w:rsidP="00414E0E">
            <w:pPr>
              <w:bidi/>
              <w:jc w:val="center"/>
            </w:pPr>
            <w:r>
              <w:rPr>
                <w:b/>
                <w:bCs/>
                <w:sz w:val="22"/>
                <w:szCs w:val="22"/>
                <w:rtl/>
              </w:rPr>
              <w:t xml:space="preserve">نسبت با ادبیات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مامن و همکاران (۲۰۲۱)</w:t>
            </w:r>
            <w:r>
              <w:rPr>
                <w:rStyle w:val="FootnoteReference"/>
              </w:rPr>
              <w:footnoteReference w:id="9"/>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توماران و همکاران (۲۰۲۲)</w:t>
            </w:r>
            <w:r>
              <w:rPr>
                <w:rStyle w:val="FootnoteReference"/>
              </w:rPr>
              <w:footnoteReference w:id="10"/>
            </w:r>
            <w:r>
              <w:rPr>
                <w:sz w:val="22"/>
                <w:szCs w:val="22"/>
                <w:rtl/>
              </w:rPr>
              <w:t xml:space="preserve">؛ قلی‌پور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همسویی موضوعی، اما در پایین‌ترین رتبه</w:t>
            </w:r>
            <w:r>
              <w:rPr>
                <w:sz w:val="22"/>
                <w:szCs w:val="22"/>
                <w:rtl/>
              </w:rPr>
              <w:t xml:space="preserve"> (نهم) رتبه‌بندی نهایی</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1"/>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سوریاتی و لوسیه (۲۰۲۲)</w:t>
            </w:r>
            <w:r>
              <w:rPr>
                <w:rStyle w:val="FootnoteReference"/>
              </w:rPr>
              <w:footnoteReference w:id="12"/>
            </w:r>
            <w:r>
              <w:rPr>
                <w:sz w:val="22"/>
                <w:szCs w:val="22"/>
                <w:rtl/>
              </w:rPr>
              <w:t xml:space="preserve">؛ پانگارکار و پرابهوداسای (۲۰۲۴) درباره قدرت چانه‌زنی خریدار</w:t>
            </w:r>
            <w:r>
              <w:rPr>
                <w:rStyle w:val="FootnoteReference"/>
              </w:rPr>
              <w:footnoteReference w:id="13"/>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پانگارکار و پرابهوداسای (۲۰۲۴)</w:t>
            </w:r>
            <w:r>
              <w:rPr>
                <w:rStyle w:val="FootnoteReference"/>
              </w:rPr>
              <w:footnoteReference w:id="14"/>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همسویی موضوعی در تغییر ترجیحات مصرف‌کننده</w:t>
            </w:r>
            <w:r>
              <w:rPr>
                <w:sz w:val="22"/>
                <w:szCs w:val="22"/>
                <w:rtl/>
              </w:rPr>
              <w:t xml:space="preserve">؛ محدود بودن بازار هدف و افت ناگهانی تقاضا در جدول ۲-۱ همتایی ندارد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lowKashida"/>
      </w:pPr>
    </w:p>
    <w:p>
      <w:pPr>
        <w:bidi/>
        <w:spacing w:after="80"/>
        <w:jc w:val="lowKashida"/>
      </w:pPr>
      <w:r>
        <w:rPr>
          <w:rtl/>
        </w:rPr>
        <w:t xml:space="preserve">چنان‌که جدول ۵-۱ نشان می‌دهد، نسبت یافته‌ها با ادبیات یکدست نیست: هشت مؤلفه دست‌کم بخشی از ادبیات را تأیید می‌کنند؛ در دو مؤلفه از آن‌ها، یعنی دشواری جذب و حفظ مشتری و تغییر ذائقه و محدودیت بازار هدف، گویه‌هایی فراتر از ادبیات نیز دیده می‌شود؛ و مؤلفه فشارهای اقتصاد کلان همتای روشنی در جدول ۲-۱ ندارد. همین ناهمگونی نشان می‌دهد یافته‌ها صرفاً بازتولید ادبیات نیستند.</w:t>
      </w:r>
    </w:p>
    <w:p>
      <w:pPr>
        <w:bidi/>
        <w:spacing w:after="80"/>
        <w:jc w:val="lowKashida"/>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jc w:val="lowKashida"/>
      </w:pPr>
      <w:r>
        <w:t>۵-۳-۲ بحث و نتیجه‌گیری درباره پرسش دوم پژوهش</w:t>
      </w:r>
    </w:p>
    <w:p>
      <w:pPr>
        <w:bidi/>
        <w:spacing w:after="80"/>
        <w:jc w:val="lowKashida"/>
      </w:pPr>
      <w:r>
        <w:rPr>
          <w:rtl/>
        </w:rPr>
        <w:t xml:space="preserve">پرسش دوم پژوهش اولویت چالش‌های فروش را می‌پرسید و پاسخ فصل چهارم، رتبه‌بندی نهایی دور سوم است (جدول‌های ۴-۱۳ و ۴-۱۴). نخستین نکته درخور بحث آن است که همه چالش‌ها اهمیت بالایی دارند: میانگین هیچ مؤلفه‌ای کمتر از ۳٫۵۷ و میانگین هیچ گویه‌ای کمتر از ۳٫۱۴ نیست، در حالی که نقطه میانی طیف ۳ است. به بیان دیگر، پانل هیچ‌یک از چالش‌های فهرست را کم‌اهمیت ندانسته و رتبه‌بندی، چالش‌های مهم را از مهم‌تر جدا می‌کند.</w:t>
      </w:r>
    </w:p>
    <w:p>
      <w:pPr>
        <w:bidi/>
        <w:spacing w:after="80"/>
        <w:jc w:val="lowKashida"/>
      </w:pPr>
      <w:r>
        <w:rPr>
          <w:rtl/>
        </w:rPr>
        <w:t xml:space="preserve">نکته دوم، ساختار پلکانی رتبه‌بندی و پایداری آن است. مؤلفه‌ها در سه دسته جای می‌گیرند. چهار مؤلفه نخست با اختلافی اندک از هم قرار دارند: فشارهای اقتصاد کلان (۴٫۵۰)، تغییر ذائقه و محدودیت بازار هدف (۴٫۴۳)، شدت رقابت و فشار قیمتی (۴٫۳۳) و آسیب‌پذیری ساختاری (۴٫۲۹). پس از آن‌ها ناپایداری تأمین (۴٫۱۹) و ناکارآمدی توزیع (۴٫۱۱) می‌آیند، و در پایین جدول، دشواری جذب و حفظ مشتری (۳٫۸۱)، ضعف برنامه‌ریزی و پیش‌بینی (۳٫۷۹) و ضعف برندسازی (۳٫۵۷) ایستاده‌اند. اعضای هر سه دسته در دور دوم نیز همین‌ها بودند (جدول ۴-۱۳)، اگرچه ترتیب درون دسته‌ها جابه‌جا شد: مؤلفه اقتصاد کلان از رتبه سوم به نخست رسید و مؤلفه شدت رقابت از رتبه نخست به سوم رفت. از این رو رتبه‌بندی در تفکیک این سه دسته اطمینان بیشتری دارد تا در ترتیب دقیق درون هر دسته.</w:t>
      </w:r>
    </w:p>
    <w:p>
      <w:pPr>
        <w:bidi/>
        <w:spacing w:after="80"/>
        <w:jc w:val="lowKashida"/>
      </w:pPr>
      <w:r>
        <w:rPr>
          <w:rtl/>
        </w:rPr>
        <w:t xml:space="preserve">نکته سوم، برتری چالش‌های برون‌سازمانی است؛ الگویی که فصل چهارم تفسیر آن را به این فصل واگذاشت. هر چهار مؤلفه برون‌سازمانی در پنج رتبه نخست‌اند و میانگین آن‌ها (۴٫۳۶) از میانگین پنج مؤلفه درون‌سازمانی (۳٫۹۱) بیشتر است. در سطح گویه نیز هر پنج گویه‌ای که میانگین آن‌ها دست‌کم ۴٫۵۷ است برون‌سازمانی‌اند و هر چهار گویه‌ای که میانگین آن‌ها کمتر از ۳٫۵ است درون‌سازمانی. این الگو دست‌کم دو پشتوانه دارد.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 دوم، ادبیات: میکلیان و هولشر (۲۰۲۲)</w:t>
      </w:r>
      <w:r>
        <w:rPr>
          <w:rStyle w:val="FootnoteReference"/>
        </w:rPr>
        <w:footnoteReference w:id="15"/>
      </w:r>
      <w:r>
        <w:rPr>
          <w:rtl/>
        </w:rPr>
        <w:t xml:space="preserve"> </w:t>
      </w:r>
      <w:r>
        <w:rPr>
          <w:rtl/>
        </w:rPr>
        <w:t xml:space="preserve">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6"/>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 این تفسیر بر ادراک اعضای پانل استوار است و درباره اثر عینی این عوامل بر فروش داوری نمی‌کند.</w:t>
      </w:r>
    </w:p>
    <w:p>
      <w:pPr>
        <w:bidi/>
        <w:spacing w:after="80"/>
        <w:jc w:val="lowKashida"/>
      </w:pPr>
      <w:r>
        <w:rPr>
          <w:rtl/>
        </w:rPr>
        <w:t xml:space="preserve">نکته چهارم، جایگاه مؤلفه آسیب‌پذیری ساختاری است که مفهوم محوری این پژوهش است. این مؤلفه در رتبه چهارم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 بنابراین پانل ریسک تمرکز را مهم می‌داند، اما فوری‌ترین چالش‌ها را تکانه‌های بیرونی می‌شمارد. این دو یافته مکمل یکدیگرند و با استدلال بخش ۱-۲ همخوان‌اند: فشار محیطی ضعف را آشکار می‌کند و ساختار متمرکز آن را تشدید می‌نماید. به بیان دیگر، تک‌محصولی بودن در نگاه پانل بیش از آنکه خود مهم‌ترین چالش باشد، سازوکاری است که تکانه‌های بیرونی را بی‌واسطه به کل بنگاه منتقل می‌کند.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jc w:val="lowKashida"/>
      </w:pPr>
      <w:r>
        <w:rPr>
          <w:rtl/>
        </w:rPr>
        <w:t xml:space="preserve">نکته پنجم، فاصله اولویت‌های پانل با اولویت‌های برخی مطالعات پیشین است.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 این فاصله را نباید ساده به تناقض تعبیر کرد: واحد تحلیل متفاوت است.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jc w:val="lowKashida"/>
      </w:pPr>
      <w:r>
        <w:rPr>
          <w:rtl/>
        </w:rPr>
        <w:t xml:space="preserve">نکته ششم، جایگاه پایین چالش‌هایی است که ادبیات برای آن‌ها اهمیت قائل است. مؤلفه ضعف برندسازی و دشواری تمایز محصول، که توماران و همکاران (۲۰۲۲)</w:t>
      </w:r>
      <w:r>
        <w:rPr>
          <w:rStyle w:val="FootnoteReference"/>
        </w:rPr>
        <w:footnoteReference w:id="17"/>
      </w:r>
      <w:r>
        <w:rPr>
          <w:rtl/>
        </w:rPr>
        <w:t xml:space="preserve"> </w:t>
      </w:r>
      <w:r>
        <w:rPr>
          <w:rtl/>
        </w:rPr>
        <w:t xml:space="preserve">مزیت تمایز را با نوآوری، پیش‌قدمی و ریسک‌پذیری کارآفرینانه پیوند می‌دهند</w:t>
      </w:r>
      <w:r>
        <w:rPr>
          <w:rtl/>
        </w:rPr>
        <w:t xml:space="preserve">، پایین‌ترین رتبه (۳٫۵۷) را گرفته است؛ و دو گویه «نبود نوآوری و توسعه محصول» و «کم‌توجهی به تحقیقات بازار و مطالعه رفتار مصرف‌کننده»، همراه با گویه «ضعف در نظام برنامه‌ریزی و اطلاعات فروش»، با ۳٫۱۴ در پایین‌ترین رتبه گویه‌ها هستند. دخیخ و النجری (۲۰۲۶)</w:t>
      </w:r>
      <w:r>
        <w:rPr>
          <w:rStyle w:val="FootnoteReference"/>
        </w:rPr>
        <w:footnoteReference w:id="18"/>
      </w:r>
      <w:r>
        <w:rPr>
          <w:rtl/>
        </w:rPr>
        <w:t xml:space="preserve"> </w:t>
      </w:r>
      <w:r>
        <w:rPr>
          <w:rtl/>
        </w:rPr>
        <w:t xml:space="preserve">نوآوری را میانجی رابطه قابلیت‌های پویا با مزیت رقابتی پایدار یافته‌اند؛ بر این پایه، ضعف ظرفیت نوآوری می‌تواند در بلندمدت به افت مزیت رقابتی بینجامد</w:t>
      </w:r>
      <w:r>
        <w:rPr>
          <w:rtl/>
        </w:rPr>
        <w:t xml:space="preserve">؛ پانل اما چنین چالش‌های توانمندی بلندمدت را در کنار فشارهای جاری فروش کم‌فوریت‌تر ارزیابی کرده است.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jc w:val="lowKashida"/>
      </w:pPr>
      <w:r>
        <w:rPr>
          <w:rtl/>
        </w:rPr>
        <w:t xml:space="preserve">نکته پایانی به اعتبار رتبه‌بندی و آزمون فرضیه‌ها مربوط می‌شود. ضریب هماهنگی کندال از ۰٫۲۲۴ در دور دوم (توافق ضعیف تا متوسط؛ سطح معناداری ۰٫۰۲۸۶) به ۰٫۷۵۶ در دور سوم (توافق قوی؛ سطح معناداری کمتر از ۰٫۰۰۰۱) رسید و میانگین انحراف معیار گویه‌ها از ۰٫۷۳ به ۰٫۱۷ کاهش یافت؛ بنابراین فرضیه اول، یعنی وجود توافق معنادار میان اعضای پانل در دور نهایی، تأیید می‌شود. ضرایب اسپیرمن میان دور دوم و سوم (۰٫۸۴۷ در سطح گویه و ۰٫۸۳۳ در سطح مؤلفه، هر دو معنادار) فرضیه دوم، یعنی ثبات رتبه‌بندی میان دو دور پایانی را تأیید می‌کنند. ناشناس‌ماندن پاسخ‌ها و بازخورد کنترل‌شده از ویژگی‌های بنیادین روش دلفی‌اند </w:t>
      </w:r>
      <w:r>
        <w:rPr>
          <w:rtl/>
        </w:rPr>
        <w:t xml:space="preserve">(ناسا و همکاران، ۲۰۲۱)</w:t>
      </w:r>
      <w:r>
        <w:rPr>
          <w:rStyle w:val="FootnoteReference"/>
        </w:rPr>
        <w:footnoteReference w:id="19"/>
      </w:r>
      <w:r>
        <w:rPr>
          <w:rtl/>
        </w:rPr>
        <w:t xml:space="preserve"> و نزدیک‌شدن دیدگاه‌ها پس از بازخورد، الگوی مورد انتظار این روش است؛ </w:t>
      </w:r>
      <w:r>
        <w:rPr>
          <w:rtl/>
        </w:rPr>
        <w:t xml:space="preserve">ضریب کندال نیز معناداری آماری این توافق را می‌سنجد</w:t>
      </w:r>
      <w:r>
        <w:rPr>
          <w:rtl/>
        </w:rPr>
        <w:t xml:space="preserve">. با این حال دو احتیاط لازم است.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 دوم، هفده گویه میانگین یکسان ۴٫۰۰ دارند و میان آن‌ها تمایز رتبه‌ای وجود ندارد؛ بنابراین رتبه‌بندی در بالا و پایین جدول آگاهی‌بخش‌تر از میانه آن است.</w:t>
      </w:r>
    </w:p>
    <w:p>
      <w:pPr>
        <w:bidi/>
        <w:spacing w:after="80"/>
        <w:jc w:val="lowKashida"/>
      </w:pPr>
      <w:r>
        <w:rPr>
          <w:rtl/>
        </w:rPr>
        <w:t xml:space="preserve">بر این پایه، پاسخ پرسش دوم را می‌توان چنین جمع‌بندی کرد: اولویت‌های فروش بنگاه تک‌محصولی در صنعت مواد غذایی ایران در سه دسته جای می‌گیرد. در صدر، چهار چالش با اختلاف اندک قرار دارند: فشارهای اقتصاد کلان، به ویژه افزایش بهای تمام‌شده و فشار بر حاشیه سود؛ تغییر ذائقه و محدودیت بازار هدف؛ شدت رقابت، به ویژه ورود رقبای جدید؛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جای دارند.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رتبه‌بندی با تأیید دو فرضیه پژوهش پشتیبانی می‌شود، هرچند تمایز رتبه‌ای در میانه جدول گویه‌ها اندک است.</w:t>
      </w:r>
    </w:p>
    <w:p>
      <w:pPr>
        <w:pStyle w:val="Heading2"/>
        <w:keepNext/>
        <w:bidi/>
        <w:spacing w:before="240" w:after="80"/>
        <w:jc w:val="lowKashida"/>
      </w:pPr>
      <w:r>
        <w:t>۵-۴ پیشنهادات تحقیق</w:t>
      </w:r>
    </w:p>
    <w:p>
      <w:pPr>
        <w:bidi/>
        <w:spacing w:after="80"/>
        <w:jc w:val="lowKashida"/>
      </w:pPr>
      <w:r>
        <w:rPr>
          <w:rtl/>
        </w:rPr>
        <w:t xml:space="preserve">پیشنهادهای زیر برای مدیران شرکت‌های تک‌محصولی بر پایه ترتیب اولویت مؤلفه‌ها در جدول ۴-۱۳ تنظیم شده‌اند. بخشی از آن‌ها بر عبارت‌های راهکاری استوار است که اعضای پانل در دور نخست، به جای بیان چالش، مطرح کردند و از کدگذاری کنار گذاشته شد (بخش ۳-۷-۱). این پیشنهادها بر پایه یافته‌های پژوهش تدوین شده‌اند و آزمون نشده‌اند.</w:t>
      </w:r>
    </w:p>
    <w:p>
      <w:pPr>
        <w:pStyle w:val="ListParagraph"/>
        <w:numPr>
          <w:ilvl w:val="0"/>
          <w:numId w:val="1"/>
        </w:numPr>
        <w:bidi/>
        <w:spacing w:after="60"/>
        <w:jc w:val="lowKashida"/>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1"/>
        </w:numPr>
        <w:bidi/>
        <w:spacing w:after="60"/>
        <w:jc w:val="lowKashida"/>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1"/>
        </w:numPr>
        <w:bidi/>
        <w:spacing w:after="60"/>
        <w:jc w:val="lowKashida"/>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1"/>
        </w:numPr>
        <w:bidi/>
        <w:spacing w:after="60"/>
        <w:jc w:val="lowKashida"/>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20"/>
      </w:r>
      <w:r>
        <w:rPr>
          <w:rtl/>
        </w:rPr>
        <w:t xml:space="preserve"> و تنوع مرتبط ریسک بنگاه را می‌کاهد (مامن و همکاران، ۲۰۲۱)</w:t>
      </w:r>
      <w:r>
        <w:rPr>
          <w:rStyle w:val="FootnoteReference"/>
        </w:rPr>
        <w:footnoteReference w:id="21"/>
      </w:r>
      <w:r>
        <w:rPr>
          <w:rtl/>
        </w:rPr>
        <w:t xml:space="preserve">؛ این مسیر بخش عمده مزیت تخصص‌گرایی را حفظ می‌کند.</w:t>
      </w:r>
    </w:p>
    <w:p>
      <w:pPr>
        <w:pStyle w:val="ListParagraph"/>
        <w:numPr>
          <w:ilvl w:val="0"/>
          <w:numId w:val="1"/>
        </w:numPr>
        <w:bidi/>
        <w:spacing w:after="60"/>
        <w:jc w:val="lowKashida"/>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1"/>
        </w:numPr>
        <w:bidi/>
        <w:spacing w:after="60"/>
        <w:jc w:val="lowKashida"/>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1"/>
        </w:numPr>
        <w:bidi/>
        <w:spacing w:after="60"/>
        <w:jc w:val="lowKashida"/>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22"/>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1"/>
        </w:numPr>
        <w:bidi/>
        <w:spacing w:after="60"/>
        <w:jc w:val="lowKashida"/>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1"/>
        </w:numPr>
        <w:bidi/>
        <w:spacing w:after="60"/>
        <w:jc w:val="lowKashida"/>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jc w:val="lowKashida"/>
      </w:pPr>
      <w:r>
        <w:t>۵-۵ محدودیت‌های پژوهش</w:t>
      </w:r>
    </w:p>
    <w:p w14:paraId="07868FC5" w14:textId="77777777" w:rsidR="00414E0E" w:rsidRDefault="00414E0E" w:rsidP="00414E0E">
      <w:pPr>
        <w:bidi/>
        <w:spacing w:after="80"/>
        <w:jc w:val="lowKashida"/>
      </w:pPr>
      <w:r>
        <w:rPr>
          <w:rtl/>
        </w:rPr>
        <w:t>هر پژوهشی در چارچوب محدودیت‌های خود معنا می‌یابد و بیان صریح این محدودیت‌ها، شرط تفسیر درست یافته‌هاست.</w:t>
      </w:r>
    </w:p>
    <w:p>
      <w:pPr>
        <w:pStyle w:val="ListParagraph"/>
        <w:numPr>
          <w:ilvl w:val="0"/>
          <w:numId w:val="1"/>
        </w:numPr>
        <w:bidi/>
        <w:spacing w:after="60"/>
        <w:jc w:val="lowKashida"/>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1"/>
        </w:numPr>
        <w:bidi/>
        <w:spacing w:after="60"/>
        <w:jc w:val="lowKashida"/>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1"/>
        </w:numPr>
        <w:bidi/>
        <w:spacing w:after="60"/>
        <w:jc w:val="lowKashida"/>
      </w:pPr>
      <w:r>
        <w:rPr>
          <w:rtl/>
        </w:rPr>
        <w:t xml:space="preserve">ماهیت اجماع: فهرست دورهای رتبه‌بندی تنها از پاسخ‌های دور نخست ساخته شد؛ از این رو عوامل مطرح‌نشده در آن دور رتبه‌بندی نشدند.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1"/>
        </w:numPr>
        <w:bidi/>
        <w:spacing w:after="60"/>
        <w:jc w:val="lowKashida"/>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jc w:val="lowKashida"/>
      </w:pPr>
      <w:r>
        <w:t>۵-۶ پیشنهادهایی برای پژوهش‌های آتی</w:t>
      </w:r>
    </w:p>
    <w:p>
      <w:pPr>
        <w:bidi/>
        <w:spacing w:after="80"/>
        <w:jc w:val="lowKashida"/>
      </w:pPr>
      <w:r>
        <w:rPr>
          <w:rtl/>
        </w:rPr>
        <w:t xml:space="preserve">پیشنهادهای زیر از یافته‌ها و محدودیت‌های این پژوهش برخاسته‌اند.</w:t>
      </w:r>
    </w:p>
    <w:p>
      <w:pPr>
        <w:pStyle w:val="ListParagraph"/>
        <w:numPr>
          <w:ilvl w:val="0"/>
          <w:numId w:val="1"/>
        </w:numPr>
        <w:bidi/>
        <w:spacing w:after="60"/>
        <w:jc w:val="lowKashida"/>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تعیین می‌کند. چنین مطالعه‌ای می‌تواند رتبه‌بندی دلفی را راستی‌آزمایی کند و تمایز رتبه‌ای میان هفده گویه هم‌امتیاز را روشن سازد.</w:t>
      </w:r>
    </w:p>
    <w:p>
      <w:pPr>
        <w:pStyle w:val="ListParagraph"/>
        <w:numPr>
          <w:ilvl w:val="0"/>
          <w:numId w:val="1"/>
        </w:numPr>
        <w:bidi/>
        <w:spacing w:after="60"/>
        <w:jc w:val="lowKashida"/>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1"/>
        </w:numPr>
        <w:bidi/>
        <w:spacing w:after="60"/>
        <w:jc w:val="lowKashida"/>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14:paraId="21F2F131" w14:textId="77777777" w:rsidR="00414E0E" w:rsidRDefault="00414E0E" w:rsidP="00414E0E">
      <w:pPr>
        <w:pStyle w:val="ListParagraph"/>
        <w:numPr>
          <w:ilvl w:val="0"/>
          <w:numId w:val="1"/>
        </w:numPr>
        <w:bidi/>
        <w:spacing w:after="60"/>
        <w:jc w:val="lowKashida"/>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14:paraId="001BB654" w14:textId="77777777" w:rsidR="00414E0E" w:rsidRDefault="00414E0E" w:rsidP="00414E0E">
      <w:pPr>
        <w:pStyle w:val="ListParagraph"/>
        <w:numPr>
          <w:ilvl w:val="0"/>
          <w:numId w:val="1"/>
        </w:numPr>
        <w:bidi/>
        <w:spacing w:after="60"/>
        <w:jc w:val="lowKashida"/>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14:paraId="422E599B" w14:textId="77777777" w:rsidR="00414E0E" w:rsidRDefault="00414E0E" w:rsidP="00414E0E">
      <w:pPr>
        <w:pStyle w:val="ListParagraph"/>
        <w:numPr>
          <w:ilvl w:val="0"/>
          <w:numId w:val="1"/>
        </w:numPr>
        <w:bidi/>
        <w:spacing w:after="60"/>
        <w:jc w:val="lowKashida"/>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1"/>
        </w:numPr>
        <w:bidi/>
        <w:spacing w:after="60"/>
        <w:jc w:val="lowKashida"/>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 w:id="1">
    <w:p>
      <w:r>
        <w:rPr>
          <w:rStyle w:val="FootnoteReference"/>
        </w:rPr>
        <w:footnoteRef/>
      </w:r>
      <w:r>
        <w:rPr>
          <w:rFonts w:ascii="Times New Roman" w:eastAsia="Times New Roman" w:hAnsi="Times New Roman" w:cs="Times New Roman"/>
          <w:sz w:val="20"/>
          <w:szCs w:val="20"/>
        </w:rPr>
        <w:t> Mammen et al., 2021</w:t>
      </w:r>
    </w:p>
  </w:footnote>
  <w:footnote w:id="2">
    <w:p>
      <w:r>
        <w:rPr>
          <w:rStyle w:val="FootnoteReference"/>
        </w:rPr>
        <w:footnoteRef/>
      </w:r>
      <w:r>
        <w:rPr>
          <w:rFonts w:ascii="Times New Roman" w:eastAsia="Times New Roman" w:hAnsi="Times New Roman" w:cs="Times New Roman"/>
          <w:sz w:val="20"/>
          <w:szCs w:val="20"/>
        </w:rPr>
        <w:t> Schommer et al., 2019</w:t>
      </w:r>
    </w:p>
  </w:footnote>
  <w:footnote w:id="3">
    <w:p>
      <w:r>
        <w:rPr>
          <w:rStyle w:val="FootnoteReference"/>
        </w:rPr>
        <w:footnoteRef/>
      </w:r>
      <w:r>
        <w:rPr>
          <w:rFonts w:ascii="Times New Roman" w:eastAsia="Times New Roman" w:hAnsi="Times New Roman" w:cs="Times New Roman"/>
          <w:sz w:val="20"/>
          <w:szCs w:val="20"/>
        </w:rPr>
        <w:t> Zain et al., 2023</w:t>
      </w:r>
    </w:p>
  </w:footnote>
  <w:footnote w:id="4">
    <w:p>
      <w:r>
        <w:rPr>
          <w:rStyle w:val="FootnoteReference"/>
        </w:rPr>
        <w:footnoteRef/>
      </w:r>
      <w:r>
        <w:rPr>
          <w:rFonts w:ascii="Times New Roman" w:eastAsia="Times New Roman" w:hAnsi="Times New Roman" w:cs="Times New Roman"/>
          <w:sz w:val="20"/>
          <w:szCs w:val="20"/>
        </w:rPr>
        <w:t> Pangarkar &amp; Prabhudesai, 2024</w:t>
      </w:r>
    </w:p>
  </w:footnote>
  <w:footnote w:id="5">
    <w:p>
      <w:r>
        <w:rPr>
          <w:rStyle w:val="FootnoteReference"/>
        </w:rPr>
        <w:footnoteRef/>
      </w:r>
      <w:r>
        <w:rPr>
          <w:rFonts w:ascii="Times New Roman" w:eastAsia="Times New Roman" w:hAnsi="Times New Roman" w:cs="Times New Roman"/>
          <w:sz w:val="20"/>
          <w:szCs w:val="20"/>
        </w:rPr>
        <w:t> Suryati &amp; Lusiah, 2022</w:t>
      </w:r>
    </w:p>
  </w:footnote>
  <w:footnote w:id="6">
    <w:p>
      <w:r>
        <w:rPr>
          <w:rStyle w:val="FootnoteReference"/>
        </w:rPr>
        <w:footnoteRef/>
      </w:r>
      <w:r>
        <w:rPr>
          <w:rFonts w:ascii="Times New Roman" w:eastAsia="Times New Roman" w:hAnsi="Times New Roman" w:cs="Times New Roman"/>
          <w:sz w:val="20"/>
          <w:szCs w:val="20"/>
        </w:rPr>
        <w:t> Thomran et al., 2022</w:t>
      </w:r>
    </w:p>
  </w:footnote>
  <w:footnote w:id="7">
    <w:p>
      <w:r>
        <w:rPr>
          <w:rStyle w:val="FootnoteReference"/>
        </w:rPr>
        <w:footnoteRef/>
      </w:r>
      <w:r>
        <w:rPr>
          <w:rFonts w:ascii="Times New Roman" w:eastAsia="Times New Roman" w:hAnsi="Times New Roman" w:cs="Times New Roman"/>
          <w:sz w:val="20"/>
          <w:szCs w:val="20"/>
        </w:rPr>
        <w:t> Mangla et al., 2021</w:t>
      </w:r>
    </w:p>
  </w:footnote>
  <w:footnote w:id="8">
    <w:p>
      <w:r>
        <w:rPr>
          <w:rStyle w:val="FootnoteReference"/>
        </w:rPr>
        <w:footnoteRef/>
      </w:r>
      <w:r>
        <w:rPr>
          <w:rFonts w:ascii="Times New Roman" w:eastAsia="Times New Roman" w:hAnsi="Times New Roman" w:cs="Times New Roman"/>
          <w:sz w:val="20"/>
          <w:szCs w:val="20"/>
        </w:rPr>
        <w:t> Taneo et al., 2022</w:t>
      </w:r>
    </w:p>
  </w:footnote>
  <w:footnote w:id="9">
    <w:p>
      <w:r>
        <w:rPr>
          <w:rStyle w:val="FootnoteReference"/>
        </w:rPr>
        <w:footnoteRef/>
      </w:r>
      <w:r>
        <w:rPr>
          <w:rFonts w:ascii="Times New Roman" w:eastAsia="Times New Roman" w:hAnsi="Times New Roman" w:cs="Times New Roman"/>
          <w:sz w:val="20"/>
          <w:szCs w:val="20"/>
        </w:rPr>
        <w:t> Mammen et al., 2021</w:t>
      </w:r>
    </w:p>
  </w:footnote>
  <w:footnote w:id="10">
    <w:p>
      <w:r>
        <w:rPr>
          <w:rStyle w:val="FootnoteReference"/>
        </w:rPr>
        <w:footnoteRef/>
      </w:r>
      <w:r>
        <w:rPr>
          <w:rFonts w:ascii="Times New Roman" w:eastAsia="Times New Roman" w:hAnsi="Times New Roman" w:cs="Times New Roman"/>
          <w:sz w:val="20"/>
          <w:szCs w:val="20"/>
        </w:rPr>
        <w:t> Thomran et al., 2022</w:t>
      </w:r>
    </w:p>
  </w:footnote>
  <w:footnote w:id="11">
    <w:p>
      <w:r>
        <w:rPr>
          <w:rStyle w:val="FootnoteReference"/>
        </w:rPr>
        <w:footnoteRef/>
      </w:r>
      <w:r>
        <w:rPr>
          <w:rFonts w:ascii="Times New Roman" w:eastAsia="Times New Roman" w:hAnsi="Times New Roman" w:cs="Times New Roman"/>
          <w:sz w:val="20"/>
          <w:szCs w:val="20"/>
        </w:rPr>
        <w:t> Shah et al., 2023</w:t>
      </w:r>
    </w:p>
  </w:footnote>
  <w:footnote w:id="12">
    <w:p>
      <w:r>
        <w:rPr>
          <w:rStyle w:val="FootnoteReference"/>
        </w:rPr>
        <w:footnoteRef/>
      </w:r>
      <w:r>
        <w:rPr>
          <w:rFonts w:ascii="Times New Roman" w:eastAsia="Times New Roman" w:hAnsi="Times New Roman" w:cs="Times New Roman"/>
          <w:sz w:val="20"/>
          <w:szCs w:val="20"/>
        </w:rPr>
        <w:t> Suryati &amp; Lusiah, 2022</w:t>
      </w:r>
    </w:p>
  </w:footnote>
  <w:footnote w:id="13">
    <w:p>
      <w:r>
        <w:rPr>
          <w:rStyle w:val="FootnoteReference"/>
        </w:rPr>
        <w:footnoteRef/>
      </w:r>
      <w:r>
        <w:rPr>
          <w:rFonts w:ascii="Times New Roman" w:eastAsia="Times New Roman" w:hAnsi="Times New Roman" w:cs="Times New Roman"/>
          <w:sz w:val="20"/>
          <w:szCs w:val="20"/>
        </w:rPr>
        <w:t> Pangarkar &amp; Prabhudesai, 2024</w:t>
      </w:r>
    </w:p>
  </w:footnote>
  <w:footnote w:id="14">
    <w:p>
      <w:r>
        <w:rPr>
          <w:rStyle w:val="FootnoteReference"/>
        </w:rPr>
        <w:footnoteRef/>
      </w:r>
      <w:r>
        <w:rPr>
          <w:rFonts w:ascii="Times New Roman" w:eastAsia="Times New Roman" w:hAnsi="Times New Roman" w:cs="Times New Roman"/>
          <w:sz w:val="20"/>
          <w:szCs w:val="20"/>
        </w:rPr>
        <w:t> Pangarkar &amp; Prabhudesai, 2024</w:t>
      </w:r>
    </w:p>
  </w:footnote>
  <w:footnote w:id="15">
    <w:p>
      <w:r>
        <w:rPr>
          <w:rStyle w:val="FootnoteReference"/>
        </w:rPr>
        <w:footnoteRef/>
      </w:r>
      <w:r>
        <w:rPr>
          <w:rFonts w:ascii="Times New Roman" w:eastAsia="Times New Roman" w:hAnsi="Times New Roman" w:cs="Times New Roman"/>
          <w:sz w:val="20"/>
          <w:szCs w:val="20"/>
        </w:rPr>
        <w:t> Miklian &amp; Hoelscher, 2022</w:t>
      </w:r>
    </w:p>
  </w:footnote>
  <w:footnote w:id="16">
    <w:p>
      <w:r>
        <w:rPr>
          <w:rStyle w:val="FootnoteReference"/>
        </w:rPr>
        <w:footnoteRef/>
      </w:r>
      <w:r>
        <w:rPr>
          <w:rFonts w:ascii="Times New Roman" w:eastAsia="Times New Roman" w:hAnsi="Times New Roman" w:cs="Times New Roman"/>
          <w:sz w:val="20"/>
          <w:szCs w:val="20"/>
        </w:rPr>
        <w:t> Mammen et al., 2021</w:t>
      </w:r>
    </w:p>
  </w:footnote>
  <w:footnote w:id="17">
    <w:p>
      <w:r>
        <w:rPr>
          <w:rStyle w:val="FootnoteReference"/>
        </w:rPr>
        <w:footnoteRef/>
      </w:r>
      <w:r>
        <w:rPr>
          <w:rFonts w:ascii="Times New Roman" w:eastAsia="Times New Roman" w:hAnsi="Times New Roman" w:cs="Times New Roman"/>
          <w:sz w:val="20"/>
          <w:szCs w:val="20"/>
        </w:rPr>
        <w:t> Thomran et al., 2022</w:t>
      </w:r>
    </w:p>
  </w:footnote>
  <w:footnote w:id="18">
    <w:p>
      <w:r>
        <w:rPr>
          <w:rStyle w:val="FootnoteReference"/>
        </w:rPr>
        <w:footnoteRef/>
      </w:r>
      <w:r>
        <w:rPr>
          <w:rFonts w:ascii="Times New Roman" w:eastAsia="Times New Roman" w:hAnsi="Times New Roman" w:cs="Times New Roman"/>
          <w:sz w:val="20"/>
          <w:szCs w:val="20"/>
        </w:rPr>
        <w:t> Dukhaykh &amp; Alangri, 2026</w:t>
      </w:r>
    </w:p>
  </w:footnote>
  <w:footnote w:id="19">
    <w:p>
      <w:r>
        <w:rPr>
          <w:rStyle w:val="FootnoteReference"/>
        </w:rPr>
        <w:footnoteRef/>
      </w:r>
      <w:r>
        <w:rPr>
          <w:rFonts w:ascii="Times New Roman" w:eastAsia="Times New Roman" w:hAnsi="Times New Roman" w:cs="Times New Roman"/>
          <w:sz w:val="20"/>
          <w:szCs w:val="20"/>
        </w:rPr>
        <w:t> Nasa et al., 2021</w:t>
      </w:r>
    </w:p>
  </w:footnote>
  <w:footnote w:id="20">
    <w:p>
      <w:r>
        <w:rPr>
          <w:rStyle w:val="FootnoteReference"/>
        </w:rPr>
        <w:footnoteRef/>
      </w:r>
      <w:r>
        <w:rPr>
          <w:rFonts w:ascii="Times New Roman" w:eastAsia="Times New Roman" w:hAnsi="Times New Roman" w:cs="Times New Roman"/>
          <w:sz w:val="20"/>
          <w:szCs w:val="20"/>
        </w:rPr>
        <w:t> Arte &amp; Larimo, 2022</w:t>
      </w:r>
    </w:p>
  </w:footnote>
  <w:footnote w:id="21">
    <w:p>
      <w:r>
        <w:rPr>
          <w:rStyle w:val="FootnoteReference"/>
        </w:rPr>
        <w:footnoteRef/>
      </w:r>
      <w:r>
        <w:rPr>
          <w:rFonts w:ascii="Times New Roman" w:eastAsia="Times New Roman" w:hAnsi="Times New Roman" w:cs="Times New Roman"/>
          <w:sz w:val="20"/>
          <w:szCs w:val="20"/>
        </w:rPr>
        <w:t> Mammen et al., 2021</w:t>
      </w:r>
    </w:p>
  </w:footnote>
  <w:footnote w:id="22">
    <w:p>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