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2"/>
        <w:keepNext/>
        <w:bidi/>
        <w:spacing w:before="0" w:after="80"/>
        <w:jc w:val="lowKashida"/>
      </w:pPr>
      <w:r>
        <w:t>یادداشت‌های بررسی ارجاع‌ها و منابع (برای پژوهشگر؛ جزو پایان‌نامه نیست)</w:t>
      </w:r>
    </w:p>
    <w:p>
      <w:pPr>
        <w:bidi/>
        <w:spacing w:after="80"/>
        <w:jc w:val="lowKashida"/>
      </w:pPr>
      <w:r>
        <w:rPr>
          <w:sz w:val="24"/>
          <w:szCs w:val="24"/>
          <w:rtl/>
        </w:rPr>
        <w:t xml:space="preserve">همه ارجاع‌های درون‌متنی فصل‌های ۱ تا ۵ با فهرست منابع تطبیق داده شد. هر جمله‌ای که توصیف آن با عنوان یا چکیده مقاله نمی‌خواند، به آنچه مقاله بیان می‌کند اصلاح یا از آن مقاله جدا شد؛ استنباط‌های خود پژوهش هم با عبارت‌هایی مانند «می‌توان استدلال کرد» از یافته منبع جدا شده‌اند. بررسی مقاله‌ها در حد عنوان و چکیده انجام شد (دسترسی به متن کامل و پایگاه‌هایی مانند Crossref در محیط اجرا ممکن نبود) و جست‌وجوی وب در این نوبت به سقف مجاز رسید؛ از این رو مواردی که باید با متن کامل مقاله سنجیده شود در جدول‌های زیر آمده است.</w:t>
      </w:r>
    </w:p>
    <w:p>
      <w:pPr>
        <w:keepNext/>
        <w:bidi/>
        <w:spacing w:before="140" w:after="60"/>
        <w:jc w:val="lowKashida"/>
      </w:pPr>
      <w:r>
        <w:rPr>
          <w:b/>
          <w:bCs/>
          <w:sz w:val="24"/>
          <w:szCs w:val="24"/>
          <w:rtl/>
        </w:rPr>
        <w:t xml:space="preserve">الف) تصمیم‌هایی که گرفته شد و ممکن است بخواهید تغییر دهید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60"/>
        <w:gridCol w:w="3900"/>
        <w:gridCol w:w="4228"/>
      </w:tblGrid>
      <w:tr>
        <w:trPr>
          <w:cantSplit/>
          <w:tblHeader/>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b/>
                <w:bCs/>
                <w:sz w:val="21"/>
                <w:szCs w:val="21"/>
                <w:rtl/>
              </w:rPr>
              <w:t xml:space="preserve">ردیف</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مورد</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توضیح یا اقدام پیشنهادی</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«کاتلر و همکاران (۲۰۲۱)» (فصل 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به «کاتلر و همکاران (۲۰۲۲)» یعنی Marketing Management ویرایش شانزدهم (کاتلر، کلر، چرنو؛ سال حق نشر ۲۰۲۲) تبدیل شد. اگر کتاب دیگری مراد بوده (مثلاً Marketing ۵٫۰) اعلام کنید.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۲</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«مامن و همکاران (۲۰۲۳)» (فصل 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مقاله‌ای با این سال پیدا نشد؛ به مامن و همکاران ۲۰۲۱ تبدیل شد. عبارت «تغییرات تکنولوژیک» حذف شد چون در آن مقاله نیست.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۳</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«یکینی (۲۰۲۴)» (فصل 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مقاله WSEAS هشت نویسنده دارد و یکینی نویسنده چهارم است؛ در متن و فهرست «زین و همکاران (۲۰۲۴)» آمد. «پنج بنگاه» و «مهم‌ترین مانع» حذف شد چون در چکیده تأیید نشد.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۴</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صفری و اسماعیل‌نژاد</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سال ۱۴۰۳ در متن، جدول‌ها و فهرست یکسان شد (شماره «بهار و تابستان ۱۴۰۳»؛ DOI به سال ۲۰۲۵ ثبت شده). اگر نسخه شما ۱۴۰۴ دارد اصلاح کنید.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۵</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املای نام‌ها</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آسیابانی (نه اسیابانی)، دوراندیش، لوسیه (نه لوسیا)، یمقانی و محزونی (املای نشریه؛ در متن شما یامقانی و محضونی بود)، میثمی‌آزاد ۱۴۰۰ (نه ۱۴۰۲).</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۶</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براون و کلارک</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تعریف تحلیل مضمون و شش مرحله به مقاله ۲۰۰۶ (Using thematic analysis in psychology) نسبت داده می‌شود و کتاب را نیز نگه داشتم؛ این مقاله به فهرست اضافه شد. سال کتاب ۲۰۲۱ مانده؛ ممکن است صفحه حق نشر نسخه شما ۲۰۲۲ باشد.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۷</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ضریب هماهنگی کندال</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شیفانو و نیدربرگر (۲۰۲۵) این ضریب را گزارش نکرده‌اند؛ ارجاع در فصل‌های ۱، ۳، ۴ و ۵ حذف و در فصل ۴ نتیجه واقعی مقاله آمد (اجماع در ۸۱٪ مطالعات درصد توافق است؛ شاخص آماری در حدود ۳۰٪). اگر منبعی برای W کندال در دلفی (مثلاً Schmidt, ۱۹۹۷) بخواهید، مشخصاتش را راستی‌آزمایی می‌کنم.</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۸</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بازخورد دور سوم (فصل 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«میانه و دامنه بین‌چارکی» به «میانگین و میانه» اصلاح شد؛ فرم‌های دور سوم و فصل ۴ همین را نشان می‌دهند.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۹</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عنوان خبره ۲</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در فرم دور سوم «مدیر برنامه‌ریزی تولید» است؛ در فصل‌های ۳ تا ۵ و جدول ۴-۱، ۴-۲ و نمودار ۴-۱ (شامل فایل Excel نمودار) همین آمد.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۱۰</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جمله‌های بی‌منبع</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«گزارش‌های صنفی از موج تعطیلی کارگاه‌ها» (فصل ۲) به عبارت احتمالی تبدیل شد. «اغلب بنگاه‌های صنعت غذایی ایران کوچک و متوسط‌اند» (فصل ۱ و ۲) همچنان بدون منبع مستقیم است؛ در صورت داشتن آمار، اضافه کنید.</w:t>
            </w:r>
          </w:p>
        </w:tc>
      </w:tr>
    </w:tbl>
    <w:p>
      <w:pPr>
        <w:keepNext/>
        <w:bidi/>
        <w:spacing w:before="140" w:after="60"/>
        <w:jc w:val="lowKashida"/>
      </w:pPr>
      <w:r>
        <w:rPr>
          <w:b/>
          <w:bCs/>
          <w:sz w:val="24"/>
          <w:szCs w:val="24"/>
          <w:rtl/>
        </w:rPr>
        <w:t xml:space="preserve">ب) توصیف‌هایی که با چکیده نمی‌خواند و اصلاح 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60"/>
        <w:gridCol w:w="3900"/>
        <w:gridCol w:w="4228"/>
      </w:tblGrid>
      <w:tr>
        <w:trPr>
          <w:cantSplit/>
          <w:tblHeader/>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b/>
                <w:bCs/>
                <w:sz w:val="21"/>
                <w:szCs w:val="21"/>
                <w:rtl/>
              </w:rPr>
              <w:t xml:space="preserve">ردیف</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مورد</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توضیح یا اقدام پیشنهادی</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Sharabati et al. (۲۰۲۴)</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مرور نظام‌مند ۵۲ پژوهش نیست؛ پیمایش مدیران ۱۹۰ شرکت در اردن است و تحول دیجیتال در آن نقش میانجی دارد.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۲</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Zain et al. (۲۰۲۳)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مهم‌ترین مانع «فناورانه» است و پس از آن اطلاعاتی و مالی؛ «ضعف مدیریتی و ناآگاهی از استانداردها» در چکیده نیست.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۳</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Gupta &amp; Jagtap (۲۰۲۴)</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چکیده بر اتصال اینترنت روستایی و موانع سازمانی تأکید دارد، نه هزینه فناوری و منابع انسانی.</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۴</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Mangla et al. (۲۰۲۱)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درباره چالش‌های ابتکارات ایمنی غذا (BWM و DEMATEL) است؛ استناد برای رفتار خرید، نوسان‌های کلان، وابستگی کشاورزی و ظرفیت انطباق بنگاه‌های کوچک حذف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۵</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Schommer et al. (۲۰۱۹)</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یافته در متن وارونه شده بود: رابطه تنوع نامرتبط با عملکرد در طول زمان بهتر شده و رابطه تنوع مرتبط نسبتاً پایدار مانده است.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۶</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Mammen et al. (۲۰۲۱)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تنوع محصولی و مرتبط ریسک را کاهش و تنوع جغرافیایی آن را افزایش می‌دهد؛ ادعاهای ورشکستگی، میانگین بازده و «تمرکز در هر دو بُعد» حذف یا اصلاح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۷</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Taneo et al. (۲۰۲۲)</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آموزش دانش مدیریت منابع انسانی ۳۵ مدیر را بالا برده است؛ ادعاهای ترویج، CRM، بازار کار و هشدار زودهنگام از این مقاله جدا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۸</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Williams &amp; Aaron, Miklian &amp; Hoelscher, Kero &amp; Bogale, Arte &amp; Larimo, Dukhaykh &amp; Alangri, Singh et al., Suryati &amp; Lusiah, Shah et al., Karimi et al., Pangarkar &amp; Prabhudesai</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ادعاهایی که از چکیده برنمی‌آمد (مثلاً تغییر جذابیت صنعت در چرخه عمر، «اثر هم‌افزا» یا «سه‌سطحی» بودن موانع، تعمیم یافته‌های مطالعه هتل‌های جاکارتا به صنعت غذا، سنت به‌عنوان مانع، اختلال تأمین به‌عنوان عامل تعیین‌کننده) جدا یا به سطح موضوع و روش بازنویسی شد.</w:t>
            </w:r>
          </w:p>
        </w:tc>
      </w:tr>
    </w:tbl>
    <w:p>
      <w:pPr>
        <w:keepNext/>
        <w:bidi/>
        <w:spacing w:before="140" w:after="60"/>
        <w:jc w:val="lowKashida"/>
      </w:pPr>
      <w:r>
        <w:rPr>
          <w:b/>
          <w:bCs/>
          <w:sz w:val="24"/>
          <w:szCs w:val="24"/>
          <w:rtl/>
        </w:rPr>
        <w:t xml:space="preserve">ج) مواردی که چکیده در دسترس نبود؛ توصیف فعلی را با متن مقاله بسنجید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60"/>
        <w:gridCol w:w="3900"/>
        <w:gridCol w:w="4228"/>
      </w:tblGrid>
      <w:tr>
        <w:trPr>
          <w:cantSplit/>
          <w:tblHeader/>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b/>
                <w:bCs/>
                <w:sz w:val="21"/>
                <w:szCs w:val="21"/>
                <w:rtl/>
              </w:rPr>
              <w:t xml:space="preserve">ردیف</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مورد</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توضیح یا اقدام پیشنهادی</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Singh et al. (۲۰۲۲)</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سه مانع برتر (استانداردسازی کیفیت، وابستگی به آب‌وهوا، هزینه زنجیره سرد) و سه سطح مزرعه/توزیع/مصرف‌کننده (فصل ۲، بخش‌های ۲-۲-۵ و ۲-۳-۲).</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۲</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اسکندری و همکاران (۱۴۰۴)</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عبارت «زنجیره تأمین مواد غذایی ایران»؛ یافته نقل‌شده (پیش‌بینی نادرست تقاضا و اعتبار مالی) با چکیده سازگار است.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۳</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محمدی و همکاران (۱۴۰۱)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فهرست عوامل (تجربه مدیر، تحصیلات، نوع محصول، رقابت‌پذیری، اعتبار برند، سهم بازار) و نمونه مدیران بازاریابی صنایع غذایی؛ ممکن است با مقاله ۱۳۹۵ خلط شده باشد.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۴</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محسنی‌کبیر و همکاران (۱۴۰۳)، نجاتی (۱۴۰۰)</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محرک‌های تاب‌آوری (فصل ۲، بخش‌های ۲-۲-۴-۴ و ۲-۳-۱) و پنج استراتژی بازاریابی دیجیتال.</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۵</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قلی‌پور و همکاران (۱۴۰۳)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ردیف ۸ جدول ۲-۱ و ردیف ۲ جدول ۵-۱ به این مقاله (تجارت با بازار عمان) متکی است؛ محتوای مقاله با ادعا سنجیده شود.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۶</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آسیابانی، میثمی‌آزاد، سیدغفوری</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یافته‌های نقل‌شده در نسخه قبلی (ناپایداری ترجیح، اعتماد و شفافیت برندسازی، اتحادیه‌های صنفی) تأیید نشد و فقط عنوان و روش مقاله آمد؛ اگر در چکیده هست، برگردانید.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۷</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Zain et al. (۲۰۲۳)، Pangarkar &amp; Prabhudesai (۲۰۲۴)</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فهرست نویسندگان زین (Zain, Ramli, Zain, Rahim, Musa) از متن شما است؛ شماره مجله پانگارکار ۴۳(۵) است و برخی منابع ۴۳(۱) نوشته‌اند.</w:t>
            </w:r>
          </w:p>
        </w:tc>
      </w:tr>
    </w:tbl>
    <w:p>
      <w:pPr>
        <w:keepNext/>
        <w:bidi/>
        <w:spacing w:before="140" w:after="40"/>
        <w:jc w:val="lowKashida"/>
      </w:pPr>
      <w:r>
        <w:rPr>
          <w:b/>
          <w:bCs/>
          <w:sz w:val="24"/>
          <w:szCs w:val="24"/>
          <w:rtl/>
        </w:rPr>
        <w:t xml:space="preserve">د) مشخصات ناقص در فهرست منابع (بدون حدس نوشته نشد و برای جست‌وجوی بعدی ثبت است): </w:t>
      </w:r>
    </w:p>
    <w:p>
      <w:pPr>
        <w:pStyle w:val="ListParagraph"/>
        <w:numPr>
          <w:ilvl w:val="0"/>
          <w:numId w:val="1"/>
        </w:numPr>
        <w:bidi/>
        <w:spacing w:after="30"/>
        <w:jc w:val="lowKashida"/>
      </w:pPr>
      <w:r>
        <w:rPr>
          <w:sz w:val="24"/>
          <w:szCs w:val="24"/>
          <w:rtl/>
        </w:rPr>
        <w:t xml:space="preserve">سیدغفوری و همکاران (۱۴۰۳): دوره، شماره و صفحه‌ها (نام نشریه و نشانی صفحه آمده است).</w:t>
      </w:r>
    </w:p>
    <w:p>
      <w:pPr>
        <w:pStyle w:val="ListParagraph"/>
        <w:numPr>
          <w:ilvl w:val="0"/>
          <w:numId w:val="1"/>
        </w:numPr>
        <w:bidi/>
        <w:spacing w:after="30"/>
        <w:jc w:val="lowKashida"/>
      </w:pPr>
      <w:r>
        <w:rPr>
          <w:sz w:val="24"/>
          <w:szCs w:val="24"/>
          <w:rtl/>
        </w:rPr>
        <w:t xml:space="preserve">محسنی‌کبیر و همکاران (۱۴۰۳): دوره، شماره، صفحه‌ها و سال انتشار.</w:t>
      </w:r>
    </w:p>
    <w:p>
      <w:pPr>
        <w:pStyle w:val="ListParagraph"/>
        <w:numPr>
          <w:ilvl w:val="0"/>
          <w:numId w:val="1"/>
        </w:numPr>
        <w:bidi/>
        <w:spacing w:after="30"/>
        <w:jc w:val="lowKashida"/>
      </w:pPr>
      <w:r>
        <w:rPr>
          <w:sz w:val="24"/>
          <w:szCs w:val="24"/>
          <w:rtl/>
        </w:rPr>
        <w:t xml:space="preserve">محمدی و ثانی‌حیدری (۱۳۹۵): دوره، شماره و صفحه‌ها؛ نجاتی (۱۴۰۰): دوره؛ صفری و اسماعیل‌نژاد و قلی‌پور و همکاران: صفحه‌ها.</w:t>
      </w:r>
    </w:p>
    <w:p>
      <w:pPr>
        <w:pStyle w:val="ListParagraph"/>
        <w:numPr>
          <w:ilvl w:val="0"/>
          <w:numId w:val="1"/>
        </w:numPr>
        <w:bidi/>
        <w:spacing w:after="30"/>
        <w:jc w:val="lowKashida"/>
      </w:pPr>
      <w:r>
        <w:rPr>
          <w:sz w:val="24"/>
          <w:szCs w:val="24"/>
          <w:rtl/>
        </w:rPr>
        <w:t xml:space="preserve">حرف اول نام نویسندگان فارسی از صفحه مقاله‌ها گرفته شده است؛ در صورت تفاوت اصلاح کنید.</w:t>
      </w:r>
    </w:p>
    <w:p>
      <w:pPr>
        <w:keepNext/>
        <w:bidi/>
        <w:spacing w:before="140" w:after="40"/>
        <w:jc w:val="lowKashida"/>
      </w:pPr>
      <w:r>
        <w:rPr>
          <w:b/>
          <w:bCs/>
          <w:sz w:val="24"/>
          <w:szCs w:val="24"/>
          <w:rtl/>
        </w:rPr>
        <w:t xml:space="preserve">ه) پیوست‌ها</w:t>
      </w:r>
    </w:p>
    <w:p>
      <w:pPr>
        <w:pStyle w:val="ListParagraph"/>
        <w:numPr>
          <w:ilvl w:val="0"/>
          <w:numId w:val="1"/>
        </w:numPr>
        <w:bidi/>
        <w:spacing w:after="30"/>
        <w:jc w:val="lowKashida"/>
      </w:pPr>
      <w:r>
        <w:rPr>
          <w:sz w:val="24"/>
          <w:szCs w:val="24"/>
          <w:rtl/>
        </w:rPr>
        <w:t xml:space="preserve">پیوست الف تا پ از فرم‌های خود شما ساخته شد. فرم دور نخست «کدهای خ۱ تا خ۲۴» دارد، در حالی که پانل هفت‌نفره و فصل ۳ «خ۱ تا خ۷» می‌گوید؛ فرم بدون تغییر آمده است.</w:t>
      </w:r>
    </w:p>
    <w:p>
      <w:pPr>
        <w:pStyle w:val="ListParagraph"/>
        <w:numPr>
          <w:ilvl w:val="0"/>
          <w:numId w:val="1"/>
        </w:numPr>
        <w:bidi/>
        <w:spacing w:after="30"/>
        <w:jc w:val="lowKashida"/>
      </w:pPr>
      <w:r>
        <w:rPr>
          <w:sz w:val="24"/>
          <w:szCs w:val="24"/>
          <w:rtl/>
        </w:rPr>
        <w:t xml:space="preserve">مشخصات خبرگان از سرصفحه فرم‌های دور سوم گرفته شد. فایل دور دوم مشخصات متفاوتی داشت و نوع محصول هر خبره فقط در همان فایل بود؛ جدول ۴-۵ (لبنیات ۱، کره ۲، حلوا ارده ۱، ثبت‌نشده ۳) را با فرم‌های دور نخست مقایسه کنید.</w:t>
      </w:r>
    </w:p>
    <w:p>
      <w:pPr>
        <w:pStyle w:val="ListParagraph"/>
        <w:numPr>
          <w:ilvl w:val="0"/>
          <w:numId w:val="1"/>
        </w:numPr>
        <w:bidi/>
        <w:spacing w:after="30"/>
        <w:jc w:val="lowKashida"/>
      </w:pPr>
      <w:r>
        <w:rPr>
          <w:sz w:val="24"/>
          <w:szCs w:val="24"/>
          <w:rtl/>
        </w:rPr>
        <w:t xml:space="preserve">پیوست ت (خروجی‌های سه دور) با نرم‌افزار پایتون از امتیازهای خام محاسبه شد و با جدول‌های فصل ۴ می‌خواند؛ اگر خروجی SPSS دارید جایگزین کنید.</w:t>
      </w:r>
    </w:p>
    <w:p>
      <w:pPr>
        <w:pStyle w:val="ListParagraph"/>
        <w:numPr>
          <w:ilvl w:val="0"/>
          <w:numId w:val="1"/>
        </w:numPr>
        <w:bidi/>
        <w:spacing w:after="30"/>
        <w:jc w:val="lowKashida"/>
      </w:pPr>
      <w:r>
        <w:rPr>
          <w:sz w:val="24"/>
          <w:szCs w:val="24"/>
          <w:rtl/>
        </w:rPr>
        <w:t xml:space="preserve">پیوست ث: سه عدد جدول ث-۱ (۱۸٪ اشتغال صنعتی، ۷۰۰ میلیارد دلار، ۰٫۳٪) به نقل از اظهارات رئیس کمیسیون صنایع غذایی اتاق ایران در خبرگزاری مهر (۱۹ اردیبهشت ۱۴۰۳) است و آمار رسمی نیست.</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یادداشت‌های بررسی منابع</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