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  <w:bidi/>
        <w:spacing w:before="5600"/>
        <w:jc w:val="center"/>
      </w:pPr>
      <w:r>
        <w:t>منابع</w:t>
      </w:r>
    </w:p>
    <w:p>
      <w:pPr>
        <w:bidi/>
        <w:jc w:val="lowKashida"/>
      </w:pPr>
      <w:r>
        <w:br w:type="page"/>
      </w:r>
    </w:p>
    <w:p>
      <w:pPr>
        <w:pStyle w:val="Heading2"/>
        <w:keepNext/>
        <w:bidi/>
        <w:spacing w:before="0" w:after="80"/>
        <w:jc w:val="lowKashida"/>
      </w:pPr>
      <w:r>
        <w:t>منابع داخلی</w:t>
      </w:r>
    </w:p>
    <w:p>
      <w:pPr>
        <w:bidi/>
        <w:spacing w:after="140"/>
        <w:ind w:left="567" w:hanging="567"/>
      </w:pPr>
      <w:r>
        <w:rPr>
          <w:rtl/>
        </w:rPr>
        <w:t xml:space="preserve">آسیابانی، ن.، کاظم‌پور کهریز، ا.، حسنی‌مقدم، م.، دوراندیش، آ.، و قاسمی، ا. (۱۴۰۴). ارزیابی پایداری ترجیحات مصرف‌کنندگان برنج در کشور. </w:t>
      </w:r>
      <w:r>
        <w:rPr>
          <w:i/>
          <w:iCs/>
          <w:rtl/>
        </w:rPr>
        <w:t xml:space="preserve">اقتصاد و توسعه کشاورزی، ۳۹</w:t>
      </w:r>
      <w:r>
        <w:rPr>
          <w:rtl/>
        </w:rPr>
        <w:t xml:space="preserve">(۳)، ۲۷۳–۲۸۹. </w:t>
      </w:r>
      <w:r>
        <w:rPr>
          <w:rFonts w:ascii="Times New Roman" w:hAnsi="Times New Roman" w:cs="Times New Roman" w:eastAsia="Times New Roman"/>
        </w:rPr>
        <w:t xml:space="preserve">https://doi.org/10.22067/jead.2025.93036.1343</w:t>
      </w:r>
    </w:p>
    <w:p>
      <w:pPr>
        <w:bidi/>
        <w:spacing w:after="140"/>
        <w:ind w:left="567" w:hanging="567"/>
      </w:pPr>
      <w:r>
        <w:rPr>
          <w:rtl/>
        </w:rPr>
        <w:t xml:space="preserve">اسکندری، م.، دارابی، م.، و اصغری، ح. (۱۴۰۴). شناسایی و ارزیابی موانع حوزه فروش به‌منظور کاهش بحران‌های زنجیره تأمین مواد غذایی. </w:t>
      </w:r>
      <w:r>
        <w:rPr>
          <w:i/>
          <w:iCs/>
          <w:rtl/>
        </w:rPr>
        <w:t xml:space="preserve">مدیریت زنجیره تأمین، ۲۷</w:t>
      </w:r>
      <w:r>
        <w:rPr>
          <w:rtl/>
        </w:rPr>
        <w:t xml:space="preserve">(۱، پیاپی ۸۶)، ۱۹–۲۹.</w:t>
      </w:r>
    </w:p>
    <w:p>
      <w:pPr>
        <w:bidi/>
        <w:spacing w:after="140"/>
        <w:ind w:left="567" w:hanging="567"/>
      </w:pPr>
      <w:r>
        <w:rPr>
          <w:rtl/>
        </w:rPr>
        <w:t xml:space="preserve">خبرگزاری مهر. (۱۹ اردیبهشت ۱۴۰۳). </w:t>
      </w:r>
      <w:r>
        <w:rPr>
          <w:i/>
          <w:iCs/>
          <w:rtl/>
        </w:rPr>
        <w:t xml:space="preserve">سهم ۰٫۳ درصدی ایران از صادرات صنایع غذایی جهان</w:t>
      </w:r>
      <w:r>
        <w:rPr>
          <w:rtl/>
        </w:rPr>
        <w:t xml:space="preserve">. </w:t>
      </w:r>
      <w:r>
        <w:rPr>
          <w:rFonts w:ascii="Times New Roman" w:hAnsi="Times New Roman" w:cs="Times New Roman" w:eastAsia="Times New Roman"/>
        </w:rPr>
        <w:t xml:space="preserve">https://www.mehrnews.com/news/6100732</w:t>
      </w:r>
    </w:p>
    <w:p>
      <w:pPr>
        <w:bidi/>
        <w:spacing w:after="140"/>
        <w:ind w:left="567" w:hanging="567"/>
      </w:pPr>
      <w:r>
        <w:rPr>
          <w:rtl/>
        </w:rPr>
        <w:t xml:space="preserve">سیدغفوری، س.، ناصحی‌فر، و.، و عسکری، ف. (۱۴۰۳). شناسایی عوامل مؤثر بر استراتژی توزیع در صنایع غذایی با نگرش بازاریابی و فروش آنلاین (فراترکیب). </w:t>
      </w:r>
      <w:r>
        <w:rPr>
          <w:i/>
          <w:iCs/>
          <w:rtl/>
        </w:rPr>
        <w:t xml:space="preserve">ارزش‌آفرینی در مدیریت کسب‌وکار</w:t>
      </w:r>
      <w:r>
        <w:rPr>
          <w:rtl/>
        </w:rPr>
        <w:t xml:space="preserve">. </w:t>
      </w:r>
      <w:r>
        <w:rPr>
          <w:rFonts w:ascii="Times New Roman" w:hAnsi="Times New Roman" w:cs="Times New Roman" w:eastAsia="Times New Roman"/>
        </w:rPr>
        <w:t xml:space="preserve">https://jvcbm.ir/article_200290.html</w:t>
      </w:r>
    </w:p>
    <w:p>
      <w:pPr>
        <w:bidi/>
        <w:spacing w:after="140"/>
        <w:ind w:left="567" w:hanging="567"/>
      </w:pPr>
      <w:r>
        <w:rPr>
          <w:rtl/>
        </w:rPr>
        <w:t xml:space="preserve">صفری، م.، و اسماعیل‌نژاد، د. (۱۴۰۳). شناسایی و اولویت‌بندی موانع فروش محصولات سبز در ترویج الگوی مصرف پایدار با استفاده از روش بهترین–بدترین و تودیم فازی. </w:t>
      </w:r>
      <w:r>
        <w:rPr>
          <w:i/>
          <w:iCs/>
          <w:rtl/>
        </w:rPr>
        <w:t xml:space="preserve">راهبردهای بازرگانی، ۳۱</w:t>
      </w:r>
      <w:r>
        <w:rPr>
          <w:rtl/>
        </w:rPr>
        <w:t xml:space="preserve">(۲۳). </w:t>
      </w:r>
      <w:r>
        <w:rPr>
          <w:rFonts w:ascii="Times New Roman" w:hAnsi="Times New Roman" w:cs="Times New Roman" w:eastAsia="Times New Roman"/>
        </w:rPr>
        <w:t xml:space="preserve">https://doi.org/10.22070/cs.2025.20707.1440</w:t>
      </w:r>
    </w:p>
    <w:p>
      <w:pPr>
        <w:bidi/>
        <w:spacing w:after="140"/>
        <w:ind w:left="567" w:hanging="567"/>
      </w:pPr>
      <w:r>
        <w:rPr>
          <w:rtl/>
        </w:rPr>
        <w:t xml:space="preserve">فائقی، م.، سبزعلی یمقانی، ک.، محزونی، م.، و احمدی، م. (۱۴۰۳). اولویت‌بندی عوامل اثرگذار تکنیک‌های بازاریابی عصبی در تولید پایدار (مورد مطالعه صنایع غذایی ایران). </w:t>
      </w:r>
      <w:r>
        <w:rPr>
          <w:i/>
          <w:iCs/>
          <w:rtl/>
        </w:rPr>
        <w:t xml:space="preserve">مدیریت بازاریابی هوشمند، ۵</w:t>
      </w:r>
      <w:r>
        <w:rPr>
          <w:rtl/>
        </w:rPr>
        <w:t xml:space="preserve">(۲)، ۶۵–۱۰۰.</w:t>
      </w:r>
    </w:p>
    <w:p>
      <w:pPr>
        <w:bidi/>
        <w:spacing w:after="140"/>
        <w:ind w:left="567" w:hanging="567"/>
      </w:pPr>
      <w:r>
        <w:rPr>
          <w:rtl/>
        </w:rPr>
        <w:t xml:space="preserve">قلی‌پور، س.، حسینی، م.، و پیروز، ا. (۱۴۰۳). فرصت‌ها و چالش‌های تجارت محصولات غذایی ایران به بازار عمان. </w:t>
      </w:r>
      <w:r>
        <w:rPr>
          <w:i/>
          <w:iCs/>
          <w:rtl/>
        </w:rPr>
        <w:t xml:space="preserve">مطالعات کشورها، ۳</w:t>
      </w:r>
      <w:r>
        <w:rPr>
          <w:rtl/>
        </w:rPr>
        <w:t xml:space="preserve">(۲). </w:t>
      </w:r>
      <w:r>
        <w:rPr>
          <w:rFonts w:ascii="Times New Roman" w:hAnsi="Times New Roman" w:cs="Times New Roman" w:eastAsia="Times New Roman"/>
        </w:rPr>
        <w:t xml:space="preserve">https://doi.org/10.22059/jcountst.2025.387432.1210</w:t>
      </w:r>
    </w:p>
    <w:p>
      <w:pPr>
        <w:bidi/>
        <w:spacing w:after="140"/>
        <w:ind w:left="567" w:hanging="567"/>
      </w:pPr>
      <w:r>
        <w:rPr>
          <w:rtl/>
        </w:rPr>
        <w:t xml:space="preserve">کریمی، ا.، حسن‌پور، ح.، و مصدق‌خواه، م. (۱۴۰۳). ارائه الگوی تحلیل اختلالات و تاب‌آوری زنجیره تأمین مواد غذایی. </w:t>
      </w:r>
      <w:r>
        <w:rPr>
          <w:i/>
          <w:iCs/>
          <w:rtl/>
        </w:rPr>
        <w:t xml:space="preserve">بهبود مدیریت، ۱۸</w:t>
      </w:r>
      <w:r>
        <w:rPr>
          <w:rtl/>
        </w:rPr>
        <w:t xml:space="preserve">(۲)، ۴۸–۷۳. </w:t>
      </w:r>
      <w:r>
        <w:rPr>
          <w:rFonts w:ascii="Times New Roman" w:hAnsi="Times New Roman" w:cs="Times New Roman" w:eastAsia="Times New Roman"/>
        </w:rPr>
        <w:t xml:space="preserve">https://doi.org/10.22034/jmi.2024.449228.3074</w:t>
      </w:r>
    </w:p>
    <w:p>
      <w:pPr>
        <w:bidi/>
        <w:spacing w:after="140"/>
        <w:ind w:left="567" w:hanging="567"/>
      </w:pPr>
      <w:r>
        <w:rPr>
          <w:rtl/>
        </w:rPr>
        <w:t xml:space="preserve">کنعانی، آ. (۱۳۹۴). اولویت‌بندی عوامل مؤثر بر بازاریابی و فروش محصول جدید در کسب‌وکارهای کوچک و متوسط حوزه زیست‌فناوری غذایی. </w:t>
      </w:r>
      <w:r>
        <w:rPr>
          <w:i/>
          <w:iCs/>
          <w:rtl/>
        </w:rPr>
        <w:t xml:space="preserve">توسعه کارآفرینی، ۸</w:t>
      </w:r>
      <w:r>
        <w:rPr>
          <w:rtl/>
        </w:rPr>
        <w:t xml:space="preserve">(۲)، ۳۳۳–۳۵۲.</w:t>
      </w:r>
    </w:p>
    <w:p>
      <w:pPr>
        <w:bidi/>
        <w:spacing w:after="140"/>
        <w:ind w:left="567" w:hanging="567"/>
      </w:pPr>
      <w:r>
        <w:rPr>
          <w:rtl/>
        </w:rPr>
        <w:t xml:space="preserve">محسنی‌کبیر، ز.، موسوی‌کاشی، ز.، و سیدحسینی‌نیا، س. ش. (۱۴۰۳). تبیین مدل تاب‌آوری کسب‌وکارهای کوچک و متوسط در کشور ایران با رویکرد آمیخته ISM-FDEMATEL. </w:t>
      </w:r>
      <w:r>
        <w:rPr>
          <w:i/>
          <w:iCs/>
          <w:rtl/>
        </w:rPr>
        <w:t xml:space="preserve">فصلنامه انجمن علوم مدیریت ایران</w:t>
      </w:r>
      <w:r>
        <w:rPr>
          <w:rtl/>
        </w:rPr>
        <w:t xml:space="preserve">.</w:t>
      </w:r>
    </w:p>
    <w:p>
      <w:pPr>
        <w:bidi/>
        <w:spacing w:after="140"/>
        <w:ind w:left="567" w:hanging="567"/>
      </w:pPr>
      <w:r>
        <w:rPr>
          <w:rtl/>
        </w:rPr>
        <w:t xml:space="preserve">محمدی، ح.، و ثانی‌حیدری، ع. (۱۳۹۵). عوامل مؤثر بر انتخاب نوع استراتژی بازاریابی محصولات صنایع غذایی در مراحل رشد و معرفی محصول (مطالعه موردی شهر مشهد). </w:t>
      </w:r>
      <w:r>
        <w:rPr>
          <w:i/>
          <w:iCs/>
          <w:rtl/>
        </w:rPr>
        <w:t xml:space="preserve">اقتصاد کشاورزی</w:t>
      </w:r>
      <w:r>
        <w:rPr>
          <w:rtl/>
        </w:rPr>
        <w:t xml:space="preserve">.</w:t>
      </w:r>
    </w:p>
    <w:p>
      <w:pPr>
        <w:bidi/>
        <w:spacing w:after="140"/>
        <w:ind w:left="567" w:hanging="567"/>
      </w:pPr>
      <w:r>
        <w:rPr>
          <w:rtl/>
        </w:rPr>
        <w:t xml:space="preserve">محمدی، ح.، ثانی‌حیدری، ع.، و شهرکی، ع. (۱۴۰۱). عوامل مؤثر بر انتخاب استراتژی بازاریابی در مراحل مختلف چرخه عمر محصول. </w:t>
      </w:r>
      <w:r>
        <w:rPr>
          <w:i/>
          <w:iCs/>
          <w:rtl/>
        </w:rPr>
        <w:t xml:space="preserve">اقتصاد و توسعه کشاورزی، ۳۶</w:t>
      </w:r>
      <w:r>
        <w:rPr>
          <w:rtl/>
        </w:rPr>
        <w:t xml:space="preserve">(۴)، ۳۳۷–۳۵۲.</w:t>
      </w:r>
    </w:p>
    <w:p>
      <w:pPr>
        <w:bidi/>
        <w:spacing w:after="140"/>
        <w:ind w:left="567" w:hanging="567"/>
      </w:pPr>
      <w:r>
        <w:rPr>
          <w:rtl/>
        </w:rPr>
        <w:t xml:space="preserve">میثمی‌آزاد، ص.، حاجی‌ها، ع.، عبدالوند، م. ع.، و خیری، ب. (۱۴۰۰). طراحی الگوی برندسازی محصولات سبز در صنعت مواد غذایی. </w:t>
      </w:r>
      <w:r>
        <w:rPr>
          <w:i/>
          <w:iCs/>
          <w:rtl/>
        </w:rPr>
        <w:t xml:space="preserve">چشم‌انداز مدیریت بازرگانی، ۲۰</w:t>
      </w:r>
      <w:r>
        <w:rPr>
          <w:rtl/>
        </w:rPr>
        <w:t xml:space="preserve">(۴۷)، ۱۶۴–۱۸۸. </w:t>
      </w:r>
      <w:r>
        <w:rPr>
          <w:rFonts w:ascii="Times New Roman" w:hAnsi="Times New Roman" w:cs="Times New Roman" w:eastAsia="Times New Roman"/>
        </w:rPr>
        <w:t xml:space="preserve">https://doi.org/10.52547/jbmp.20.47.164</w:t>
      </w:r>
    </w:p>
    <w:p>
      <w:pPr>
        <w:bidi/>
        <w:spacing w:after="140"/>
        <w:ind w:left="567" w:hanging="567"/>
      </w:pPr>
      <w:r>
        <w:rPr>
          <w:rtl/>
        </w:rPr>
        <w:t xml:space="preserve">نجاتی، ن. (۱۴۰۰). بررسی اثرات اعمال استراتژی‌های بازاریابی دیجیتال در توسعه فروش محصولات صنایع غذایی. </w:t>
      </w:r>
      <w:r>
        <w:rPr>
          <w:i/>
          <w:iCs/>
          <w:rtl/>
        </w:rPr>
        <w:t xml:space="preserve">مدیریت، اقتصاد و کارآفرینی</w:t>
      </w:r>
      <w:r>
        <w:rPr>
          <w:rtl/>
        </w:rPr>
        <w:t xml:space="preserve">، (۸)، ۲۳–۳۹.</w:t>
      </w:r>
    </w:p>
    <w:p>
      <w:pPr>
        <w:pStyle w:val="Heading2"/>
        <w:keepNext/>
        <w:bidi/>
        <w:spacing w:before="360" w:after="80"/>
        <w:jc w:val="lowKashida"/>
      </w:pPr>
      <w:r>
        <w:t>منابع خارجی</w:t>
      </w:r>
    </w:p>
    <w:p>
      <w:pPr>
        <w:spacing w:after="140"/>
        <w:ind w:left="567" w:hanging="567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Arte, P., &amp; Larimo, J. (2022). Moderating influence of product diversification on the international diversification-performance relationship: A meta-analysis. </w:t>
      </w:r>
      <w:r>
        <w:rPr>
          <w:rFonts w:ascii="Times New Roman" w:hAnsi="Times New Roman" w:cs="Times New Roman" w:eastAsia="Times New Roman"/>
          <w:i/>
          <w:iCs/>
          <w:sz w:val="24"/>
          <w:szCs w:val="24"/>
        </w:rPr>
        <w:t xml:space="preserve">Journal of Business Research, 139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, 1408–1423.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https://doi.org/10.1016/j.jbusres.2021.10.037</w:t>
      </w:r>
    </w:p>
    <w:p>
      <w:pPr>
        <w:spacing w:after="140"/>
        <w:ind w:left="567" w:hanging="567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Azam, T., Wang, S., Mohsin, M., Nazam, M., Hashim, M., Baig, S. A., &amp; Zia-ur-Rehman, M. (2021). Does stakeholder pressure matters in adopting sustainable supply chain initiatives? Insights from agro-based processing industry. </w:t>
      </w:r>
      <w:r>
        <w:rPr>
          <w:rFonts w:ascii="Times New Roman" w:hAnsi="Times New Roman" w:cs="Times New Roman" w:eastAsia="Times New Roman"/>
          <w:i/>
          <w:iCs/>
          <w:sz w:val="24"/>
          <w:szCs w:val="24"/>
        </w:rPr>
        <w:t xml:space="preserve">Sustainability, 13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(13), Article 7278.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https://doi.org/10.3390/su13137278</w:t>
      </w:r>
    </w:p>
    <w:p>
      <w:pPr>
        <w:spacing w:after="140"/>
        <w:ind w:left="567" w:hanging="567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Beiderbeck, D., Frevel, N., von der Gracht, H. A., Schmidt, S. L., &amp; Schweitzer, V. M. (2021). Preparing, conducting, and analyzing Delphi surveys: Cross-disciplinary practices, new directions, and advancements. </w:t>
      </w:r>
      <w:r>
        <w:rPr>
          <w:rFonts w:ascii="Times New Roman" w:hAnsi="Times New Roman" w:cs="Times New Roman" w:eastAsia="Times New Roman"/>
          <w:i/>
          <w:iCs/>
          <w:sz w:val="24"/>
          <w:szCs w:val="24"/>
        </w:rPr>
        <w:t xml:space="preserve">MethodsX, 8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, Article 101401.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https://doi.org/10.1016/j.mex.2021.101401</w:t>
      </w:r>
    </w:p>
    <w:p>
      <w:pPr>
        <w:spacing w:after="140"/>
        <w:ind w:left="567" w:hanging="567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Bingham, A. J. (2023). From data management to actionable findings: A five-phase process of qualitative data analysis. </w:t>
      </w:r>
      <w:r>
        <w:rPr>
          <w:rFonts w:ascii="Times New Roman" w:hAnsi="Times New Roman" w:cs="Times New Roman" w:eastAsia="Times New Roman"/>
          <w:i/>
          <w:iCs/>
          <w:sz w:val="24"/>
          <w:szCs w:val="24"/>
        </w:rPr>
        <w:t xml:space="preserve">International Journal of Qualitative Methods, 22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, Article 16094069231183620.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https://doi.org/10.1177/16094069231183620</w:t>
      </w:r>
    </w:p>
    <w:p>
      <w:pPr>
        <w:spacing w:after="140"/>
        <w:ind w:left="567" w:hanging="567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Braun, V., &amp; Clarke, V. (2006). Using thematic analysis in psychology. </w:t>
      </w:r>
      <w:r>
        <w:rPr>
          <w:rFonts w:ascii="Times New Roman" w:hAnsi="Times New Roman" w:cs="Times New Roman" w:eastAsia="Times New Roman"/>
          <w:i/>
          <w:iCs/>
          <w:sz w:val="24"/>
          <w:szCs w:val="24"/>
        </w:rPr>
        <w:t xml:space="preserve">Qualitative Research in Psychology, 3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(2), 77–101.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https://doi.org/10.1191/1478088706qp063oa</w:t>
      </w:r>
    </w:p>
    <w:p>
      <w:pPr>
        <w:spacing w:after="140"/>
        <w:ind w:left="567" w:hanging="567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Braun, V., &amp; Clarke, V. (2021). </w:t>
      </w:r>
      <w:r>
        <w:rPr>
          <w:rFonts w:ascii="Times New Roman" w:hAnsi="Times New Roman" w:cs="Times New Roman" w:eastAsia="Times New Roman"/>
          <w:i/>
          <w:iCs/>
          <w:sz w:val="24"/>
          <w:szCs w:val="24"/>
        </w:rPr>
        <w:t xml:space="preserve">Thematic analysis: A practical guide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. SAGE Publications.</w:t>
      </w:r>
    </w:p>
    <w:p>
      <w:pPr>
        <w:spacing w:after="140"/>
        <w:ind w:left="567" w:hanging="567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Dukhaykh, S., &amp; Alangri, N. (2026). Dynamic capabilities and sustainable competitive advantage in SMEs: The roles of innovation and organizational learning. </w:t>
      </w:r>
      <w:r>
        <w:rPr>
          <w:rFonts w:ascii="Times New Roman" w:hAnsi="Times New Roman" w:cs="Times New Roman" w:eastAsia="Times New Roman"/>
          <w:i/>
          <w:iCs/>
          <w:sz w:val="24"/>
          <w:szCs w:val="24"/>
        </w:rPr>
        <w:t xml:space="preserve">Sustainability, 18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(3), Article 1320.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https://doi.org/10.3390/su18031320</w:t>
      </w:r>
    </w:p>
    <w:p>
      <w:pPr>
        <w:spacing w:after="140"/>
        <w:ind w:left="567" w:hanging="567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Gupta, S., &amp; Jagtap, S. (2024). Unlocking digital growth: Overcoming barriers to digital transformation for Indian food SMEs. </w:t>
      </w:r>
      <w:r>
        <w:rPr>
          <w:rFonts w:ascii="Times New Roman" w:hAnsi="Times New Roman" w:cs="Times New Roman" w:eastAsia="Times New Roman"/>
          <w:i/>
          <w:iCs/>
          <w:sz w:val="24"/>
          <w:szCs w:val="24"/>
        </w:rPr>
        <w:t xml:space="preserve">Discover Food, 4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, Article 55.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https://doi.org/10.1007/s44187-024-00131-6</w:t>
      </w:r>
    </w:p>
    <w:p>
      <w:pPr>
        <w:spacing w:after="140"/>
        <w:ind w:left="567" w:hanging="567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Kero, C. A., &amp; Bogale, A. T. (2023). A systematic review of resource-based view and dynamic capabilities of firms and future research avenues. </w:t>
      </w:r>
      <w:r>
        <w:rPr>
          <w:rFonts w:ascii="Times New Roman" w:hAnsi="Times New Roman" w:cs="Times New Roman" w:eastAsia="Times New Roman"/>
          <w:i/>
          <w:iCs/>
          <w:sz w:val="24"/>
          <w:szCs w:val="24"/>
        </w:rPr>
        <w:t xml:space="preserve">International Journal of Sustainable Development and Planning, 18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(10), 3137–3154.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https://doi.org/10.18280/ijsdp.181016</w:t>
      </w:r>
    </w:p>
    <w:p>
      <w:pPr>
        <w:spacing w:after="140"/>
        <w:ind w:left="567" w:hanging="567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Kotler, P., &amp; Keller, K. L. (2016). </w:t>
      </w:r>
      <w:r>
        <w:rPr>
          <w:rFonts w:ascii="Times New Roman" w:hAnsi="Times New Roman" w:cs="Times New Roman" w:eastAsia="Times New Roman"/>
          <w:i/>
          <w:iCs/>
          <w:sz w:val="24"/>
          <w:szCs w:val="24"/>
        </w:rPr>
        <w:t xml:space="preserve">Marketing management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(15th ed.). Pearson Education.</w:t>
      </w:r>
    </w:p>
    <w:p>
      <w:pPr>
        <w:spacing w:after="140"/>
        <w:ind w:left="567" w:hanging="567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Kotler, P., Keller, K. L., &amp; Chernev, A. (2022). </w:t>
      </w:r>
      <w:r>
        <w:rPr>
          <w:rFonts w:ascii="Times New Roman" w:hAnsi="Times New Roman" w:cs="Times New Roman" w:eastAsia="Times New Roman"/>
          <w:i/>
          <w:iCs/>
          <w:sz w:val="24"/>
          <w:szCs w:val="24"/>
        </w:rPr>
        <w:t xml:space="preserve">Marketing management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(16th ed.). Pearson Education.</w:t>
      </w:r>
    </w:p>
    <w:p>
      <w:pPr>
        <w:spacing w:after="140"/>
        <w:ind w:left="567" w:hanging="567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Mammen, J., Alessandri, T. M., &amp; Weiss, M. (2021). The risk implications of diversification: Integrating the effects of product and geographic diversification. </w:t>
      </w:r>
      <w:r>
        <w:rPr>
          <w:rFonts w:ascii="Times New Roman" w:hAnsi="Times New Roman" w:cs="Times New Roman" w:eastAsia="Times New Roman"/>
          <w:i/>
          <w:iCs/>
          <w:sz w:val="24"/>
          <w:szCs w:val="24"/>
        </w:rPr>
        <w:t xml:space="preserve">Long Range Planning, 54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(1), Article 101942.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https://doi.org/10.1016/j.lrp.2019.101942</w:t>
      </w:r>
    </w:p>
    <w:p>
      <w:pPr>
        <w:spacing w:after="140"/>
        <w:ind w:left="567" w:hanging="567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Mangla, S. K., Bhattacharya, A., Yadav, A. K., Sharma, Y. K., Ishizaka, A., Luthra, S., &amp; Chakraborty, R. (2021). A framework to assess the challenges to food safety initiatives in an emerging economy. </w:t>
      </w:r>
      <w:r>
        <w:rPr>
          <w:rFonts w:ascii="Times New Roman" w:hAnsi="Times New Roman" w:cs="Times New Roman" w:eastAsia="Times New Roman"/>
          <w:i/>
          <w:iCs/>
          <w:sz w:val="24"/>
          <w:szCs w:val="24"/>
        </w:rPr>
        <w:t xml:space="preserve">Journal of Cleaner Production, 284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, Article 124709.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https://doi.org/10.1016/j.jclepro.2020.124709</w:t>
      </w:r>
    </w:p>
    <w:p>
      <w:pPr>
        <w:spacing w:after="140"/>
        <w:ind w:left="567" w:hanging="567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Miklian, J., &amp; Hoelscher, K. (2022). SMEs and exogenous shocks: A conceptual literature review and forward research agenda. </w:t>
      </w:r>
      <w:r>
        <w:rPr>
          <w:rFonts w:ascii="Times New Roman" w:hAnsi="Times New Roman" w:cs="Times New Roman" w:eastAsia="Times New Roman"/>
          <w:i/>
          <w:iCs/>
          <w:sz w:val="24"/>
          <w:szCs w:val="24"/>
        </w:rPr>
        <w:t xml:space="preserve">International Small Business Journal, 40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(2), 178–204.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https://doi.org/10.1177/02662426211050796</w:t>
      </w:r>
    </w:p>
    <w:p>
      <w:pPr>
        <w:spacing w:after="140"/>
        <w:ind w:left="567" w:hanging="567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Naeem, M., Ozuem, W., Howell, K., &amp; Ranfagni, S. (2023). A step-by-step process of thematic analysis to develop a conceptual model in qualitative research. </w:t>
      </w:r>
      <w:r>
        <w:rPr>
          <w:rFonts w:ascii="Times New Roman" w:hAnsi="Times New Roman" w:cs="Times New Roman" w:eastAsia="Times New Roman"/>
          <w:i/>
          <w:iCs/>
          <w:sz w:val="24"/>
          <w:szCs w:val="24"/>
        </w:rPr>
        <w:t xml:space="preserve">International Journal of Qualitative Methods, 22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, Article 16094069231205789.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https://doi.org/10.1177/16094069231205789</w:t>
      </w:r>
    </w:p>
    <w:p>
      <w:pPr>
        <w:spacing w:after="140"/>
        <w:ind w:left="567" w:hanging="567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Nasa, P., Jain, R., &amp; Juneja, D. (2021). Delphi methodology in healthcare research: How to decide its appropriateness. </w:t>
      </w:r>
      <w:r>
        <w:rPr>
          <w:rFonts w:ascii="Times New Roman" w:hAnsi="Times New Roman" w:cs="Times New Roman" w:eastAsia="Times New Roman"/>
          <w:i/>
          <w:iCs/>
          <w:sz w:val="24"/>
          <w:szCs w:val="24"/>
        </w:rPr>
        <w:t xml:space="preserve">World Journal of Methodology, 11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(4), 116–129.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https://doi.org/10.5662/wjm.v11.i4.116</w:t>
      </w:r>
    </w:p>
    <w:p>
      <w:pPr>
        <w:spacing w:after="140"/>
        <w:ind w:left="567" w:hanging="567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Pangarkar, N., &amp; Prabhudesai, R. (2024). Using Porter's five forces analysis to drive strategy. </w:t>
      </w:r>
      <w:r>
        <w:rPr>
          <w:rFonts w:ascii="Times New Roman" w:hAnsi="Times New Roman" w:cs="Times New Roman" w:eastAsia="Times New Roman"/>
          <w:i/>
          <w:iCs/>
          <w:sz w:val="24"/>
          <w:szCs w:val="24"/>
        </w:rPr>
        <w:t xml:space="preserve">Global Business and Organizational Excellence, 43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(5), 24–34.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https://doi.org/10.1002/joe.22250</w:t>
      </w:r>
    </w:p>
    <w:p>
      <w:pPr>
        <w:spacing w:after="140"/>
        <w:ind w:left="567" w:hanging="567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Saunders, M. N. K., Lewis, P., &amp; Thornhill, A. (2023). </w:t>
      </w:r>
      <w:r>
        <w:rPr>
          <w:rFonts w:ascii="Times New Roman" w:hAnsi="Times New Roman" w:cs="Times New Roman" w:eastAsia="Times New Roman"/>
          <w:i/>
          <w:iCs/>
          <w:sz w:val="24"/>
          <w:szCs w:val="24"/>
        </w:rPr>
        <w:t xml:space="preserve">Research methods for business students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 (9th ed.). Pearson Education.</w:t>
      </w:r>
    </w:p>
    <w:p>
      <w:pPr>
        <w:spacing w:after="140"/>
        <w:ind w:left="567" w:hanging="567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Schifano, J., &amp; Niederberger, M. (2025). How Delphi studies in the health sciences find consensus: A scoping review. </w:t>
      </w:r>
      <w:r>
        <w:rPr>
          <w:rFonts w:ascii="Times New Roman" w:hAnsi="Times New Roman" w:cs="Times New Roman" w:eastAsia="Times New Roman"/>
          <w:i/>
          <w:iCs/>
          <w:sz w:val="24"/>
          <w:szCs w:val="24"/>
        </w:rPr>
        <w:t xml:space="preserve">Systematic Reviews, 14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, Article 14.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https://doi.org/10.1186/s13643-024-02738-3</w:t>
      </w:r>
    </w:p>
    <w:p>
      <w:pPr>
        <w:spacing w:after="140"/>
        <w:ind w:left="567" w:hanging="567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Schommer, M., Richter, A., &amp; Karna, A. (2019). Does the diversification-firm performance relationship change over time? A meta-analytical review. </w:t>
      </w:r>
      <w:r>
        <w:rPr>
          <w:rFonts w:ascii="Times New Roman" w:hAnsi="Times New Roman" w:cs="Times New Roman" w:eastAsia="Times New Roman"/>
          <w:i/>
          <w:iCs/>
          <w:sz w:val="24"/>
          <w:szCs w:val="24"/>
        </w:rPr>
        <w:t xml:space="preserve">Journal of Management Studies, 56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(1), 270–298.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https://doi.org/10.1111/joms.12393</w:t>
      </w:r>
    </w:p>
    <w:p>
      <w:pPr>
        <w:spacing w:after="140"/>
        <w:ind w:left="567" w:hanging="567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Shah, P., Dhir, A., Joshi, R., &amp; Tripathy, N. (2023). Opportunities and challenges in food entrepreneurship: In-depth qualitative investigation of millet entrepreneurs. </w:t>
      </w:r>
      <w:r>
        <w:rPr>
          <w:rFonts w:ascii="Times New Roman" w:hAnsi="Times New Roman" w:cs="Times New Roman" w:eastAsia="Times New Roman"/>
          <w:i/>
          <w:iCs/>
          <w:sz w:val="24"/>
          <w:szCs w:val="24"/>
        </w:rPr>
        <w:t xml:space="preserve">Journal of Business Research, 155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, Article 113372.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https://doi.org/10.1016/j.jbusres.2022.113372</w:t>
      </w:r>
    </w:p>
    <w:p>
      <w:pPr>
        <w:spacing w:after="140"/>
        <w:ind w:left="567" w:hanging="567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Sharabati, A.-A. A., Ali, A. A. A., Allahham, M. I., Hussein, A. A., Alheet, A. F., &amp; Mohammad, A. S. (2024). The impact of digital marketing on the performance of SMEs: An analytical study in light of modern digital transformations. </w:t>
      </w:r>
      <w:r>
        <w:rPr>
          <w:rFonts w:ascii="Times New Roman" w:hAnsi="Times New Roman" w:cs="Times New Roman" w:eastAsia="Times New Roman"/>
          <w:i/>
          <w:iCs/>
          <w:sz w:val="24"/>
          <w:szCs w:val="24"/>
        </w:rPr>
        <w:t xml:space="preserve">Sustainability, 16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(19), Article 8667.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https://doi.org/10.3390/su16198667</w:t>
      </w:r>
    </w:p>
    <w:p>
      <w:pPr>
        <w:spacing w:after="140"/>
        <w:ind w:left="567" w:hanging="567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Singh, G., Daultani, Y., &amp; Sahu, R. (2022). Investigating the barriers to growth in the Indian food processing sector. </w:t>
      </w:r>
      <w:r>
        <w:rPr>
          <w:rFonts w:ascii="Times New Roman" w:hAnsi="Times New Roman" w:cs="Times New Roman" w:eastAsia="Times New Roman"/>
          <w:i/>
          <w:iCs/>
          <w:sz w:val="24"/>
          <w:szCs w:val="24"/>
        </w:rPr>
        <w:t xml:space="preserve">OPSEARCH, 59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(2), 441–459.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https://doi.org/10.1007/s12597-021-00553-1</w:t>
      </w:r>
    </w:p>
    <w:p>
      <w:pPr>
        <w:spacing w:after="140"/>
        <w:ind w:left="567" w:hanging="567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Suryati, L., &amp; Lusiah, L. (2022). Distribution channel and prices as critical factors for sales volume improvement. </w:t>
      </w:r>
      <w:r>
        <w:rPr>
          <w:rFonts w:ascii="Times New Roman" w:hAnsi="Times New Roman" w:cs="Times New Roman" w:eastAsia="Times New Roman"/>
          <w:i/>
          <w:iCs/>
          <w:sz w:val="24"/>
          <w:szCs w:val="24"/>
        </w:rPr>
        <w:t xml:space="preserve">Journal of Accounting and Finance Management, 3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(5), 217–223.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https://doi.org/10.38035/jafm.v3i5.128</w:t>
      </w:r>
    </w:p>
    <w:p>
      <w:pPr>
        <w:spacing w:after="140"/>
        <w:ind w:left="567" w:hanging="567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Taneo, S. Y. M., Noya, S., Setiyati, E. A., &amp; Melany. (2022). Improving the human resource capability of food SMEs managers through training: A preliminary research. </w:t>
      </w:r>
      <w:r>
        <w:rPr>
          <w:rFonts w:ascii="Times New Roman" w:hAnsi="Times New Roman" w:cs="Times New Roman" w:eastAsia="Times New Roman"/>
          <w:i/>
          <w:iCs/>
          <w:sz w:val="24"/>
          <w:szCs w:val="24"/>
        </w:rPr>
        <w:t xml:space="preserve">International Journal of Research in Business and Social Science, 11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(9), 90–96.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https://doi.org/10.20525/ijrbs.v11i9.2163</w:t>
      </w:r>
    </w:p>
    <w:p>
      <w:pPr>
        <w:spacing w:after="140"/>
        <w:ind w:left="567" w:hanging="567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Thomran, M., Alshallaqi, M., Al-Mamary, Y. H., &amp; Abdulrab, M. (2022). The key enablers of competitive advantage formation in small and medium enterprises: The case of the Ha'il region. </w:t>
      </w:r>
      <w:r>
        <w:rPr>
          <w:rFonts w:ascii="Times New Roman" w:hAnsi="Times New Roman" w:cs="Times New Roman" w:eastAsia="Times New Roman"/>
          <w:i/>
          <w:iCs/>
          <w:sz w:val="24"/>
          <w:szCs w:val="24"/>
        </w:rPr>
        <w:t xml:space="preserve">Frontiers in Psychology, 13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, Article 1030405.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https://doi.org/10.3389/fpsyg.2022.1030405</w:t>
      </w:r>
    </w:p>
    <w:p>
      <w:pPr>
        <w:spacing w:after="140"/>
        <w:ind w:left="567" w:hanging="567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Williams, R. I., Jr., &amp; Aaron, J. R. (2018). Specialization as a small business strategic approach. </w:t>
      </w:r>
      <w:r>
        <w:rPr>
          <w:rFonts w:ascii="Times New Roman" w:hAnsi="Times New Roman" w:cs="Times New Roman" w:eastAsia="Times New Roman"/>
          <w:i/>
          <w:iCs/>
          <w:sz w:val="24"/>
          <w:szCs w:val="24"/>
        </w:rPr>
        <w:t xml:space="preserve">Small Business Institute Journal, 14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(2), 1–15.</w:t>
      </w:r>
    </w:p>
    <w:p>
      <w:pPr>
        <w:spacing w:after="140"/>
        <w:ind w:left="567" w:hanging="567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Zain, R. M., Ramli, A., Zain, M. Z. M., Rahim, M. N. A., &amp; Musa, A. (2023). Evaluation and prioritisation of GSCM barriers in food and beverage SMEs using the AHP. </w:t>
      </w:r>
      <w:r>
        <w:rPr>
          <w:rFonts w:ascii="Times New Roman" w:hAnsi="Times New Roman" w:cs="Times New Roman" w:eastAsia="Times New Roman"/>
          <w:i/>
          <w:iCs/>
          <w:sz w:val="24"/>
          <w:szCs w:val="24"/>
        </w:rPr>
        <w:t xml:space="preserve">AIP Conference Proceedings, 2827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(1), Article 030057.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https://doi.org/10.1063/5.0164583</w:t>
      </w:r>
    </w:p>
    <w:p>
      <w:pPr>
        <w:spacing w:after="140"/>
        <w:ind w:left="567" w:hanging="567"/>
        <w:jc w:val="left"/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Zain, R. M., Ramli, A., Zain, M. Z. M., Yekini, L. S., Musa, A., Rahim, M. N. A., Dirie, A. N., &amp; Aziz, N. I. C. (2024). An investigation of the barriers and drivers for implementing green supply chain in Malaysian food and beverage SMEs: A qualitative perspective. </w:t>
      </w:r>
      <w:r>
        <w:rPr>
          <w:rFonts w:ascii="Times New Roman" w:hAnsi="Times New Roman" w:cs="Times New Roman" w:eastAsia="Times New Roman"/>
          <w:i/>
          <w:iCs/>
          <w:sz w:val="24"/>
          <w:szCs w:val="24"/>
        </w:rPr>
        <w:t xml:space="preserve">WSEAS Transactions on Business and Economics, 21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, 2169–2189. </w:t>
      </w:r>
      <w:r>
        <w:rPr>
          <w:rFonts w:ascii="Times New Roman" w:hAnsi="Times New Roman" w:cs="Times New Roman" w:eastAsia="Times New Roman"/>
          <w:sz w:val="24"/>
          <w:szCs w:val="24"/>
        </w:rPr>
        <w:t xml:space="preserve">https://doi.org/10.37394/23207.2024.21.179</w:t>
      </w:r>
    </w:p>
    <w:sectPr w:rsidR="00EF16F2">
      <w:pgSz w:w="11906" w:h="16838"/>
      <w:pgMar w:top="1701" w:right="1701" w:bottom="1417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17047" w14:textId="77777777" w:rsidR="00414E0E" w:rsidRDefault="00414E0E" w:rsidP="00414E0E">
      <w:pPr>
        <w:spacing w:line="240" w:lineRule="auto"/>
      </w:pPr>
      <w:r>
        <w:separator/>
      </w:r>
    </w:p>
  </w:endnote>
  <w:endnote w:type="continuationSeparator" w:id="0">
    <w:p w14:paraId="7DA590FA" w14:textId="77777777" w:rsidR="00414E0E" w:rsidRDefault="00414E0E" w:rsidP="00414E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BB11D" w14:textId="77777777" w:rsidR="00414E0E" w:rsidRDefault="00414E0E" w:rsidP="00414E0E">
      <w:pPr>
        <w:spacing w:line="240" w:lineRule="auto"/>
      </w:pPr>
      <w:r>
        <w:separator/>
      </w:r>
    </w:p>
  </w:footnote>
  <w:footnote w:type="continuationSeparator" w:id="0">
    <w:p w14:paraId="0AAFFE1E" w14:textId="77777777" w:rsidR="00414E0E" w:rsidRDefault="00414E0E" w:rsidP="00414E0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CE0CA7"/>
    <w:multiLevelType w:val="hybridMultilevel"/>
    <w:tmpl w:val="1A2E951E"/>
    <w:lvl w:ilvl="0" w:tplc="40348366">
      <w:start w:val="1"/>
      <w:numFmt w:val="bullet"/>
      <w:lvlText w:val="●"/>
      <w:lvlJc w:val="left"/>
      <w:pPr>
        <w:ind w:left="720" w:hanging="360"/>
      </w:pPr>
    </w:lvl>
    <w:lvl w:ilvl="1" w:tplc="84845566">
      <w:start w:val="1"/>
      <w:numFmt w:val="bullet"/>
      <w:lvlText w:val="○"/>
      <w:lvlJc w:val="left"/>
      <w:pPr>
        <w:ind w:left="1440" w:hanging="360"/>
      </w:pPr>
    </w:lvl>
    <w:lvl w:ilvl="2" w:tplc="BD9A7008">
      <w:start w:val="1"/>
      <w:numFmt w:val="bullet"/>
      <w:lvlText w:val="■"/>
      <w:lvlJc w:val="left"/>
      <w:pPr>
        <w:ind w:left="2160" w:hanging="360"/>
      </w:pPr>
    </w:lvl>
    <w:lvl w:ilvl="3" w:tplc="72DCD10E">
      <w:start w:val="1"/>
      <w:numFmt w:val="bullet"/>
      <w:lvlText w:val="●"/>
      <w:lvlJc w:val="left"/>
      <w:pPr>
        <w:ind w:left="2880" w:hanging="360"/>
      </w:pPr>
    </w:lvl>
    <w:lvl w:ilvl="4" w:tplc="A82E5F9E">
      <w:start w:val="1"/>
      <w:numFmt w:val="bullet"/>
      <w:lvlText w:val="○"/>
      <w:lvlJc w:val="left"/>
      <w:pPr>
        <w:ind w:left="3600" w:hanging="360"/>
      </w:pPr>
    </w:lvl>
    <w:lvl w:ilvl="5" w:tplc="CB20117C">
      <w:start w:val="1"/>
      <w:numFmt w:val="bullet"/>
      <w:lvlText w:val="■"/>
      <w:lvlJc w:val="left"/>
      <w:pPr>
        <w:ind w:left="4320" w:hanging="360"/>
      </w:pPr>
    </w:lvl>
    <w:lvl w:ilvl="6" w:tplc="0986B4DC">
      <w:start w:val="1"/>
      <w:numFmt w:val="bullet"/>
      <w:lvlText w:val="●"/>
      <w:lvlJc w:val="left"/>
      <w:pPr>
        <w:ind w:left="5040" w:hanging="360"/>
      </w:pPr>
    </w:lvl>
    <w:lvl w:ilvl="7" w:tplc="EB665D00">
      <w:start w:val="1"/>
      <w:numFmt w:val="bullet"/>
      <w:lvlText w:val="●"/>
      <w:lvlJc w:val="left"/>
      <w:pPr>
        <w:ind w:left="5760" w:hanging="360"/>
      </w:pPr>
    </w:lvl>
    <w:lvl w:ilvl="8" w:tplc="5540EA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E0E"/>
    <w:rsid w:val="00414E0E"/>
    <w:rsid w:val="0048646F"/>
    <w:rsid w:val="00723EBE"/>
    <w:rsid w:val="00AF356D"/>
    <w:rsid w:val="00E51E8F"/>
    <w:rsid w:val="00EF16F2"/>
    <w:rsid w:val="00F3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56D6A6E7"/>
  <w15:chartTrackingRefBased/>
  <w15:docId w15:val="{AD187049-148D-4A56-A71D-96D1F10EA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E0E"/>
    <w:pPr>
      <w:spacing w:after="0" w:line="276" w:lineRule="auto"/>
    </w:pPr>
    <w:rPr>
      <w:rFonts w:ascii="B Nazanin" w:eastAsia="B Nazanin" w:hAnsi="B Nazanin" w:cs="B Nazanin"/>
      <w:sz w:val="28"/>
      <w:szCs w:val="28"/>
      <w:lang w:bidi="fa-IR"/>
    </w:rPr>
  </w:style>
  <w:style w:type="paragraph" w:styleId="Heading1">
    <w:name w:val="heading 1"/>
    <w:link w:val="Heading1Char"/>
    <w:uiPriority w:val="9"/>
    <w:qFormat/>
    <w:rsid w:val="00414E0E"/>
    <w:pPr>
      <w:spacing w:after="0" w:line="240" w:lineRule="auto"/>
      <w:outlineLvl w:val="0"/>
    </w:pPr>
    <w:rPr>
      <w:rFonts w:ascii="B Nazanin" w:eastAsia="B Nazanin" w:hAnsi="B Nazanin" w:cs="B Nazanin"/>
      <w:b/>
      <w:bCs/>
      <w:color w:val="000000"/>
      <w:sz w:val="36"/>
      <w:szCs w:val="36"/>
      <w:rtl/>
      <w:lang w:bidi="fa-IR"/>
    </w:rPr>
  </w:style>
  <w:style w:type="paragraph" w:styleId="Heading2">
    <w:name w:val="heading 2"/>
    <w:link w:val="Heading2Char"/>
    <w:uiPriority w:val="9"/>
    <w:unhideWhenUsed/>
    <w:qFormat/>
    <w:rsid w:val="00414E0E"/>
    <w:pPr>
      <w:spacing w:after="0" w:line="240" w:lineRule="auto"/>
      <w:outlineLvl w:val="1"/>
    </w:pPr>
    <w:rPr>
      <w:rFonts w:ascii="B Nazanin" w:eastAsia="B Nazanin" w:hAnsi="B Nazanin" w:cs="B Nazanin"/>
      <w:b/>
      <w:bCs/>
      <w:color w:val="000000"/>
      <w:sz w:val="28"/>
      <w:szCs w:val="28"/>
      <w:rtl/>
      <w:lang w:bidi="fa-IR"/>
    </w:rPr>
  </w:style>
  <w:style w:type="paragraph" w:styleId="Heading3">
    <w:name w:val="heading 3"/>
    <w:link w:val="Heading3Char"/>
    <w:uiPriority w:val="9"/>
    <w:unhideWhenUsed/>
    <w:qFormat/>
    <w:rsid w:val="00414E0E"/>
    <w:pPr>
      <w:spacing w:after="0" w:line="240" w:lineRule="auto"/>
      <w:outlineLvl w:val="2"/>
    </w:pPr>
    <w:rPr>
      <w:rFonts w:ascii="B Nazanin" w:eastAsia="B Nazanin" w:hAnsi="B Nazanin" w:cs="B Nazanin"/>
      <w:b/>
      <w:bCs/>
      <w:color w:val="000000"/>
      <w:sz w:val="28"/>
      <w:szCs w:val="28"/>
      <w:rtl/>
      <w:lang w:bidi="fa-IR"/>
    </w:rPr>
  </w:style>
  <w:style w:type="paragraph" w:styleId="Heading4">
    <w:name w:val="heading 4"/>
    <w:link w:val="Heading4Char"/>
    <w:uiPriority w:val="9"/>
    <w:unhideWhenUsed/>
    <w:qFormat/>
    <w:rsid w:val="00414E0E"/>
    <w:pPr>
      <w:spacing w:after="0" w:line="240" w:lineRule="auto"/>
      <w:outlineLvl w:val="3"/>
    </w:pPr>
    <w:rPr>
      <w:rFonts w:ascii="B Nazanin" w:eastAsia="B Nazanin" w:hAnsi="B Nazanin" w:cs="B Nazanin"/>
      <w:b/>
      <w:bCs/>
      <w:color w:val="000000"/>
      <w:sz w:val="28"/>
      <w:szCs w:val="28"/>
      <w:rtl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E0E"/>
    <w:rPr>
      <w:rFonts w:ascii="B Nazanin" w:eastAsia="B Nazanin" w:hAnsi="B Nazanin" w:cs="B Nazanin"/>
      <w:b/>
      <w:bCs/>
      <w:color w:val="000000"/>
      <w:sz w:val="36"/>
      <w:szCs w:val="36"/>
      <w:lang w:bidi="fa-IR"/>
    </w:rPr>
  </w:style>
  <w:style w:type="character" w:customStyle="1" w:styleId="Heading2Char">
    <w:name w:val="Heading 2 Char"/>
    <w:basedOn w:val="DefaultParagraphFont"/>
    <w:link w:val="Heading2"/>
    <w:uiPriority w:val="9"/>
    <w:rsid w:val="00414E0E"/>
    <w:rPr>
      <w:rFonts w:ascii="B Nazanin" w:eastAsia="B Nazanin" w:hAnsi="B Nazanin" w:cs="B Nazanin"/>
      <w:b/>
      <w:bCs/>
      <w:color w:val="000000"/>
      <w:sz w:val="28"/>
      <w:szCs w:val="28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414E0E"/>
    <w:rPr>
      <w:rFonts w:ascii="B Nazanin" w:eastAsia="B Nazanin" w:hAnsi="B Nazanin" w:cs="B Nazanin"/>
      <w:b/>
      <w:bCs/>
      <w:color w:val="000000"/>
      <w:sz w:val="28"/>
      <w:szCs w:val="28"/>
      <w:lang w:bidi="fa-IR"/>
    </w:rPr>
  </w:style>
  <w:style w:type="character" w:customStyle="1" w:styleId="Heading4Char">
    <w:name w:val="Heading 4 Char"/>
    <w:basedOn w:val="DefaultParagraphFont"/>
    <w:link w:val="Heading4"/>
    <w:uiPriority w:val="9"/>
    <w:rsid w:val="00414E0E"/>
    <w:rPr>
      <w:rFonts w:ascii="B Nazanin" w:eastAsia="B Nazanin" w:hAnsi="B Nazanin" w:cs="B Nazanin"/>
      <w:b/>
      <w:bCs/>
      <w:color w:val="000000"/>
      <w:sz w:val="28"/>
      <w:szCs w:val="28"/>
      <w:lang w:bidi="fa-IR"/>
    </w:rPr>
  </w:style>
  <w:style w:type="paragraph" w:styleId="ListParagraph">
    <w:name w:val="List Paragraph"/>
    <w:qFormat/>
    <w:rsid w:val="00414E0E"/>
    <w:pPr>
      <w:spacing w:after="0" w:line="276" w:lineRule="auto"/>
    </w:pPr>
    <w:rPr>
      <w:rFonts w:ascii="B Nazanin" w:eastAsia="B Nazanin" w:hAnsi="B Nazanin" w:cs="B Nazanin"/>
      <w:sz w:val="28"/>
      <w:szCs w:val="28"/>
      <w:lang w:bidi="fa-IR"/>
    </w:rPr>
  </w:style>
  <w:style w:type="character" w:styleId="FootnoteReference">
    <w:name w:val="footnote reference"/>
    <w:uiPriority w:val="99"/>
    <w:semiHidden/>
    <w:unhideWhenUsed/>
    <w:rsid w:val="00414E0E"/>
    <w:rPr>
      <w:vertAlign w:val="superscript"/>
    </w:rPr>
  </w:style>
  <w:style w:type="paragraph" w:customStyle="1" w:styleId="TableCaption">
    <w:name w:val="TableCaption"/>
    <w:rsid w:val="00414E0E"/>
    <w:pPr>
      <w:bidi/>
      <w:spacing w:after="0" w:line="240" w:lineRule="auto"/>
      <w:jc w:val="center"/>
    </w:pPr>
    <w:rPr>
      <w:rFonts w:ascii="B Nazanin" w:eastAsia="B Nazanin" w:hAnsi="B Nazanin" w:cs="B Nazanin"/>
      <w:b/>
      <w:bCs/>
      <w:sz w:val="24"/>
      <w:szCs w:val="24"/>
      <w:rtl/>
      <w:lang w:bidi="fa-IR"/>
    </w:rPr>
  </w:style>
  <w:style w:type="paragraph" w:customStyle="1" w:styleId="CaptionSource">
    <w:name w:val="CaptionSource"/>
    <w:rsid w:val="00414E0E"/>
    <w:pPr>
      <w:bidi/>
      <w:spacing w:after="0" w:line="240" w:lineRule="auto"/>
      <w:jc w:val="center"/>
    </w:pPr>
    <w:rPr>
      <w:rFonts w:ascii="B Nazanin" w:eastAsia="B Nazanin" w:hAnsi="B Nazanin" w:cs="B Nazanin"/>
      <w:b/>
      <w:bCs/>
      <w:sz w:val="24"/>
      <w:szCs w:val="24"/>
      <w:rtl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3378</Words>
  <Characters>19256</Characters>
  <Application>Microsoft Office Word</Application>
  <DocSecurity>0</DocSecurity>
  <Lines>160</Lines>
  <Paragraphs>45</Paragraphs>
  <ScaleCrop>false</ScaleCrop>
  <Company/>
  <LinksUpToDate>false</LinksUpToDate>
  <CharactersWithSpaces>22589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منابع</dc:title>
  <dc:subject/>
  <dc:creator>taha abdollahi</dc:creator>
  <cp:keywords/>
  <dc:description/>
  <cp:lastModifiedBy>taha abdollahi</cp:lastModifiedBy>
  <cp:revision>1</cp:revision>
  <dcterms:created xsi:type="dcterms:W3CDTF">2026-10-21T09:56:00Z</dcterms:created>
  <dcterms:modified xsi:type="dcterms:W3CDTF">2026-10-21T09:57:00Z</dcterms:modified>
</cp:coreProperties>
</file>