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5D405" w14:textId="2D831278" w:rsidR="00EB30A8" w:rsidRDefault="00A23C08" w:rsidP="00FB7C11">
      <w:pPr>
        <w:pStyle w:val="Heading1"/>
        <w:bidi/>
        <w:spacing w:before="5600"/>
        <w:jc w:val="center"/>
        <w:rPr>
          <w:rFonts w:cs="B Titr"/>
          <w:sz w:val="40"/>
          <w:szCs w:val="40"/>
        </w:rPr>
      </w:pPr>
      <w:r>
        <w:rPr>
          <w:rFonts w:cs="B Titr"/>
          <w:sz w:val="40"/>
          <w:szCs w:val="40"/>
        </w:rPr>
        <w:t>فصل سوم: روش‌شناسی پژوهش</w:t>
      </w:r>
    </w:p>
    <w:p w14:paraId="18686009" w14:textId="77777777" w:rsidR="00FB7C11" w:rsidRDefault="00FB7C11" w:rsidP="00FB7C11">
      <w:pPr>
        <w:pStyle w:val="Heading1"/>
        <w:bidi/>
        <w:spacing w:before="5600"/>
        <w:jc w:val="center"/>
        <w:rPr>
          <w:rFonts w:cs="B Titr"/>
          <w:sz w:val="40"/>
          <w:szCs w:val="40"/>
        </w:rPr>
      </w:pPr>
    </w:p>
    <w:p w14:paraId="1F739138" w14:textId="77777777" w:rsidR="00EB30A8" w:rsidRDefault="00EB30A8">
      <w:pPr>
        <w:bidi/>
        <w:jc w:val="lowKashida"/>
      </w:pPr>
    </w:p>
    <w:p w14:paraId="2F96DD2C" w14:textId="77777777" w:rsidR="00EB30A8" w:rsidRDefault="00A23C08">
      <w:pPr>
        <w:pStyle w:val="Heading2"/>
        <w:keepNext/>
        <w:bidi/>
        <w:spacing w:before="240" w:after="80"/>
        <w:jc w:val="lowKashida"/>
        <w:rPr>
          <w:sz w:val="32"/>
          <w:szCs w:val="32"/>
        </w:rPr>
      </w:pPr>
      <w:r>
        <w:rPr>
          <w:sz w:val="32"/>
          <w:szCs w:val="32"/>
        </w:rPr>
        <w:t>۳-۱ مقدمه</w:t>
      </w:r>
    </w:p>
    <w:p w14:paraId="49AFB3EE" w14:textId="77777777" w:rsidR="00EB30A8" w:rsidRPr="00FB7C11" w:rsidRDefault="00A23C08" w:rsidP="00FB7C11">
      <w:pPr>
        <w:bidi/>
        <w:jc w:val="both"/>
      </w:pPr>
      <w:r w:rsidRPr="00FB7C11">
        <w:rPr>
          <w:rtl/>
        </w:rPr>
        <w:t>روش‌شناسی پل میان پرسش پژوهش و یافته‌های آن است. هر انتخاب روشی بر نوع یافته‌ای که می‌توان به دست آورد و بر حدود اعتبار آن‌ها اثر می‌گذارد. از این رو توضیح روشن و صادقانه این انتخاب‌ها، شرط ضروری ارزیابی علمی پژوهش است. در این فصل، نخست روش تحقیق و دلایل انتخاب آن تبیین می‌شود؛ سپس جامعه پژوهش، روش نمونه‌گیری و حجم نمونه، و روش و ابزار گردآوری داده‌ها معرفی می‌گردند؛ و در پایان، روش تجزیه و تحلیل داده‌ها و ملاحظات اخلاقی پژوهش ارائه می‌شود.</w:t>
      </w:r>
    </w:p>
    <w:p w14:paraId="74968E38" w14:textId="5F40BD26" w:rsidR="00EB30A8" w:rsidRPr="00FB7C11" w:rsidRDefault="00A23C08" w:rsidP="00FB7C11">
      <w:pPr>
        <w:bidi/>
        <w:jc w:val="both"/>
      </w:pPr>
      <w:r w:rsidRPr="00FB7C11">
        <w:rPr>
          <w:rtl/>
        </w:rPr>
        <w:t xml:space="preserve">نکته‌ای که باید پیش از ورود به جزئیات گفته شود: انتخاب روش در این پژوهش نه بر اساس آشنایی پژوهشگر با یک ابزار خاص، بلکه بر اساس ماهیت پرسش پژوهش انجام شده است. این اصل </w:t>
      </w:r>
      <w:r w:rsidRPr="00FB7C11">
        <w:rPr>
          <w:rFonts w:hint="cs"/>
          <w:rtl/>
        </w:rPr>
        <w:t>که</w:t>
      </w:r>
      <w:r w:rsidRPr="00FB7C11">
        <w:rPr>
          <w:rtl/>
        </w:rPr>
        <w:t xml:space="preserve"> </w:t>
      </w:r>
      <w:r w:rsidRPr="00FB7C11">
        <w:rPr>
          <w:rFonts w:hint="cs"/>
          <w:rtl/>
        </w:rPr>
        <w:t>روش</w:t>
      </w:r>
      <w:r w:rsidRPr="00FB7C11">
        <w:rPr>
          <w:rtl/>
        </w:rPr>
        <w:t xml:space="preserve"> </w:t>
      </w:r>
      <w:r w:rsidRPr="00FB7C11">
        <w:rPr>
          <w:rFonts w:hint="cs"/>
          <w:rtl/>
        </w:rPr>
        <w:t>باید</w:t>
      </w:r>
      <w:r w:rsidRPr="00FB7C11">
        <w:rPr>
          <w:rtl/>
        </w:rPr>
        <w:t xml:space="preserve"> </w:t>
      </w:r>
      <w:r w:rsidRPr="00FB7C11">
        <w:rPr>
          <w:rFonts w:hint="cs"/>
          <w:rtl/>
        </w:rPr>
        <w:t>پرسش</w:t>
      </w:r>
      <w:r w:rsidRPr="00FB7C11">
        <w:rPr>
          <w:rtl/>
        </w:rPr>
        <w:t xml:space="preserve"> </w:t>
      </w:r>
      <w:r w:rsidRPr="00FB7C11">
        <w:rPr>
          <w:rFonts w:hint="cs"/>
          <w:rtl/>
        </w:rPr>
        <w:t>را</w:t>
      </w:r>
      <w:r w:rsidRPr="00FB7C11">
        <w:rPr>
          <w:rtl/>
        </w:rPr>
        <w:t xml:space="preserve"> </w:t>
      </w:r>
      <w:r w:rsidRPr="00FB7C11">
        <w:rPr>
          <w:rFonts w:hint="cs"/>
          <w:rtl/>
        </w:rPr>
        <w:t>دنبال</w:t>
      </w:r>
      <w:r w:rsidRPr="00FB7C11">
        <w:rPr>
          <w:rtl/>
        </w:rPr>
        <w:t xml:space="preserve"> </w:t>
      </w:r>
      <w:r w:rsidRPr="00FB7C11">
        <w:rPr>
          <w:rFonts w:hint="cs"/>
          <w:rtl/>
        </w:rPr>
        <w:t>کند،</w:t>
      </w:r>
      <w:r w:rsidRPr="00FB7C11">
        <w:rPr>
          <w:rtl/>
        </w:rPr>
        <w:t xml:space="preserve"> </w:t>
      </w:r>
      <w:r w:rsidRPr="00FB7C11">
        <w:rPr>
          <w:rFonts w:hint="cs"/>
          <w:rtl/>
        </w:rPr>
        <w:t>نه</w:t>
      </w:r>
      <w:r w:rsidRPr="00FB7C11">
        <w:rPr>
          <w:rtl/>
        </w:rPr>
        <w:t xml:space="preserve"> </w:t>
      </w:r>
      <w:r w:rsidRPr="00FB7C11">
        <w:rPr>
          <w:rFonts w:hint="cs"/>
          <w:rtl/>
        </w:rPr>
        <w:t>پرسش</w:t>
      </w:r>
      <w:r w:rsidRPr="00FB7C11">
        <w:rPr>
          <w:rtl/>
        </w:rPr>
        <w:t xml:space="preserve"> </w:t>
      </w:r>
      <w:r w:rsidRPr="00FB7C11">
        <w:rPr>
          <w:rFonts w:hint="cs"/>
          <w:rtl/>
        </w:rPr>
        <w:t>روش</w:t>
      </w:r>
      <w:r w:rsidRPr="00FB7C11">
        <w:rPr>
          <w:rtl/>
        </w:rPr>
        <w:t xml:space="preserve"> </w:t>
      </w:r>
      <w:r w:rsidRPr="00FB7C11">
        <w:rPr>
          <w:rFonts w:hint="cs"/>
          <w:rtl/>
        </w:rPr>
        <w:t>را</w:t>
      </w:r>
      <w:r w:rsidRPr="00FB7C11">
        <w:rPr>
          <w:rtl/>
        </w:rPr>
        <w:t xml:space="preserve"> </w:t>
      </w:r>
      <w:r w:rsidRPr="00FB7C11">
        <w:rPr>
          <w:rFonts w:hint="cs"/>
          <w:rtl/>
        </w:rPr>
        <w:t>در</w:t>
      </w:r>
      <w:r w:rsidRPr="00FB7C11">
        <w:rPr>
          <w:rtl/>
        </w:rPr>
        <w:t xml:space="preserve"> </w:t>
      </w:r>
      <w:r w:rsidRPr="00FB7C11">
        <w:rPr>
          <w:rFonts w:hint="cs"/>
          <w:rtl/>
        </w:rPr>
        <w:t>تمام</w:t>
      </w:r>
      <w:r w:rsidRPr="00FB7C11">
        <w:rPr>
          <w:rtl/>
        </w:rPr>
        <w:t xml:space="preserve"> </w:t>
      </w:r>
      <w:r w:rsidRPr="00FB7C11">
        <w:rPr>
          <w:rFonts w:hint="cs"/>
          <w:rtl/>
        </w:rPr>
        <w:t>تصمیم‌های</w:t>
      </w:r>
      <w:r w:rsidRPr="00FB7C11">
        <w:rPr>
          <w:rtl/>
        </w:rPr>
        <w:t xml:space="preserve"> </w:t>
      </w:r>
      <w:r w:rsidRPr="00FB7C11">
        <w:rPr>
          <w:rFonts w:hint="cs"/>
          <w:rtl/>
        </w:rPr>
        <w:t>روشی</w:t>
      </w:r>
      <w:r w:rsidRPr="00FB7C11">
        <w:rPr>
          <w:rtl/>
        </w:rPr>
        <w:t xml:space="preserve"> </w:t>
      </w:r>
      <w:r w:rsidRPr="00FB7C11">
        <w:rPr>
          <w:rFonts w:hint="cs"/>
          <w:rtl/>
        </w:rPr>
        <w:t>این</w:t>
      </w:r>
      <w:r w:rsidRPr="00FB7C11">
        <w:rPr>
          <w:rtl/>
        </w:rPr>
        <w:t xml:space="preserve"> </w:t>
      </w:r>
      <w:r w:rsidRPr="00FB7C11">
        <w:rPr>
          <w:rFonts w:hint="cs"/>
          <w:rtl/>
        </w:rPr>
        <w:t>فصل</w:t>
      </w:r>
      <w:r w:rsidRPr="00FB7C11">
        <w:rPr>
          <w:rtl/>
        </w:rPr>
        <w:t xml:space="preserve"> </w:t>
      </w:r>
      <w:r w:rsidRPr="00FB7C11">
        <w:rPr>
          <w:rFonts w:hint="cs"/>
          <w:rtl/>
        </w:rPr>
        <w:t>حاضر</w:t>
      </w:r>
      <w:r w:rsidRPr="00FB7C11">
        <w:rPr>
          <w:rtl/>
        </w:rPr>
        <w:t xml:space="preserve"> </w:t>
      </w:r>
      <w:r w:rsidRPr="00FB7C11">
        <w:rPr>
          <w:rFonts w:hint="cs"/>
          <w:rtl/>
        </w:rPr>
        <w:t>بوده</w:t>
      </w:r>
      <w:r w:rsidRPr="00FB7C11">
        <w:rPr>
          <w:rtl/>
        </w:rPr>
        <w:t xml:space="preserve"> </w:t>
      </w:r>
      <w:r w:rsidRPr="00FB7C11">
        <w:rPr>
          <w:rFonts w:hint="cs"/>
          <w:rtl/>
        </w:rPr>
        <w:t>است</w:t>
      </w:r>
      <w:r w:rsidRPr="00FB7C11">
        <w:rPr>
          <w:rtl/>
        </w:rPr>
        <w:t>.</w:t>
      </w:r>
    </w:p>
    <w:p w14:paraId="4EDAF59A" w14:textId="77777777" w:rsidR="00EB30A8" w:rsidRDefault="00A23C08">
      <w:pPr>
        <w:pStyle w:val="Heading2"/>
        <w:keepNext/>
        <w:bidi/>
        <w:spacing w:before="240" w:after="80"/>
        <w:jc w:val="lowKashida"/>
        <w:rPr>
          <w:sz w:val="32"/>
          <w:szCs w:val="32"/>
        </w:rPr>
      </w:pPr>
      <w:r>
        <w:rPr>
          <w:sz w:val="32"/>
          <w:szCs w:val="32"/>
        </w:rPr>
        <w:t>۳-۲ روش تحقیق</w:t>
      </w:r>
    </w:p>
    <w:p w14:paraId="410CE724" w14:textId="7CF100C2" w:rsidR="00EB30A8" w:rsidRPr="00FB7C11" w:rsidRDefault="00A23C08" w:rsidP="00FB7C11">
      <w:pPr>
        <w:bidi/>
        <w:jc w:val="both"/>
      </w:pPr>
      <w:r>
        <w:rPr>
          <w:rtl/>
        </w:rPr>
        <w:t xml:space="preserve">پژوهش حاضر از نظر هدف کاربردی است، زیرا در پی حل مسئله‌ای مشخص در یک صنعت مشخص است. از نظر ماهیت اکتشافی است، چون فهرست تثبیت‌شده‌ای از چالش‌های فروش بنگاه‌های تک‌محصولی در ادبیات داخلی وجود ندارد. از نظر رویکرد نیز آمیخته است: در گام نخست، داده‌ها به‌صورت کیفی و از طریق پاسخ باز اعضای پانل گردآوری می‌شود؛ و در گام‌های بعدی، همان داده از طریق دورهای رتبه‌بندی و بازخورد گروهی، به شکلی کمّی پردازش و به اجماع می‌رسد. </w:t>
      </w:r>
      <w:r>
        <w:rPr>
          <w:rtl/>
        </w:rPr>
        <w:t xml:space="preserve">این طبقه‌بندی سه‌گانه با تمایزهایی که ساندرز و همکاران (۲۰۲۳)</w:t>
      </w:r>
      <w:r>
        <w:rPr>
          <w:rStyle w:val="FootnoteReference"/>
        </w:rPr>
        <w:footnoteReference w:id="1"/>
      </w:r>
      <w:r>
        <w:rPr>
          <w:rtl/>
        </w:rPr>
        <w:t xml:space="preserve"> میان پژوهش کاربردی و بنیادی، هدف اکتشافی پژوهش و انتخاب روش آمیخته مطرح می‌کنند همخوانی دارد</w:t>
      </w:r>
      <w:r>
        <w:rPr>
          <w:rtl/>
        </w:rPr>
        <w:t xml:space="preserve">.</w:t>
      </w:r>
    </w:p>
    <w:p w14:paraId="213DF8D9" w14:textId="496B6BD7" w:rsidR="00EB30A8" w:rsidRPr="00FB7C11" w:rsidRDefault="00A23C08" w:rsidP="00FB7C11">
      <w:pPr>
        <w:bidi/>
        <w:jc w:val="both"/>
      </w:pPr>
      <w:r>
        <w:rPr>
          <w:rtl/>
        </w:rPr>
        <w:t xml:space="preserve">بر پایه همین ماهیت اکتشافی، روش دلفی برای گردآوری و تحلیل داده‌های این پژوهش انتخاب شد. </w:t>
      </w:r>
      <w:r>
        <w:rPr>
          <w:rtl/>
        </w:rPr>
        <w:t xml:space="preserve">ناسا و همکاران (۲۰۲۱)</w:t>
      </w:r>
      <w:r>
        <w:rPr>
          <w:rStyle w:val="FootnoteReference"/>
        </w:rPr>
        <w:footnoteReference w:id="2"/>
      </w:r>
      <w:r w:rsidRPr="00FB7C11">
        <w:rPr>
          <w:rtl/>
        </w:rPr>
        <w:t xml:space="preserve"> روش دلفی را فرایندی ساختاریافته برای دستیابی به اجماع گروهی خبرگان از طریق دورهای متوالی پرسشنامه و بازخورد کنترل‌شده صورت‌بندی کرده‌اند؛ ویژگی‌ای که آن را از مصاحبه منفرد یا پرسشنامه یک‌مرحله‌ای متمایز می‌کند.</w:t>
      </w:r>
      <w:r>
        <w:rPr>
          <w:rFonts w:hint="cs"/>
          <w:rtl/>
        </w:rPr>
        <w:t xml:space="preserve"> بایدربک و همکاران (۲۰۲۱)</w:t>
      </w:r>
      <w:r>
        <w:rPr>
          <w:rStyle w:val="FootnoteReference"/>
        </w:rPr>
        <w:footnoteReference w:id="3"/>
      </w:r>
      <w:r>
        <w:rPr>
          <w:rFonts w:hint="cs"/>
          <w:rtl/>
        </w:rPr>
        <w:t xml:space="preserve"> دلفی را روشی برای سازمان‌دهی و ساختاردهی بحث خبرگان درباره موضوعات مناقشه‌برانگیز و دارای اطلاعات محدود می‌دانند؛ ویژگی‌ای که با وضعیت موضوع پژوهش حاضر، یعنی نبود فهرست تثبیت‌شده چالش‌های فروش بنگاه تک‌محصولی، همخوانی دارد</w:t>
      </w:r>
      <w:r w:rsidRPr="00FB7C11">
        <w:rPr>
          <w:rtl/>
        </w:rPr>
        <w:t>.</w:t>
      </w:r>
    </w:p>
    <w:p w14:paraId="38421A1F" w14:textId="77777777" w:rsidR="00EB30A8" w:rsidRDefault="00A23C08">
      <w:pPr>
        <w:pStyle w:val="Heading2"/>
        <w:keepNext/>
        <w:bidi/>
        <w:spacing w:before="240" w:after="80"/>
        <w:jc w:val="lowKashida"/>
        <w:rPr>
          <w:sz w:val="32"/>
          <w:szCs w:val="32"/>
        </w:rPr>
      </w:pPr>
      <w:r>
        <w:rPr>
          <w:sz w:val="32"/>
          <w:szCs w:val="32"/>
        </w:rPr>
        <w:t>۳-۳ جامعه پژوهش</w:t>
      </w:r>
    </w:p>
    <w:p w14:paraId="5AF0E4BC" w14:textId="77777777" w:rsidR="00EB30A8" w:rsidRDefault="00A23C08">
      <w:pPr>
        <w:bidi/>
        <w:spacing w:after="80"/>
        <w:jc w:val="lowKashida"/>
      </w:pPr>
      <w:r>
        <w:rPr>
          <w:rtl/>
        </w:rPr>
        <w:t>جامعه پژوهش را خبرگان حوزه فروش صنعت مواد غذایی تشکیل می‌دهند؛ شامل مدیران و کارشناسان فروش و بازاریابی شرکت‌های تک‌محصولی فعال در این صنعت، و نیز اعضای هیئت علمی و صاحب‌نظران دانشگاهی در رشته مدیریت بازرگانی که با مسائل فروش این‌گونه بنگاه‌ها آشنایی دارند.</w:t>
      </w:r>
    </w:p>
    <w:p w14:paraId="6683F974" w14:textId="77777777" w:rsidR="00EB30A8" w:rsidRDefault="00A23C08">
      <w:pPr>
        <w:pStyle w:val="Heading2"/>
        <w:keepNext/>
        <w:bidi/>
        <w:spacing w:before="240" w:after="80"/>
        <w:jc w:val="lowKashida"/>
        <w:rPr>
          <w:sz w:val="32"/>
          <w:szCs w:val="32"/>
        </w:rPr>
      </w:pPr>
      <w:r>
        <w:rPr>
          <w:sz w:val="32"/>
          <w:szCs w:val="32"/>
        </w:rPr>
        <w:t>۳-۴ روش نمونه‌گیری و تعیین حجم نمونه</w:t>
      </w:r>
    </w:p>
    <w:p w14:paraId="7005CC53" w14:textId="77777777" w:rsidR="00EB30A8" w:rsidRDefault="00A23C08">
      <w:pPr>
        <w:pStyle w:val="Heading3"/>
        <w:keepNext/>
        <w:bidi/>
        <w:spacing w:before="180" w:after="80"/>
        <w:jc w:val="lowKashida"/>
      </w:pPr>
      <w:r>
        <w:t>۳-۴-۱ راهبرد نمونه‌گیری</w:t>
      </w:r>
    </w:p>
    <w:p w14:paraId="297C8FA7" w14:textId="77777777" w:rsidR="00EB30A8" w:rsidRDefault="00A23C08">
      <w:pPr>
        <w:bidi/>
        <w:spacing w:after="80"/>
        <w:jc w:val="lowKashida"/>
      </w:pPr>
      <w:r>
        <w:rPr>
          <w:rtl/>
        </w:rPr>
        <w:t>نمونه‌گیری برای تشکیل پانل دلفی به روش هدفمند قضاوتی انجام شد. معیارهای ورود به پانل عبارت بودند از: داشتن تجربه مستقیم در فروش یا بازاریابی محصولات غذایی؛ آشنایی عملی با ساختار شرکت‌های تک‌محصولی؛ و تمایل به مشارکت آگاهانه و مستمر در دورهای متوالی پژوهش.</w:t>
      </w:r>
    </w:p>
    <w:p w14:paraId="2A9FCB1E" w14:textId="77777777" w:rsidR="00EB30A8" w:rsidRDefault="00A23C08">
      <w:pPr>
        <w:pStyle w:val="Heading3"/>
        <w:keepNext/>
        <w:bidi/>
        <w:spacing w:before="180" w:after="80"/>
        <w:jc w:val="lowKashida"/>
      </w:pPr>
      <w:r>
        <w:t>۳-۴-۲ اندازه پانل دلفی</w:t>
      </w:r>
    </w:p>
    <w:p w14:paraId="4F400262" w14:textId="1C49B21C" w:rsidR="00EB30A8" w:rsidRPr="00FB7C11" w:rsidRDefault="00A23C08" w:rsidP="00FB7C11">
      <w:pPr>
        <w:bidi/>
        <w:jc w:val="both"/>
      </w:pPr>
      <w:r w:rsidRPr="00FB7C11">
        <w:rPr>
          <w:rtl/>
        </w:rPr>
        <w:t xml:space="preserve">در روش دلفی، معیار کفایت نمونه نه اشباع نظری داده کیفی، بلکه کفایت اندازه پانل برای دستیابی به اجماع معتبر است. ادبیات روش‌شناسی در این باره دامنه‌ای نسبتاً گسترده ارائه می‌دهد: </w:t>
      </w:r>
      <w:r>
        <w:rPr>
          <w:rFonts w:hint="cs"/>
          <w:rtl/>
        </w:rPr>
        <w:t xml:space="preserve">شیفانو و نیدربرگر (۲۰۲۵)</w:t>
      </w:r>
      <w:r>
        <w:rPr>
          <w:rStyle w:val="FootnoteReference"/>
        </w:rPr>
        <w:footnoteReference w:id="4"/>
      </w:r>
      <w:r>
        <w:rPr>
          <w:rFonts w:hint="cs"/>
          <w:rtl/>
        </w:rPr>
        <w:t xml:space="preserve"> در مرور دامنه‌ای خود بر مطالعات دلفی در علوم سلامت گزارش می‌دهند که اندازه پانل در پژوهش‌های گوناگون به‌طور گسترده متغیر است و معمولاً در حد چند ده نفر قرار دارد (میانه اندازه پانل: ۳۱ نفر در دور نخست و ۲۶ نفر در دور پایانی)</w:t>
      </w:r>
      <w:r>
        <w:rPr>
          <w:rtl/>
        </w:rPr>
        <w:t xml:space="preserve">.</w:t>
      </w:r>
    </w:p>
    <w:p w14:paraId="2CAEDC92" w14:textId="66CF3BC4" w:rsidR="00AC3E3F" w:rsidRPr="0053265E" w:rsidRDefault="0053265E" w:rsidP="0053265E">
      <w:pPr>
        <w:bidi/>
        <w:jc w:val="both"/>
      </w:pPr>
      <w:r w:rsidRPr="0053265E">
        <w:rPr>
          <w:rtl/>
        </w:rPr>
        <w:t>پانل پژوهش حاضر هفت نفر از خبرگان را در بر می‌گیرد. شیفانو و نیدربرگر (۲۰۲۵)</w:t>
      </w:r>
      <w:r w:rsidRPr="0053265E">
        <w:rPr>
          <w:rStyle w:val="FootnoteReference"/>
        </w:rPr>
        <w:footnoteReference w:id="5"/>
      </w:r>
      <w:r w:rsidRPr="0053265E">
        <w:rPr>
          <w:rtl/>
        </w:rPr>
        <w:t xml:space="preserve"> در مرور دامنه‌ای خود بر مطالعات دلفی گزارش می‌دهند که اندازه پانل در این پژوهش‌ها از حداقل سه نفر تا بیش از هفتصد نفر گزارش شده</w:t>
      </w:r>
      <w:r w:rsidRPr="0053265E">
        <w:rPr>
          <w:rtl/>
        </w:rPr>
        <w:t xml:space="preserve"> است؛ بر این پایه، اندازه پانل حاضر در محدوده‌ای است که در ادبیات این روش مستند شده، هرچند در نیمه </w:t>
      </w:r>
      <w:r w:rsidRPr="0053265E">
        <w:rPr>
          <w:rtl/>
        </w:rPr>
        <w:t>پایین‌تر این دامنه قرار دارد</w:t>
      </w:r>
      <w:r w:rsidRPr="0053265E">
        <w:rPr>
          <w:rtl/>
        </w:rPr>
        <w:t xml:space="preserve">. ترکیب پانل از زیرگروه‌های متفاوتی </w:t>
      </w:r>
      <w:r w:rsidRPr="0053265E">
        <w:rPr>
          <w:rFonts w:hint="cs"/>
          <w:rtl/>
        </w:rPr>
        <w:t>مدیران</w:t>
      </w:r>
      <w:r w:rsidRPr="0053265E">
        <w:rPr>
          <w:rtl/>
        </w:rPr>
        <w:t xml:space="preserve"> </w:t>
      </w:r>
      <w:r w:rsidRPr="0053265E">
        <w:rPr>
          <w:rFonts w:hint="cs"/>
          <w:rtl/>
        </w:rPr>
        <w:t>و</w:t>
      </w:r>
      <w:r w:rsidRPr="0053265E">
        <w:rPr>
          <w:rtl/>
        </w:rPr>
        <w:t xml:space="preserve"> </w:t>
      </w:r>
      <w:r w:rsidRPr="0053265E">
        <w:rPr>
          <w:rFonts w:hint="cs"/>
          <w:rtl/>
        </w:rPr>
        <w:t>کارشناسان</w:t>
      </w:r>
      <w:r w:rsidRPr="0053265E">
        <w:rPr>
          <w:rtl/>
        </w:rPr>
        <w:t xml:space="preserve"> </w:t>
      </w:r>
      <w:r w:rsidRPr="0053265E">
        <w:rPr>
          <w:rFonts w:hint="cs"/>
          <w:rtl/>
        </w:rPr>
        <w:t>فروش،</w:t>
      </w:r>
      <w:r w:rsidRPr="0053265E">
        <w:rPr>
          <w:rtl/>
        </w:rPr>
        <w:t xml:space="preserve"> </w:t>
      </w:r>
      <w:r>
        <w:rPr>
          <w:rFonts w:hint="cs"/>
          <w:rtl/>
        </w:rPr>
        <w:t xml:space="preserve">مدیر برنامه‌ریزی تولید و یک عضو هیئت علمی</w:t>
      </w:r>
      <w:r>
        <w:rPr>
          <w:rtl/>
        </w:rPr>
        <w:t xml:space="preserve"> </w:t>
      </w:r>
      <w:r w:rsidRPr="0053265E">
        <w:rPr>
          <w:rFonts w:hint="cs"/>
          <w:rtl/>
        </w:rPr>
        <w:t>تشکیل</w:t>
      </w:r>
      <w:r w:rsidRPr="0053265E">
        <w:rPr>
          <w:rtl/>
        </w:rPr>
        <w:t xml:space="preserve"> </w:t>
      </w:r>
      <w:r w:rsidRPr="0053265E">
        <w:rPr>
          <w:rFonts w:hint="cs"/>
          <w:rtl/>
        </w:rPr>
        <w:t>شده</w:t>
      </w:r>
      <w:r w:rsidRPr="0053265E">
        <w:rPr>
          <w:rtl/>
        </w:rPr>
        <w:t xml:space="preserve"> </w:t>
      </w:r>
      <w:r w:rsidRPr="0053265E">
        <w:rPr>
          <w:rFonts w:hint="cs"/>
          <w:rtl/>
        </w:rPr>
        <w:t>و</w:t>
      </w:r>
      <w:r w:rsidRPr="0053265E">
        <w:rPr>
          <w:rtl/>
        </w:rPr>
        <w:t xml:space="preserve"> </w:t>
      </w:r>
      <w:r w:rsidRPr="0053265E">
        <w:rPr>
          <w:rFonts w:hint="cs"/>
          <w:rtl/>
        </w:rPr>
        <w:t>هر</w:t>
      </w:r>
      <w:r w:rsidRPr="0053265E">
        <w:rPr>
          <w:rtl/>
        </w:rPr>
        <w:t xml:space="preserve"> </w:t>
      </w:r>
      <w:r w:rsidRPr="0053265E">
        <w:rPr>
          <w:rFonts w:hint="cs"/>
          <w:rtl/>
        </w:rPr>
        <w:t>دو</w:t>
      </w:r>
      <w:r w:rsidRPr="0053265E">
        <w:rPr>
          <w:rtl/>
        </w:rPr>
        <w:t xml:space="preserve"> </w:t>
      </w:r>
      <w:r w:rsidRPr="0053265E">
        <w:rPr>
          <w:rFonts w:hint="cs"/>
          <w:rtl/>
        </w:rPr>
        <w:t>منظر</w:t>
      </w:r>
      <w:r w:rsidRPr="0053265E">
        <w:rPr>
          <w:rtl/>
        </w:rPr>
        <w:t xml:space="preserve"> </w:t>
      </w:r>
      <w:r w:rsidRPr="0053265E">
        <w:rPr>
          <w:rFonts w:hint="cs"/>
          <w:rtl/>
        </w:rPr>
        <w:t>نظری</w:t>
      </w:r>
      <w:r w:rsidRPr="0053265E">
        <w:rPr>
          <w:rtl/>
        </w:rPr>
        <w:t xml:space="preserve"> </w:t>
      </w:r>
      <w:r w:rsidRPr="0053265E">
        <w:rPr>
          <w:rFonts w:hint="cs"/>
          <w:rtl/>
        </w:rPr>
        <w:t>و</w:t>
      </w:r>
      <w:r w:rsidRPr="0053265E">
        <w:rPr>
          <w:rtl/>
        </w:rPr>
        <w:t xml:space="preserve"> </w:t>
      </w:r>
      <w:r w:rsidRPr="0053265E">
        <w:rPr>
          <w:rFonts w:hint="cs"/>
          <w:rtl/>
        </w:rPr>
        <w:t>تجربی</w:t>
      </w:r>
      <w:r w:rsidRPr="0053265E">
        <w:rPr>
          <w:rtl/>
        </w:rPr>
        <w:t xml:space="preserve"> </w:t>
      </w:r>
      <w:r w:rsidRPr="0053265E">
        <w:rPr>
          <w:rFonts w:hint="cs"/>
          <w:rtl/>
        </w:rPr>
        <w:t>موضوع</w:t>
      </w:r>
      <w:r w:rsidRPr="0053265E">
        <w:rPr>
          <w:rtl/>
        </w:rPr>
        <w:t xml:space="preserve"> </w:t>
      </w:r>
      <w:r w:rsidRPr="0053265E">
        <w:rPr>
          <w:rFonts w:hint="cs"/>
          <w:rtl/>
        </w:rPr>
        <w:t>را</w:t>
      </w:r>
      <w:r w:rsidRPr="0053265E">
        <w:rPr>
          <w:rtl/>
        </w:rPr>
        <w:t xml:space="preserve"> </w:t>
      </w:r>
      <w:r w:rsidRPr="0053265E">
        <w:rPr>
          <w:rFonts w:hint="cs"/>
          <w:rtl/>
        </w:rPr>
        <w:t>پوشش</w:t>
      </w:r>
      <w:r w:rsidRPr="0053265E">
        <w:rPr>
          <w:rtl/>
        </w:rPr>
        <w:t xml:space="preserve"> </w:t>
      </w:r>
      <w:r w:rsidRPr="0053265E">
        <w:rPr>
          <w:rFonts w:hint="cs"/>
          <w:rtl/>
        </w:rPr>
        <w:t>می‌دهد</w:t>
      </w:r>
      <w:r w:rsidRPr="0053265E">
        <w:rPr>
          <w:rtl/>
        </w:rPr>
        <w:t xml:space="preserve">. </w:t>
      </w:r>
      <w:r w:rsidRPr="0053265E">
        <w:rPr>
          <w:rFonts w:hint="cs"/>
          <w:rtl/>
        </w:rPr>
        <w:t>ترکیب</w:t>
      </w:r>
      <w:r w:rsidRPr="0053265E">
        <w:rPr>
          <w:rtl/>
        </w:rPr>
        <w:t xml:space="preserve"> </w:t>
      </w:r>
      <w:r w:rsidRPr="0053265E">
        <w:rPr>
          <w:rFonts w:hint="cs"/>
          <w:rtl/>
        </w:rPr>
        <w:t>کامل</w:t>
      </w:r>
      <w:r w:rsidRPr="0053265E">
        <w:rPr>
          <w:rtl/>
        </w:rPr>
        <w:t xml:space="preserve"> </w:t>
      </w:r>
      <w:r w:rsidRPr="0053265E">
        <w:rPr>
          <w:rFonts w:hint="cs"/>
          <w:rtl/>
        </w:rPr>
        <w:t>این</w:t>
      </w:r>
      <w:r w:rsidRPr="0053265E">
        <w:rPr>
          <w:rtl/>
        </w:rPr>
        <w:t xml:space="preserve"> </w:t>
      </w:r>
      <w:r w:rsidRPr="0053265E">
        <w:rPr>
          <w:rFonts w:hint="cs"/>
          <w:rtl/>
        </w:rPr>
        <w:t>پانل،</w:t>
      </w:r>
      <w:r w:rsidRPr="0053265E">
        <w:rPr>
          <w:rtl/>
        </w:rPr>
        <w:t xml:space="preserve"> </w:t>
      </w:r>
      <w:r w:rsidRPr="0053265E">
        <w:rPr>
          <w:rFonts w:hint="cs"/>
          <w:rtl/>
        </w:rPr>
        <w:t>به</w:t>
      </w:r>
      <w:r w:rsidRPr="0053265E">
        <w:rPr>
          <w:rtl/>
        </w:rPr>
        <w:t xml:space="preserve"> </w:t>
      </w:r>
      <w:r w:rsidRPr="0053265E">
        <w:rPr>
          <w:rFonts w:hint="cs"/>
          <w:rtl/>
        </w:rPr>
        <w:t>همراه</w:t>
      </w:r>
      <w:r w:rsidRPr="0053265E">
        <w:rPr>
          <w:rtl/>
        </w:rPr>
        <w:t xml:space="preserve"> </w:t>
      </w:r>
      <w:r w:rsidRPr="0053265E">
        <w:rPr>
          <w:rFonts w:hint="cs"/>
          <w:rtl/>
        </w:rPr>
        <w:t>جایگاه</w:t>
      </w:r>
      <w:r w:rsidRPr="0053265E">
        <w:rPr>
          <w:rtl/>
        </w:rPr>
        <w:t xml:space="preserve"> </w:t>
      </w:r>
      <w:r w:rsidRPr="0053265E">
        <w:rPr>
          <w:rFonts w:hint="cs"/>
          <w:rtl/>
        </w:rPr>
        <w:t>شغلی،</w:t>
      </w:r>
      <w:r w:rsidRPr="0053265E">
        <w:rPr>
          <w:rtl/>
        </w:rPr>
        <w:t xml:space="preserve"> </w:t>
      </w:r>
      <w:r w:rsidRPr="0053265E">
        <w:rPr>
          <w:rFonts w:hint="cs"/>
          <w:rtl/>
        </w:rPr>
        <w:t>سابقه</w:t>
      </w:r>
      <w:r w:rsidRPr="0053265E">
        <w:rPr>
          <w:rtl/>
        </w:rPr>
        <w:t xml:space="preserve"> </w:t>
      </w:r>
      <w:r w:rsidRPr="0053265E">
        <w:rPr>
          <w:rFonts w:hint="cs"/>
          <w:rtl/>
        </w:rPr>
        <w:t>فعالیت</w:t>
      </w:r>
      <w:r w:rsidRPr="0053265E">
        <w:rPr>
          <w:rtl/>
        </w:rPr>
        <w:t xml:space="preserve"> </w:t>
      </w:r>
      <w:r w:rsidRPr="0053265E">
        <w:rPr>
          <w:rFonts w:hint="cs"/>
          <w:rtl/>
        </w:rPr>
        <w:t>و</w:t>
      </w:r>
      <w:r w:rsidRPr="0053265E">
        <w:rPr>
          <w:rtl/>
        </w:rPr>
        <w:t xml:space="preserve"> </w:t>
      </w:r>
      <w:r w:rsidRPr="0053265E">
        <w:rPr>
          <w:rFonts w:hint="cs"/>
          <w:rtl/>
        </w:rPr>
        <w:t>سطح</w:t>
      </w:r>
      <w:r w:rsidRPr="0053265E">
        <w:rPr>
          <w:rtl/>
        </w:rPr>
        <w:t xml:space="preserve"> </w:t>
      </w:r>
      <w:r w:rsidRPr="0053265E">
        <w:rPr>
          <w:rFonts w:hint="cs"/>
          <w:rtl/>
        </w:rPr>
        <w:t>تحصیلات</w:t>
      </w:r>
      <w:r w:rsidRPr="0053265E">
        <w:rPr>
          <w:rtl/>
        </w:rPr>
        <w:t xml:space="preserve"> </w:t>
      </w:r>
      <w:r w:rsidRPr="0053265E">
        <w:rPr>
          <w:rFonts w:hint="cs"/>
          <w:rtl/>
        </w:rPr>
        <w:t>اعضا،</w:t>
      </w:r>
      <w:r w:rsidRPr="0053265E">
        <w:rPr>
          <w:rtl/>
        </w:rPr>
        <w:t xml:space="preserve"> </w:t>
      </w:r>
      <w:r w:rsidRPr="0053265E">
        <w:rPr>
          <w:rFonts w:hint="cs"/>
          <w:rtl/>
        </w:rPr>
        <w:t>در</w:t>
      </w:r>
      <w:r w:rsidRPr="0053265E">
        <w:rPr>
          <w:rtl/>
        </w:rPr>
        <w:t xml:space="preserve"> </w:t>
      </w:r>
      <w:r w:rsidRPr="0053265E">
        <w:rPr>
          <w:rFonts w:hint="cs"/>
          <w:rtl/>
        </w:rPr>
        <w:t>فصل</w:t>
      </w:r>
      <w:r w:rsidRPr="0053265E">
        <w:rPr>
          <w:rtl/>
        </w:rPr>
        <w:t xml:space="preserve"> </w:t>
      </w:r>
      <w:r w:rsidRPr="0053265E">
        <w:rPr>
          <w:rFonts w:hint="cs"/>
          <w:rtl/>
        </w:rPr>
        <w:t>چهارم</w:t>
      </w:r>
      <w:r w:rsidRPr="0053265E">
        <w:rPr>
          <w:rtl/>
        </w:rPr>
        <w:t xml:space="preserve"> </w:t>
      </w:r>
      <w:r w:rsidRPr="0053265E">
        <w:rPr>
          <w:rFonts w:hint="cs"/>
          <w:rtl/>
        </w:rPr>
        <w:t>ارائه</w:t>
      </w:r>
      <w:r w:rsidRPr="0053265E">
        <w:rPr>
          <w:rtl/>
        </w:rPr>
        <w:t xml:space="preserve"> </w:t>
      </w:r>
      <w:r w:rsidRPr="0053265E">
        <w:rPr>
          <w:rFonts w:hint="cs"/>
          <w:rtl/>
        </w:rPr>
        <w:t>شده</w:t>
      </w:r>
      <w:r w:rsidRPr="0053265E">
        <w:rPr>
          <w:rtl/>
        </w:rPr>
        <w:t xml:space="preserve"> </w:t>
      </w:r>
      <w:r w:rsidRPr="0053265E">
        <w:rPr>
          <w:rFonts w:hint="cs"/>
          <w:rtl/>
        </w:rPr>
        <w:t>است</w:t>
      </w:r>
      <w:r w:rsidRPr="0053265E">
        <w:rPr>
          <w:rtl/>
        </w:rPr>
        <w:t>.</w:t>
      </w:r>
    </w:p>
    <w:p w14:paraId="52BE55A5" w14:textId="77777777" w:rsidR="00EB30A8" w:rsidRDefault="00A23C08">
      <w:pPr>
        <w:pStyle w:val="Heading2"/>
        <w:keepNext/>
        <w:bidi/>
        <w:spacing w:before="240" w:after="80"/>
        <w:jc w:val="lowKashida"/>
        <w:rPr>
          <w:sz w:val="32"/>
          <w:szCs w:val="32"/>
        </w:rPr>
      </w:pPr>
      <w:r>
        <w:rPr>
          <w:sz w:val="32"/>
          <w:szCs w:val="32"/>
        </w:rPr>
        <w:t>۳-۵ روش گردآوری داده‌ها</w:t>
      </w:r>
    </w:p>
    <w:p w14:paraId="6AE875FA" w14:textId="77777777" w:rsidR="00EB30A8" w:rsidRPr="00FB7C11" w:rsidRDefault="00A23C08" w:rsidP="00FB7C11">
      <w:pPr>
        <w:bidi/>
        <w:jc w:val="both"/>
      </w:pPr>
      <w:r w:rsidRPr="00FB7C11">
        <w:rPr>
          <w:rtl/>
        </w:rPr>
        <w:t>داده‌های این پژوهش در دو لایه گردآوری شد. در لایه نخست، مبانی نظری و پیشینه پژوهش از راه مطالعه کتابخانه‌ای و بررسی مقاله‌ها، کتاب‌ها و پایگاه‌های علمی داخلی و خارجی فراهم آمد. در لایه دوم، داده‌های میدانی از طریق پرسشنامه دلفی در قالب دورهای متوالی از پانل خبرگان گردآوری شد.</w:t>
      </w:r>
    </w:p>
    <w:p>
      <w:pPr>
        <w:bidi/>
        <w:jc w:val="both"/>
      </w:pPr>
      <w:r>
        <w:rPr>
          <w:rtl/>
        </w:rPr>
        <w:t xml:space="preserve">پرسش محوری دور نخست پانل به صورت باز مطرح شد: از نظر شما، چالش‌های فروش محصولات تک‌محصولی چیست؟ این پرسش عمداً بدون فهرست پیشنهادی و بدون محدودیت در تعداد پاسخ مطرح شد تا هر عضو پانل بتواند از منظر تجربه خود، موارد را آزادانه برشمارد.</w:t>
      </w:r>
      <w:r>
        <w:rPr>
          <w:rtl/>
        </w:rPr>
        <w:t xml:space="preserve"> پاسخ‌های این دور، مبنای تحلیل مضمون و یکی از دو منبع ورودی فهرست اولیه گویه‌ها شد؛ منبع دیگر، چالش‌های برگرفته از ادبیات در پایان فصل دوم (جدول ۲-۱) بود. این دو منبع در مرحله ترکیب و بررسی با هم سنجیده شدند و فهرست گویه‌هایی که در دورهای بعدی برای رتبه‌بندی و رسیدن به اجماع در اختیار پانل قرار گرفت، از همین مرحله به دست آمد.</w:t>
      </w:r>
    </w:p>
    <w:p w14:paraId="522E844E" w14:textId="77777777" w:rsidR="00EB30A8" w:rsidRPr="00FB7C11" w:rsidRDefault="00A23C08" w:rsidP="00FB7C11">
      <w:pPr>
        <w:bidi/>
        <w:jc w:val="both"/>
      </w:pPr>
      <w:r w:rsidRPr="00FB7C11">
        <w:rPr>
          <w:rtl/>
        </w:rPr>
        <w:t>پیش از آغاز دور نخست، مشخصات جمعیت‌شناختی هر عضو پانل شامل جایگاه شغلی، سابقه فعالیت، سطح تحصیلات و نوع محصول شرکت محل فعالیت ثبت شد. در پایان هر دور نیز یادداشت‌های پژوهشگر درباره نحوه بیان پاسخ‌ها و نکات قابل پیگیری برای دور بعد تکمیل گردید.</w:t>
      </w:r>
    </w:p>
    <w:p w14:paraId="5D968691" w14:textId="77777777" w:rsidR="00EB30A8" w:rsidRDefault="00A23C08">
      <w:pPr>
        <w:pStyle w:val="Heading2"/>
        <w:keepNext/>
        <w:bidi/>
        <w:spacing w:before="240" w:after="80"/>
        <w:jc w:val="lowKashida"/>
        <w:rPr>
          <w:sz w:val="32"/>
          <w:szCs w:val="32"/>
        </w:rPr>
      </w:pPr>
      <w:r>
        <w:rPr>
          <w:sz w:val="32"/>
          <w:szCs w:val="32"/>
        </w:rPr>
        <w:t>۳-۶ ابزار گردآوری داده‌ها</w:t>
      </w:r>
    </w:p>
    <w:p>
      <w:pPr>
        <w:bidi/>
        <w:jc w:val="both"/>
      </w:pPr>
      <w:r>
        <w:rPr>
          <w:rtl/>
        </w:rPr>
        <w:t xml:space="preserve">ابزار اصلی گردآوری داده، پرسشنامه دلفی بود که در قالب دورهای متوالی طراحی و اجرا شد.</w:t>
      </w:r>
      <w:r>
        <w:rPr>
          <w:rtl/>
        </w:rPr>
        <w:t xml:space="preserve"> دور نخست، پرسشنامه‌ای باز با دو بخش بود: بخش نخست به مشخصات جمعیت‌شناختی عضو پانل اختصاص داشت و بخش دوم شامل پرسش باز اصلی پژوهش می‌شد.</w:t>
      </w:r>
      <w:r>
        <w:rPr>
          <w:rtl/>
        </w:rPr>
        <w:t xml:space="preserve"> نمونه‌ای از پرسشنامه تکمیل‌شده دور دوم (خبره خ۱) در پیوست الف آمده است؛ پرسشنامه دور نخست همان پرسش باز بود که در بخش ۳-۵ آمد.</w:t>
      </w:r>
    </w:p>
    <w:p w14:paraId="2F862AF6" w14:textId="0C912346" w:rsidR="00EB30A8" w:rsidRPr="00A23C08" w:rsidRDefault="00A23C08" w:rsidP="00A23C08">
      <w:pPr>
        <w:bidi/>
        <w:jc w:val="both"/>
      </w:pPr>
      <w:r w:rsidRPr="00A23C08">
        <w:rPr>
          <w:rtl/>
        </w:rPr>
        <w:t xml:space="preserve">در دورهای بعدی، پرسشنامه بر پایه گویه‌های استخراج‌شده از دور نخست بازطراحی شد و از هر عضو پانل خواسته شد میزان اهمیت هر گویه را رتبه‌بندی کند. </w:t>
      </w:r>
      <w:r>
        <w:rPr>
          <w:rFonts w:hint="cs"/>
          <w:rtl/>
        </w:rPr>
        <w:t xml:space="preserve">ناسا و همکاران (۲۰۲۱)</w:t>
      </w:r>
      <w:r>
        <w:rPr>
          <w:rStyle w:val="FootnoteReference"/>
        </w:rPr>
        <w:footnoteReference w:id="6"/>
      </w:r>
      <w:r>
        <w:rPr>
          <w:rtl/>
        </w:rPr>
        <w:t xml:space="preserve"> ناشناس ماندن پاسخ‌های اعضای پانل نسبت به یکدیگر، و بازخورد کنترل‌شده نتایج تجمیعی دور پیشین به هر عضو را از ویژگی‌های بنیادین این ابزار در روش دلفی برمی‌شمارند؛ دو ویژگی‌ای که در طراحی پرسشنامه دورهای دوم و سوم پژوهش حاضر رعایت شد. </w:t>
      </w:r>
      <w:r>
        <w:rPr>
          <w:rtl/>
        </w:rPr>
        <w:t xml:space="preserve">پرسشنامه‌های دور دوم و سوم، همراه با پاسخ‌های کامل‌شده اعضای پانل، به دلیل حجم زیاد در متن پایان‌نامه نیامده‌اند و در صورت نیاز در اختیار داوران قرار می‌گیرند</w:t>
      </w:r>
      <w:r>
        <w:rPr>
          <w:rtl/>
        </w:rPr>
        <w:t xml:space="preserve">.</w:t>
      </w:r>
    </w:p>
    <w:p w14:paraId="0F7685A3" w14:textId="77777777" w:rsidR="00EB30A8" w:rsidRPr="00A23C08" w:rsidRDefault="00A23C08" w:rsidP="00A23C08">
      <w:pPr>
        <w:bidi/>
        <w:jc w:val="both"/>
      </w:pPr>
      <w:r w:rsidRPr="00A23C08">
        <w:rPr>
          <w:rtl/>
        </w:rPr>
        <w:t>در تحلیل داده‌های دور نخست، پژوهشگر خود مهم‌ترین ابزار تحلیل به شمار می‌آید. از این رو تلاش شده است پیش‌فرض‌های ذهنی پژوهشگر بر فرایند کدگذاری اثر نگذارد و گویه‌ها تا حد ممکن از دل گفته‌های اعضای پانل برخیزند. یکی از تدابیر برای این منظور، کنار گذاشتن عبارت‌های راهکارمحور و عدم کدگذاری آن‌ها به عنوان چالش بود.</w:t>
      </w:r>
    </w:p>
    <w:p w14:paraId="50F18013" w14:textId="77777777" w:rsidR="00EB30A8" w:rsidRDefault="00A23C08">
      <w:pPr>
        <w:pStyle w:val="Heading2"/>
        <w:keepNext/>
        <w:bidi/>
        <w:spacing w:before="240" w:after="80"/>
        <w:jc w:val="lowKashida"/>
        <w:rPr>
          <w:sz w:val="32"/>
          <w:szCs w:val="32"/>
        </w:rPr>
      </w:pPr>
      <w:r>
        <w:rPr>
          <w:sz w:val="32"/>
          <w:szCs w:val="32"/>
        </w:rPr>
        <w:t>۳-۷ روش تجزیه و تحلیل داده‌ها</w:t>
      </w:r>
    </w:p>
    <w:p>
      <w:pPr>
        <w:bidi/>
        <w:jc w:val="both"/>
      </w:pPr>
      <w:r>
        <w:rPr>
          <w:rtl/>
        </w:rPr>
        <w:t xml:space="preserve">تحلیل داده‌ها در سه گام انجام شد: نخست شناسایی چالش‌ها از راه تحلیل مضمون پاسخ‌های باز دور نخست و ترکیب آن‌ها با چالش‌های برگرفته از ادبیات، سپس اولویت‌بندی آن‌ها از طریق دورهای رتبه‌بندی و بازخورد گروهی پانل دلفی، و در پایان وزن‌دهی و رتبه‌بندی به روش AHP.</w:t>
      </w:r>
      <w:r>
        <w:rPr>
          <w:rtl/>
        </w:rPr>
        <w:t xml:space="preserve"> هر سه گام از یک فرایند واحد و متوالی تغذیه می‌شوند.</w:t>
      </w:r>
    </w:p>
    <w:p w14:paraId="2134E8DB" w14:textId="77777777" w:rsidR="00EB30A8" w:rsidRDefault="00A23C08">
      <w:pPr>
        <w:pStyle w:val="Heading3"/>
        <w:keepNext/>
        <w:bidi/>
        <w:spacing w:before="180" w:after="80"/>
        <w:jc w:val="lowKashida"/>
      </w:pPr>
      <w:r>
        <w:t>۳-۷-۱ گام نخست: تحلیل مضمون</w:t>
      </w:r>
    </w:p>
    <w:p w14:paraId="05D5E2FE" w14:textId="2DE90A73" w:rsidR="00EB30A8" w:rsidRPr="00A23C08" w:rsidRDefault="00A23C08" w:rsidP="00A23C08">
      <w:pPr>
        <w:bidi/>
        <w:jc w:val="both"/>
      </w:pPr>
      <w:r>
        <w:rPr>
          <w:rtl/>
        </w:rPr>
        <w:t xml:space="preserve">تحلیل مضمون روشی برای شناسایی، تحلیل و گزارش الگوهای معنایی درون داده‌های کیفی </w:t>
      </w:r>
      <w:r>
        <w:rPr>
          <w:rtl/>
        </w:rPr>
        <w:t xml:space="preserve">است (براون و کلارک، ۲۰۰۶)</w:t>
      </w:r>
      <w:r>
        <w:rPr>
          <w:rStyle w:val="FootnoteReference"/>
        </w:rPr>
        <w:footnoteReference w:id="7"/>
      </w:r>
      <w:r>
        <w:rPr>
          <w:rtl/>
        </w:rPr>
        <w:t xml:space="preserve"> که براون و کلارک (۲۰۲۱)</w:t>
      </w:r>
      <w:r>
        <w:rPr>
          <w:rStyle w:val="FootnoteReference"/>
        </w:rPr>
        <w:footnoteReference w:id="8"/>
      </w:r>
      <w:r>
        <w:rPr>
          <w:rtl/>
        </w:rPr>
        <w:t xml:space="preserve"> آن را در قالب فرایندی شش‌مرحله‌ای تشریح کرده‌اند؛ مراحل اجرای آن در پژوهش حاضر، با تطبیقی برای پاسخ‌های باز دور نخست دلفی، چنین بود</w:t>
      </w:r>
      <w:r>
        <w:rPr>
          <w:rtl/>
        </w:rPr>
        <w:t xml:space="preserve">. در مرحله نخست، آشنایی با داده: پاسخ‌های باز دور نخست چند بار خوانده شد. در مرحله دوم، کدگذاری باز: هر عبارت معنادار که به مانع یا مشکلی در فرایند فروش اشاره داشت، </w:t>
      </w:r>
      <w:r>
        <w:rPr>
          <w:rtl/>
        </w:rPr>
        <w:t xml:space="preserve">به پیروی از گام کدگذاری باز در فرایند پنج‌مرحله‌ای تحلیل داده کیفی (بینگهام، ۲۰۲۳)</w:t>
      </w:r>
      <w:r>
        <w:rPr>
          <w:rStyle w:val="FootnoteReference"/>
        </w:rPr>
        <w:footnoteReference w:id="9"/>
      </w:r>
      <w:r w:rsidRPr="00A23C08">
        <w:rPr>
          <w:rtl/>
        </w:rPr>
        <w:t xml:space="preserve"> به عنوان یک کد ثبت شد.</w:t>
      </w:r>
    </w:p>
    <w:p w14:paraId="2C4C1056" w14:textId="7AFB1506" w:rsidR="00EB30A8" w:rsidRPr="00A23C08" w:rsidRDefault="00A23C08" w:rsidP="00A23C08">
      <w:pPr>
        <w:bidi/>
        <w:jc w:val="both"/>
      </w:pPr>
      <w:r w:rsidRPr="00A23C08">
        <w:rPr>
          <w:rtl/>
        </w:rPr>
        <w:t>در مرحله سوم، شکل‌گیری گویه‌ها: کدهای دارای معنای مشترک در قالب گویه‌های واحد گرد آمدند. برای نمونه، اشاره یک عضو پانل به هزینه بالای توزیع و اشاره عضو دیگری به نبود صرفه اقتصادی در پخش یک قلم کالا، در گویه هزینه بالای پخش و توزیع به ازای یک قلم کالا ادغام شدند. در مرحله چهارم، بازبینی گویه‌ها: انسجام درونی هر گویه و تمایز آن از سایرین بررسی شد. در مرحله پنجم، دسته‌بندی مؤلفه‌ای: گویه‌های مرتبط ذیل مؤلفه‌های اصلی قرار گرفتند. در مرحله ششم، تدوین گزارش نهایی.</w:t>
      </w:r>
    </w:p>
    <w:p w14:paraId="7D1B90E6" w14:textId="0D627FAB" w:rsidR="00EB30A8" w:rsidRPr="00A23C08" w:rsidRDefault="00A23C08" w:rsidP="00A23C08">
      <w:pPr>
        <w:bidi/>
        <w:jc w:val="both"/>
      </w:pPr>
      <w:r w:rsidRPr="00A23C08">
        <w:rPr>
          <w:rtl/>
        </w:rPr>
        <w:t xml:space="preserve">گفتنی است بخشی از پاسخ‌های اعضای پانل، به جای بیان چالش، به ارائه راهکار اختصاص داشت </w:t>
      </w:r>
      <w:r w:rsidRPr="00A23C08">
        <w:rPr>
          <w:rFonts w:hint="cs"/>
          <w:rtl/>
        </w:rPr>
        <w:t>برای</w:t>
      </w:r>
      <w:r w:rsidRPr="00A23C08">
        <w:rPr>
          <w:rtl/>
        </w:rPr>
        <w:t xml:space="preserve"> </w:t>
      </w:r>
      <w:r w:rsidRPr="00A23C08">
        <w:rPr>
          <w:rFonts w:hint="cs"/>
          <w:rtl/>
        </w:rPr>
        <w:t>نمونه</w:t>
      </w:r>
      <w:r w:rsidRPr="00A23C08">
        <w:rPr>
          <w:rtl/>
        </w:rPr>
        <w:t xml:space="preserve"> </w:t>
      </w:r>
      <w:r w:rsidRPr="00A23C08">
        <w:rPr>
          <w:rFonts w:hint="cs"/>
          <w:rtl/>
        </w:rPr>
        <w:t>تأکید</w:t>
      </w:r>
      <w:r w:rsidRPr="00A23C08">
        <w:rPr>
          <w:rtl/>
        </w:rPr>
        <w:t xml:space="preserve"> </w:t>
      </w:r>
      <w:r w:rsidRPr="00A23C08">
        <w:rPr>
          <w:rFonts w:hint="cs"/>
          <w:rtl/>
        </w:rPr>
        <w:t>برخی</w:t>
      </w:r>
      <w:r w:rsidRPr="00A23C08">
        <w:rPr>
          <w:rtl/>
        </w:rPr>
        <w:t xml:space="preserve"> </w:t>
      </w:r>
      <w:r w:rsidRPr="00A23C08">
        <w:rPr>
          <w:rFonts w:hint="cs"/>
          <w:rtl/>
        </w:rPr>
        <w:t>اعضا</w:t>
      </w:r>
      <w:r w:rsidRPr="00A23C08">
        <w:rPr>
          <w:rtl/>
        </w:rPr>
        <w:t xml:space="preserve"> </w:t>
      </w:r>
      <w:r w:rsidRPr="00A23C08">
        <w:rPr>
          <w:rFonts w:hint="cs"/>
          <w:rtl/>
        </w:rPr>
        <w:t>بر</w:t>
      </w:r>
      <w:r w:rsidRPr="00A23C08">
        <w:rPr>
          <w:rtl/>
        </w:rPr>
        <w:t xml:space="preserve"> </w:t>
      </w:r>
      <w:r w:rsidRPr="00A23C08">
        <w:rPr>
          <w:rFonts w:hint="cs"/>
          <w:rtl/>
        </w:rPr>
        <w:t>برندسازی</w:t>
      </w:r>
      <w:r w:rsidRPr="00A23C08">
        <w:rPr>
          <w:rtl/>
        </w:rPr>
        <w:t xml:space="preserve"> </w:t>
      </w:r>
      <w:r w:rsidRPr="00A23C08">
        <w:rPr>
          <w:rFonts w:hint="cs"/>
          <w:rtl/>
        </w:rPr>
        <w:t>قوی</w:t>
      </w:r>
      <w:r w:rsidRPr="00A23C08">
        <w:rPr>
          <w:rtl/>
        </w:rPr>
        <w:t xml:space="preserve"> </w:t>
      </w:r>
      <w:r w:rsidRPr="00A23C08">
        <w:rPr>
          <w:rFonts w:hint="cs"/>
          <w:rtl/>
        </w:rPr>
        <w:t>و</w:t>
      </w:r>
      <w:r w:rsidRPr="00A23C08">
        <w:rPr>
          <w:rtl/>
        </w:rPr>
        <w:t xml:space="preserve"> </w:t>
      </w:r>
      <w:r w:rsidRPr="00A23C08">
        <w:rPr>
          <w:rFonts w:hint="cs"/>
          <w:rtl/>
        </w:rPr>
        <w:t>توسعه</w:t>
      </w:r>
      <w:r w:rsidRPr="00A23C08">
        <w:rPr>
          <w:rtl/>
        </w:rPr>
        <w:t xml:space="preserve"> </w:t>
      </w:r>
      <w:r w:rsidRPr="00A23C08">
        <w:rPr>
          <w:rFonts w:hint="cs"/>
          <w:rtl/>
        </w:rPr>
        <w:t>کانال‌های</w:t>
      </w:r>
      <w:r w:rsidRPr="00A23C08">
        <w:rPr>
          <w:rtl/>
        </w:rPr>
        <w:t xml:space="preserve"> </w:t>
      </w:r>
      <w:r w:rsidRPr="00A23C08">
        <w:rPr>
          <w:rFonts w:hint="cs"/>
          <w:rtl/>
        </w:rPr>
        <w:t>فروش</w:t>
      </w:r>
      <w:r w:rsidRPr="00A23C08">
        <w:rPr>
          <w:rtl/>
        </w:rPr>
        <w:t xml:space="preserve"> </w:t>
      </w:r>
      <w:r w:rsidRPr="00A23C08">
        <w:rPr>
          <w:rFonts w:hint="cs"/>
          <w:rtl/>
        </w:rPr>
        <w:t>دائمی</w:t>
      </w:r>
      <w:r w:rsidRPr="00A23C08">
        <w:rPr>
          <w:rtl/>
        </w:rPr>
        <w:t xml:space="preserve">. </w:t>
      </w:r>
      <w:r w:rsidRPr="00A23C08">
        <w:rPr>
          <w:rFonts w:hint="cs"/>
          <w:rtl/>
        </w:rPr>
        <w:t>این</w:t>
      </w:r>
      <w:r w:rsidRPr="00A23C08">
        <w:rPr>
          <w:rtl/>
        </w:rPr>
        <w:t xml:space="preserve"> </w:t>
      </w:r>
      <w:r w:rsidRPr="00A23C08">
        <w:rPr>
          <w:rFonts w:hint="cs"/>
          <w:rtl/>
        </w:rPr>
        <w:t>عبارت‌ها</w:t>
      </w:r>
      <w:r w:rsidRPr="00A23C08">
        <w:rPr>
          <w:rtl/>
        </w:rPr>
        <w:t xml:space="preserve"> </w:t>
      </w:r>
      <w:r w:rsidRPr="00A23C08">
        <w:rPr>
          <w:rFonts w:hint="cs"/>
          <w:rtl/>
        </w:rPr>
        <w:t>از</w:t>
      </w:r>
      <w:r w:rsidRPr="00A23C08">
        <w:rPr>
          <w:rtl/>
        </w:rPr>
        <w:t xml:space="preserve"> </w:t>
      </w:r>
      <w:r w:rsidRPr="00A23C08">
        <w:rPr>
          <w:rFonts w:hint="cs"/>
          <w:rtl/>
        </w:rPr>
        <w:t>فرایند</w:t>
      </w:r>
      <w:r w:rsidRPr="00A23C08">
        <w:rPr>
          <w:rtl/>
        </w:rPr>
        <w:t xml:space="preserve"> </w:t>
      </w:r>
      <w:r w:rsidRPr="00A23C08">
        <w:rPr>
          <w:rFonts w:hint="cs"/>
          <w:rtl/>
        </w:rPr>
        <w:t>کدگذاری</w:t>
      </w:r>
      <w:r w:rsidRPr="00A23C08">
        <w:rPr>
          <w:rtl/>
        </w:rPr>
        <w:t xml:space="preserve"> </w:t>
      </w:r>
      <w:r w:rsidRPr="00A23C08">
        <w:rPr>
          <w:rFonts w:hint="cs"/>
          <w:rtl/>
        </w:rPr>
        <w:t>چالش‌ها</w:t>
      </w:r>
      <w:r w:rsidRPr="00A23C08">
        <w:rPr>
          <w:rtl/>
        </w:rPr>
        <w:t xml:space="preserve"> </w:t>
      </w:r>
      <w:r w:rsidRPr="00A23C08">
        <w:rPr>
          <w:rFonts w:hint="cs"/>
          <w:rtl/>
        </w:rPr>
        <w:t>کنار</w:t>
      </w:r>
      <w:r w:rsidRPr="00A23C08">
        <w:rPr>
          <w:rtl/>
        </w:rPr>
        <w:t xml:space="preserve"> </w:t>
      </w:r>
      <w:r w:rsidRPr="00A23C08">
        <w:rPr>
          <w:rFonts w:hint="cs"/>
          <w:rtl/>
        </w:rPr>
        <w:t>گذاشته</w:t>
      </w:r>
      <w:r w:rsidRPr="00A23C08">
        <w:rPr>
          <w:rtl/>
        </w:rPr>
        <w:t xml:space="preserve"> </w:t>
      </w:r>
      <w:r w:rsidRPr="00A23C08">
        <w:rPr>
          <w:rFonts w:hint="cs"/>
          <w:rtl/>
        </w:rPr>
        <w:t>شدند</w:t>
      </w:r>
      <w:r w:rsidRPr="00A23C08">
        <w:rPr>
          <w:rtl/>
        </w:rPr>
        <w:t xml:space="preserve"> </w:t>
      </w:r>
      <w:r w:rsidRPr="00A23C08">
        <w:rPr>
          <w:rFonts w:hint="cs"/>
          <w:rtl/>
        </w:rPr>
        <w:t>و</w:t>
      </w:r>
      <w:r w:rsidRPr="00A23C08">
        <w:rPr>
          <w:rtl/>
        </w:rPr>
        <w:t xml:space="preserve"> </w:t>
      </w:r>
      <w:r w:rsidRPr="00A23C08">
        <w:rPr>
          <w:rFonts w:hint="cs"/>
          <w:rtl/>
        </w:rPr>
        <w:t>در</w:t>
      </w:r>
      <w:r w:rsidRPr="00A23C08">
        <w:rPr>
          <w:rtl/>
        </w:rPr>
        <w:t xml:space="preserve"> </w:t>
      </w:r>
      <w:r w:rsidRPr="00A23C08">
        <w:rPr>
          <w:rFonts w:hint="cs"/>
          <w:rtl/>
        </w:rPr>
        <w:t>بخش</w:t>
      </w:r>
      <w:r w:rsidRPr="00A23C08">
        <w:rPr>
          <w:rtl/>
        </w:rPr>
        <w:t xml:space="preserve"> </w:t>
      </w:r>
      <w:r w:rsidRPr="00A23C08">
        <w:rPr>
          <w:rFonts w:hint="cs"/>
          <w:rtl/>
        </w:rPr>
        <w:t>پیشنهادهای</w:t>
      </w:r>
      <w:r w:rsidRPr="00A23C08">
        <w:rPr>
          <w:rtl/>
        </w:rPr>
        <w:t xml:space="preserve"> </w:t>
      </w:r>
      <w:r w:rsidRPr="00A23C08">
        <w:rPr>
          <w:rFonts w:hint="cs"/>
          <w:rtl/>
        </w:rPr>
        <w:t>کاربردی</w:t>
      </w:r>
      <w:r w:rsidRPr="00A23C08">
        <w:rPr>
          <w:rtl/>
        </w:rPr>
        <w:t xml:space="preserve"> </w:t>
      </w:r>
      <w:r w:rsidRPr="00A23C08">
        <w:rPr>
          <w:rFonts w:hint="cs"/>
          <w:rtl/>
        </w:rPr>
        <w:t>فصل</w:t>
      </w:r>
      <w:r w:rsidRPr="00A23C08">
        <w:rPr>
          <w:rtl/>
        </w:rPr>
        <w:t xml:space="preserve"> </w:t>
      </w:r>
      <w:r w:rsidRPr="00A23C08">
        <w:rPr>
          <w:rFonts w:hint="cs"/>
          <w:rtl/>
        </w:rPr>
        <w:t>پنجم</w:t>
      </w:r>
      <w:r w:rsidRPr="00A23C08">
        <w:rPr>
          <w:rtl/>
        </w:rPr>
        <w:t xml:space="preserve"> </w:t>
      </w:r>
      <w:r w:rsidRPr="00A23C08">
        <w:rPr>
          <w:rFonts w:hint="cs"/>
          <w:rtl/>
        </w:rPr>
        <w:t>به</w:t>
      </w:r>
      <w:r w:rsidRPr="00A23C08">
        <w:rPr>
          <w:rtl/>
        </w:rPr>
        <w:t xml:space="preserve"> </w:t>
      </w:r>
      <w:r w:rsidRPr="00A23C08">
        <w:rPr>
          <w:rFonts w:hint="cs"/>
          <w:rtl/>
        </w:rPr>
        <w:t>کار</w:t>
      </w:r>
      <w:r w:rsidRPr="00A23C08">
        <w:rPr>
          <w:rtl/>
        </w:rPr>
        <w:t xml:space="preserve"> </w:t>
      </w:r>
      <w:r w:rsidRPr="00A23C08">
        <w:rPr>
          <w:rFonts w:hint="cs"/>
          <w:rtl/>
        </w:rPr>
        <w:t>رفته‌اند</w:t>
      </w:r>
      <w:r w:rsidRPr="00A23C08">
        <w:rPr>
          <w:rtl/>
        </w:rPr>
        <w:t>.</w:t>
      </w:r>
    </w:p>
    <w:p>
      <w:pPr>
        <w:bidi/>
        <w:jc w:val="both"/>
      </w:pPr>
      <w:r>
        <w:rPr>
          <w:rtl/>
        </w:rPr>
        <w:t xml:space="preserve">در مرحله ترکیب و بررسی، کدهای استخراج‌شده از پاسخ‌های دور نخست با چالش‌های برگرفته از ادبیات (جدول ۲-۱) سنجیده و ترکیب شدند. عاملی از ادبیات تنها زمانی وارد فهرست گویه‌ها شد که در پاسخ خبرگان بازتاب داشته باشد؛ عواملی که در ادبیات آمده بودند، اما خبرگان مطرح نکردند، وارد فهرست نشدند. حاصل این مرحله ۲۹ گویه در نُه مؤلفه بود.</w:t>
      </w:r>
    </w:p>
    <w:p w14:paraId="2592C9B5" w14:textId="77777777" w:rsidR="00EB30A8" w:rsidRDefault="00A23C08">
      <w:pPr>
        <w:pStyle w:val="Heading3"/>
        <w:keepNext/>
        <w:bidi/>
        <w:spacing w:before="180" w:after="80"/>
        <w:jc w:val="lowKashida"/>
      </w:pPr>
      <w:r>
        <w:t>۳-۷-۲ گام دوم: رتبه‌بندی و رسیدن به اجماع در دورهای دلفی</w:t>
      </w:r>
    </w:p>
    <w:p w14:paraId="0B50EBDD" w14:textId="54C69CB3" w:rsidR="00EB30A8" w:rsidRPr="00A23C08" w:rsidRDefault="00A23C08" w:rsidP="00A23C08">
      <w:pPr>
        <w:bidi/>
        <w:jc w:val="both"/>
      </w:pPr>
      <w:r w:rsidRPr="00A23C08">
        <w:rPr>
          <w:rtl/>
        </w:rPr>
        <w:t xml:space="preserve">برای اولویت‌بندی گویه‌های شناسایی‌شده، فهرست حاصل از دور نخست در دور دوم به صورت پرسشنامه‌ای ساختاریافته در اختیار پانل قرار گرفت و از هر عضو خواسته شد اهمیت هر گویه را بر پایه طیفی پنج‌درجه‌ای رتبه‌بندی کند. </w:t>
      </w:r>
      <w:r>
        <w:rPr>
          <w:rFonts w:hint="cs"/>
          <w:rtl/>
        </w:rPr>
        <w:t xml:space="preserve">بازخورد کنترل‌شده نتایج هر دور به اعضای پانل، که از ویژگی‌های بنیادین روش دلفی و وجه تمایز آن از پیمایش یک‌مرحله‌ای است (ناسا و همکاران، ۲۰۲۱)</w:t>
      </w:r>
      <w:r>
        <w:rPr>
          <w:rStyle w:val="FootnoteReference"/>
        </w:rPr>
        <w:footnoteReference w:id="10"/>
      </w:r>
      <w:r>
        <w:rPr>
          <w:rFonts w:hint="cs"/>
          <w:rtl/>
        </w:rPr>
        <w:t xml:space="preserve">، در پژوهش حاضر چنین اجرا شد: میانگین و میانه امتیاز هر گویه در پانل، همراه با امتیاز خود هر عضو در دور پیشین، به صورت ناشناس در اختیار تمام اعضا قرار گرفت و از آنان خواسته شد با توجه به این بازخورد گروهی، رتبه‌بندی خود را در دور بعد بازبینی کنند</w:t>
      </w:r>
      <w:r>
        <w:rPr>
          <w:rtl/>
        </w:rPr>
        <w:t xml:space="preserve">.</w:t>
      </w:r>
    </w:p>
    <w:p w14:paraId="3F07418D" w14:textId="710290E7" w:rsidR="00EB30A8" w:rsidRPr="00A23C08" w:rsidRDefault="00A23C08" w:rsidP="00A23C08">
      <w:pPr>
        <w:bidi/>
        <w:jc w:val="both"/>
      </w:pPr>
      <w:r w:rsidRPr="00A23C08">
        <w:rPr>
          <w:rtl/>
        </w:rPr>
        <w:t xml:space="preserve">این فرایند تا رسیدن به اجماع نسبی تکرار می‌شود. </w:t>
      </w:r>
      <w:r>
        <w:rPr>
          <w:rFonts w:hint="cs"/>
          <w:rtl/>
        </w:rPr>
        <w:t xml:space="preserve">شیفانو و نیدربرگر (۲۰۲۵)</w:t>
      </w:r>
      <w:r>
        <w:rPr>
          <w:rStyle w:val="FootnoteReference"/>
        </w:rPr>
        <w:footnoteReference w:id="11"/>
      </w:r>
      <w:r>
        <w:rPr>
          <w:rFonts w:hint="cs"/>
          <w:rtl/>
        </w:rPr>
        <w:t xml:space="preserve"> در مرور دامنه‌ای خود بر مطالعات دلفی در علوم سلامت نشان دادند که اجماع در بیشتر مطالعات (۸۱ درصد) به صورت درصد توافق تعریف می‌شود و ملاک توقف دورها در آن‌ها دستیابی به اجماع، تعداد ثابتی از دورها، یا ثبات پاسخ‌ها میان دورها (مثلاً با تغییر میانگین‌ها یا دامنه بین‌چارکی) است</w:t>
      </w:r>
      <w:r>
        <w:rPr>
          <w:rtl/>
        </w:rPr>
        <w:t xml:space="preserve">. </w:t>
      </w:r>
      <w:r>
        <w:rPr>
          <w:rtl/>
        </w:rPr>
        <w:t xml:space="preserve">در پژوهش حاضر توقف دورها بر پایه ملاک ثبات</w:t>
      </w:r>
      <w:r>
        <w:rPr>
          <w:rtl/>
        </w:rPr>
        <w:t xml:space="preserve">، یعنی ثبات نسبی رتبه‌بندی گویه‌ها میان دو دور متوالی، تعیین شد.</w:t>
      </w:r>
    </w:p>
    <w:p w14:paraId="59D0FE8B" w14:textId="77777777" w:rsidR="00EB30A8" w:rsidRPr="00A23C08" w:rsidRDefault="00A23C08" w:rsidP="00A23C08">
      <w:pPr>
        <w:bidi/>
        <w:jc w:val="both"/>
      </w:pPr>
      <w:r w:rsidRPr="00A23C08">
        <w:rPr>
          <w:rtl/>
        </w:rPr>
        <w:t>رتبه‌بندی نهایی در دو سطح محاسبه شد. در سطح گویه، هر یک از گویه‌های استخراج‌شده از دور نخست امتیاز جداگانه‌ای از میانگین رتبه‌های پانل دریافت کرد. در سطح مؤلفه، امتیاز هر مؤلفه از ترکیب امتیاز گویه‌های زیرمجموعه آن به دست آمد. محاسبه دوسطحی، هم امکان اولویت‌بندی عملیاتی در سطح چالش‌های مشخص را فراهم می‌کند و هم تصویری کلان از اهمیت نسبی دسته‌های چالش ارائه می‌دهد.</w:t>
      </w:r>
    </w:p>
    <w:p w14:paraId="50000000" w14:textId="77777777" w:rsidR="00EB30A8" w:rsidRPr="00A23C08" w:rsidRDefault="00A23C08" w:rsidP="00A23C08">
      <w:pPr>
        <w:bidi/>
        <w:jc w:val="both"/>
      </w:pPr>
      <w:r>
        <w:rPr>
          <w:rtl/>
        </w:rPr>
        <w:t xml:space="preserve">برای سنجش آماری این فرایند از سه دسته شاخص استفاده شد. نخست، شاخص‌های توصیفی امتیاز هر گویه در هر دور، یعنی میانگین، میانه، انحراف معیار و دامنه بین‌چارکی. </w:t>
      </w:r>
      <w:r>
        <w:rPr>
          <w:rtl/>
        </w:rPr>
        <w:t xml:space="preserve">دوم، ضریب هماهنگی کندال (W) برای سنجش میزان توافق میان رتبه‌بندی‌های اعضای پانل در هر دور، که در دلفی‌های مبتنی بر رتبه‌بندی به کار می‌رود (اشمیت، ۱۹۹۷)</w:t>
      </w:r>
      <w:r>
        <w:rPr>
          <w:rStyle w:val="FootnoteReference"/>
        </w:rPr>
        <w:footnoteReference w:id="12"/>
      </w:r>
      <w:r>
        <w:rPr>
          <w:rtl/>
        </w:rPr>
        <w:t xml:space="preserve">؛</w:t>
      </w:r>
      <w:r>
        <w:rPr>
          <w:rtl/>
        </w:rPr>
        <w:t xml:space="preserve"> معناداری آن با آزمون مجذور کای </w:t>
      </w:r>
      <w:r>
        <w:rPr>
          <w:rtl/>
        </w:rPr>
        <w:t xml:space="preserve">ارزیابی می‌شود</w:t>
      </w:r>
      <w:r>
        <w:rPr>
          <w:rtl/>
        </w:rPr>
        <w:t xml:space="preserve">. سوم، ضریب همبستگی رتبه‌ای اسپیرمن میان امتیازهای دور دوم و دور سوم برای سنجش ثبات رتبه‌بندی میان دو دور؛ این ضریب هم در سطح گویه‌ها، که ملاک توقف دورها بود، و هم در سطح مؤلفه‌ها محاسبه شد. </w:t>
      </w:r>
      <w:r>
        <w:rPr>
          <w:rtl/>
        </w:rPr>
        <w:t xml:space="preserve">نتایج این محاسبه‌ها در بخش ۴ گزارش شده و خروجی کامل محاسبه‌ها برای هر سه دور در پیوست ب آمده است</w:t>
      </w:r>
      <w:r>
        <w:rPr>
          <w:rtl/>
        </w:rPr>
        <w:t xml:space="preserve">.</w:t>
      </w:r>
    </w:p>
    <w:p>
      <w:pPr>
        <w:pStyle w:val="Heading3"/>
        <w:keepNext/>
        <w:bidi/>
        <w:spacing w:before="180" w:after="80"/>
        <w:jc w:val="lowKashida"/>
      </w:pPr>
      <w:r>
        <w:t xml:space="preserve">۳-۷-۳ رتبه‌بندی و وزن‌دهی به روش AHP</w:t>
      </w:r>
    </w:p>
    <w:p>
      <w:pPr>
        <w:bidi/>
        <w:jc w:val="both"/>
      </w:pPr>
      <w:r>
        <w:rPr>
          <w:rtl/>
        </w:rPr>
        <w:t xml:space="preserve">گام سوم، وزن‌دهی و رتبه‌بندی به روش فرایند تحلیل سلسله‌مراتبی (AHP) انجام شد (ساعتی، ۱۹۸۰)</w:t>
      </w:r>
      <w:r>
        <w:rPr>
          <w:rStyle w:val="FootnoteReference"/>
        </w:rPr>
        <w:footnoteReference w:id="13"/>
      </w:r>
      <w:r>
        <w:rPr>
          <w:rtl/>
        </w:rPr>
        <w:t xml:space="preserve">. سلسله‌مراتب تصمیم در سه سطح تعریف شد: هدف، که شناسایی و اولویت‌بندی چالش‌های فروش است؛ نُه مؤلفه؛ و ۲۹ گویه زیر هر مؤلفه. در این پژوهش مقایسه‌های زوجی از خبرگان گرفته نشد؛ از این رو وزن‌ها در حالت اندازه‌گیری مطلق AHP و بر پایه میانگین امتیاز هر گویه در دور سوم محاسبه شدند.</w:t>
      </w:r>
    </w:p>
    <w:p>
      <w:pPr>
        <w:bidi/>
        <w:jc w:val="both"/>
      </w:pPr>
      <w:r>
        <w:rPr>
          <w:rtl/>
        </w:rPr>
        <w:t xml:space="preserve">وزن هر مؤلفه برابر است با سهم میانگین آن از مجموع میانگین‌های نُه مؤلفه. وزن محلی هر گویه برابر است با سهم میانگین آن از مجموع میانگین‌های گویه‌های همان مؤلفه، و وزن سراسری گویه حاصل ضرب وزن مؤلفه در وزن محلی آن است. مجموع وزن‌های سراسری ۲۹ گویه برابر یک است. به دلیل نبود قضاوت زوجی، نرخ ناسازگاری محاسبه نشد.</w:t>
      </w:r>
    </w:p>
    <w:p>
      <w:pPr>
        <w:pStyle w:val="Heading3"/>
        <w:keepNext/>
        <w:bidi/>
        <w:spacing w:before="180" w:after="80"/>
        <w:jc w:val="lowKashida"/>
      </w:pPr>
      <w:r>
        <w:t xml:space="preserve">۳-۷-۴ چرایی انتخاب روش دلفی در میان رویکردهای رقیب</w:t>
      </w:r>
    </w:p>
    <w:p w14:paraId="484BBE7A" w14:textId="6A99631D" w:rsidR="00EB30A8" w:rsidRPr="00A23C08" w:rsidRDefault="00A23C08" w:rsidP="00A23C08">
      <w:pPr>
        <w:bidi/>
        <w:jc w:val="both"/>
      </w:pPr>
      <w:r w:rsidRPr="00A23C08">
        <w:rPr>
          <w:rtl/>
        </w:rPr>
        <w:t xml:space="preserve">انتخاب روش دلفی در پژوهش حاضر بر سه دلیل استوار است. نخست، امکان دستیابی به اجماع گروهی بدون نیاز به گردهم‌آوردن فیزیکی خبرگانی که در مناطق و شرکت‌های مختلف پراکنده‌اند </w:t>
      </w:r>
      <w:r>
        <w:rPr>
          <w:rFonts w:hint="cs"/>
          <w:rtl/>
        </w:rPr>
        <w:t xml:space="preserve">مزیتی که روش دلفی را از گروه‌های کانونی حضوری متمایز می‌کند</w:t>
      </w:r>
      <w:r>
        <w:rPr>
          <w:rtl/>
        </w:rPr>
        <w:t xml:space="preserve">. دوم، ناشناس ماندن پاسخ‌ها در هر دور، که اثر فشار اجتماعی سلسله‌مراتب شغلی بر نظر اعضای کم‌سابقه‌تر پانل را کاهش می‌دهد. سوم، امکان بازبینی </w:t>
      </w:r>
      <w:r>
        <w:rPr>
          <w:rtl/>
        </w:rPr>
        <w:t xml:space="preserve">تدریجی نظرها در پرتو بازخورد گروهی، </w:t>
      </w:r>
      <w:r>
        <w:rPr>
          <w:rtl/>
        </w:rPr>
        <w:t xml:space="preserve">که ناسا و همکاران (۲۰۲۱)</w:t>
      </w:r>
      <w:r>
        <w:rPr>
          <w:rStyle w:val="FootnoteReference"/>
        </w:rPr>
        <w:footnoteReference w:id="14"/>
      </w:r>
      <w:r w:rsidRPr="00A23C08">
        <w:rPr>
          <w:rtl/>
        </w:rPr>
        <w:t xml:space="preserve"> آن را از ویژگی‌های اصلی این روش دانسته‌اند.</w:t>
      </w:r>
    </w:p>
    <w:p w14:paraId="43A18BB7" w14:textId="03F1329B" w:rsidR="00AC3E3F" w:rsidRPr="0053265E" w:rsidRDefault="0053265E" w:rsidP="0053265E">
      <w:pPr>
        <w:bidi/>
        <w:jc w:val="both"/>
      </w:pPr>
      <w:r w:rsidRPr="0053265E">
        <w:rPr>
          <w:rtl/>
        </w:rPr>
        <w:t xml:space="preserve">اندازه پانل پژوهش حاضر </w:t>
      </w:r>
      <w:r w:rsidRPr="0053265E">
        <w:rPr>
          <w:rFonts w:hint="cs"/>
          <w:rtl/>
        </w:rPr>
        <w:t>هفت</w:t>
      </w:r>
      <w:r w:rsidRPr="0053265E">
        <w:rPr>
          <w:rtl/>
        </w:rPr>
        <w:t xml:space="preserve"> </w:t>
      </w:r>
      <w:r w:rsidRPr="0053265E">
        <w:rPr>
          <w:rFonts w:hint="cs"/>
          <w:rtl/>
        </w:rPr>
        <w:t>نفر</w:t>
      </w:r>
      <w:r w:rsidRPr="0053265E">
        <w:rPr>
          <w:rtl/>
        </w:rPr>
        <w:t xml:space="preserve"> </w:t>
      </w:r>
      <w:r w:rsidRPr="0053265E">
        <w:rPr>
          <w:rFonts w:hint="cs"/>
          <w:rtl/>
        </w:rPr>
        <w:t>در</w:t>
      </w:r>
      <w:r w:rsidRPr="0053265E">
        <w:rPr>
          <w:rtl/>
        </w:rPr>
        <w:t xml:space="preserve"> </w:t>
      </w:r>
      <w:r w:rsidRPr="0053265E">
        <w:rPr>
          <w:rFonts w:hint="cs"/>
          <w:rtl/>
        </w:rPr>
        <w:t>محدوده‌ای</w:t>
      </w:r>
      <w:r w:rsidRPr="0053265E">
        <w:rPr>
          <w:rtl/>
        </w:rPr>
        <w:t xml:space="preserve"> </w:t>
      </w:r>
      <w:r w:rsidRPr="0053265E">
        <w:rPr>
          <w:rFonts w:hint="cs"/>
          <w:rtl/>
        </w:rPr>
        <w:t>است</w:t>
      </w:r>
      <w:r w:rsidRPr="0053265E">
        <w:rPr>
          <w:rtl/>
        </w:rPr>
        <w:t xml:space="preserve"> </w:t>
      </w:r>
      <w:r w:rsidRPr="0053265E">
        <w:rPr>
          <w:rtl/>
        </w:rPr>
        <w:t>که شیفانو و نیدربرگر (۲۰۲۵)</w:t>
      </w:r>
      <w:r w:rsidRPr="0053265E">
        <w:rPr>
          <w:rStyle w:val="FootnoteReference"/>
        </w:rPr>
        <w:footnoteReference w:id="15"/>
      </w:r>
      <w:r w:rsidRPr="0053265E">
        <w:rPr>
          <w:rtl/>
        </w:rPr>
        <w:t xml:space="preserve"> برای مطالعات دلفی گزارش کرده‌اند، هرچند نسبت به میانه گزارش‌شده در ادبیات این حوزه کوچک‌تر است. این انتخاب، با توافق استاد راهنما و با توجه به محدودیت‌های اجرایی پژوهش، صورت گرفته است. با این حال، صداقت روش‌شناختی ایجاب می‌کند</w:t>
      </w:r>
      <w:r w:rsidRPr="0053265E">
        <w:rPr>
          <w:rtl/>
        </w:rPr>
        <w:t xml:space="preserve"> صریح گفته شود که در پانل‌های کوچک‌تر، تأثیر نظر هر عضو بر نتیجه نهایی بیشتر از پانل‌های بزرگ‌تر است؛ از این رو یافته‌های نهایی با توجه به همین محدودیت تفسیر می‌شوند.</w:t>
      </w:r>
    </w:p>
    <w:p w14:paraId="7A7B94FF" w14:textId="77777777" w:rsidR="00EB30A8" w:rsidRDefault="00A23C08">
      <w:pPr>
        <w:pStyle w:val="Heading2"/>
        <w:keepNext/>
        <w:bidi/>
        <w:spacing w:before="240" w:after="80"/>
        <w:jc w:val="lowKashida"/>
        <w:rPr>
          <w:sz w:val="32"/>
          <w:szCs w:val="32"/>
        </w:rPr>
      </w:pPr>
      <w:r>
        <w:rPr>
          <w:sz w:val="32"/>
          <w:szCs w:val="32"/>
        </w:rPr>
        <w:t>۳-۸ ملاحظات اخلاقی پژوهش</w:t>
      </w:r>
    </w:p>
    <w:p w14:paraId="083FCDAF" w14:textId="77777777" w:rsidR="00AC3E3F" w:rsidRDefault="0053265E">
      <w:pPr>
        <w:bidi/>
        <w:spacing w:after="80"/>
        <w:jc w:val="lowKashida"/>
      </w:pPr>
      <w:r>
        <w:rPr>
          <w:rtl/>
        </w:rPr>
        <w:t>پیش از آغاز دور نخست، هدف پژوهش و نحوه استفاده از داده‌ها برای ه</w:t>
      </w:r>
      <w:r>
        <w:rPr>
          <w:rtl/>
        </w:rPr>
        <w:t>ر عضو پانل تشریح شد و مشارکت او با رضایت آگاهانه و به صورت داوطلبانه صورت گرفت. درج نام در پرسشنامه اختیاری بود و اعضای پانل در گزارش پژوهش با کدهای خ۱ تا خ۷ نشان داده شده‌اند تا محرمانگی هویت آنان و نام شرکت‌های محل فعالیتشان حفظ شود.</w:t>
      </w:r>
    </w:p>
    <w:p w14:paraId="6B0850FD" w14:textId="77777777" w:rsidR="00EB30A8" w:rsidRPr="00A23C08" w:rsidRDefault="00A23C08" w:rsidP="00A23C08">
      <w:pPr>
        <w:bidi/>
        <w:jc w:val="both"/>
      </w:pPr>
      <w:r w:rsidRPr="00A23C08">
        <w:rPr>
          <w:rtl/>
        </w:rPr>
        <w:t>داده‌های گردآوری‌شده تنها برای مقاصد این پژوهش به کار رفته و در نقل پاسخ‌های اعضای پانل، امانت‌داری رعایت شده است. بخشی از پاسخ‌هایی که جنبه راهکاری داشت و در پژوهش مورد استفاده قرار گرفت، به این ترتیب است که محتوای آن به طور مستقل و بدون انتساب به فرد خاص در بخش پیشنهادها آمده است. همچنین در تدوین مبانی نظری و پیشینه، منابع مورد استفاده به دقت ارجاع داده شده‌اند.</w:t>
      </w:r>
    </w:p>
    <w:sectPr w:rsidR="00EB30A8" w:rsidRPr="00A23C08">
      <w:pgSz w:w="11906" w:h="16838"/>
      <w:pgMar w:top="1701" w:right="1701"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24B43" w14:textId="77777777" w:rsidR="007A4561" w:rsidRDefault="007A4561" w:rsidP="007A4561">
      <w:pPr>
        <w:spacing w:line="240" w:lineRule="auto"/>
      </w:pPr>
      <w:r>
        <w:separator/>
      </w:r>
    </w:p>
  </w:endnote>
  <w:endnote w:type="continuationSeparator" w:id="0">
    <w:p w14:paraId="7A5C0EB9" w14:textId="77777777" w:rsidR="007A4561" w:rsidRDefault="007A4561" w:rsidP="007A45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E40FA" w14:textId="77777777" w:rsidR="000C76BC" w:rsidRDefault="00A23C08" w:rsidP="00760CDA">
      <w:pPr>
        <w:spacing w:line="240" w:lineRule="auto"/>
      </w:pPr>
      <w:r>
        <w:separator/>
      </w:r>
    </w:p>
  </w:footnote>
  <w:footnote w:type="continuationSeparator" w:id="0">
    <w:p w14:paraId="01BFD269" w14:textId="77777777" w:rsidR="000C76BC" w:rsidRDefault="00A23C08" w:rsidP="00760CDA">
      <w:pPr>
        <w:spacing w:line="240" w:lineRule="auto"/>
      </w:pPr>
      <w:r>
        <w:continuationSeparator/>
      </w:r>
    </w:p>
  </w:footnote>
  <w:footnote w:id="1">
    <w:p w14:paraId="0FADE866" w14:textId="77777777" w:rsidR="00EB30A8" w:rsidRDefault="00A23C08">
      <w:r>
        <w:rPr>
          <w:rStyle w:val="FootnoteReference"/>
        </w:rPr>
        <w:footnoteRef/>
      </w:r>
      <w:r>
        <w:rPr>
          <w:rFonts w:ascii="Times New Roman" w:eastAsia="Times New Roman" w:hAnsi="Times New Roman" w:cs="Times New Roman"/>
          <w:sz w:val="20"/>
          <w:szCs w:val="20"/>
        </w:rPr>
        <w:t xml:space="preserve"> Saunders et al., 2023</w:t>
      </w:r>
    </w:p>
  </w:footnote>
  <w:footnote w:id="2">
    <w:p w14:paraId="0FADE866" w14:textId="77777777" w:rsidR="00EB30A8" w:rsidRDefault="00A23C08">
      <w:r>
        <w:rPr>
          <w:rStyle w:val="FootnoteReference"/>
        </w:rPr>
        <w:footnoteRef/>
      </w:r>
      <w:r>
        <w:rPr>
          <w:rFonts w:ascii="Times New Roman" w:eastAsia="Times New Roman" w:hAnsi="Times New Roman" w:cs="Times New Roman"/>
          <w:sz w:val="20"/>
          <w:szCs w:val="20"/>
        </w:rPr>
        <w:t xml:space="preserve"> Nasa et al., 2021</w:t>
      </w:r>
    </w:p>
  </w:footnote>
  <w:footnote w:id="3">
    <w:p w14:paraId="0FADE866" w14:textId="77777777" w:rsidR="00EB30A8" w:rsidRDefault="00A23C08">
      <w:r>
        <w:rPr>
          <w:rStyle w:val="FootnoteReference"/>
        </w:rPr>
        <w:footnoteRef/>
      </w:r>
      <w:r>
        <w:rPr>
          <w:rFonts w:ascii="Times New Roman" w:eastAsia="Times New Roman" w:hAnsi="Times New Roman" w:cs="Times New Roman"/>
          <w:sz w:val="20"/>
          <w:szCs w:val="20"/>
        </w:rPr>
        <w:t xml:space="preserve"> Beiderbeck et al., 2021</w:t>
      </w:r>
    </w:p>
  </w:footnote>
  <w:footnote w:id="4">
    <w:p w14:paraId="0FADE866" w14:textId="77777777" w:rsidR="00EB30A8" w:rsidRDefault="00A23C08">
      <w:r>
        <w:rPr>
          <w:rStyle w:val="FootnoteReference"/>
        </w:rPr>
        <w:footnoteRef/>
      </w:r>
      <w:r>
        <w:rPr>
          <w:rFonts w:ascii="Times New Roman" w:eastAsia="Times New Roman" w:hAnsi="Times New Roman" w:cs="Times New Roman"/>
          <w:sz w:val="20"/>
          <w:szCs w:val="20"/>
        </w:rPr>
        <w:t xml:space="preserve"> Schifano &amp; Niederberger, 2025</w:t>
      </w:r>
    </w:p>
  </w:footnote>
  <w:footnote w:id="5">
    <w:p w14:paraId="0FADE866" w14:textId="77777777" w:rsidR="00EB30A8" w:rsidRDefault="00A23C08">
      <w:r>
        <w:rPr>
          <w:rStyle w:val="FootnoteReference"/>
        </w:rPr>
        <w:footnoteRef/>
      </w:r>
      <w:r>
        <w:rPr>
          <w:rFonts w:ascii="Times New Roman" w:eastAsia="Times New Roman" w:hAnsi="Times New Roman" w:cs="Times New Roman"/>
          <w:sz w:val="20"/>
          <w:szCs w:val="20"/>
        </w:rPr>
        <w:t xml:space="preserve"> Schifano &amp; Niederberger, 2025</w:t>
      </w:r>
    </w:p>
  </w:footnote>
  <w:footnote w:id="6">
    <w:p w14:paraId="0FADE866" w14:textId="77777777" w:rsidR="00EB30A8" w:rsidRDefault="00A23C08">
      <w:r>
        <w:rPr>
          <w:rStyle w:val="FootnoteReference"/>
        </w:rPr>
        <w:footnoteRef/>
      </w:r>
      <w:r>
        <w:rPr>
          <w:rFonts w:ascii="Times New Roman" w:eastAsia="Times New Roman" w:hAnsi="Times New Roman" w:cs="Times New Roman"/>
          <w:sz w:val="20"/>
          <w:szCs w:val="20"/>
        </w:rPr>
        <w:t xml:space="preserve"> Nasa et al., 2021</w:t>
      </w:r>
    </w:p>
  </w:footnote>
  <w:footnote w:id="7">
    <w:p w14:paraId="0FADE866" w14:textId="77777777" w:rsidR="00EB30A8" w:rsidRDefault="00A23C08">
      <w:r>
        <w:rPr>
          <w:rStyle w:val="FootnoteReference"/>
        </w:rPr>
        <w:footnoteRef/>
      </w:r>
      <w:r>
        <w:rPr>
          <w:rFonts w:ascii="Times New Roman" w:eastAsia="Times New Roman" w:hAnsi="Times New Roman" w:cs="Times New Roman"/>
          <w:sz w:val="20"/>
          <w:szCs w:val="20"/>
        </w:rPr>
        <w:t xml:space="preserve"> Braun &amp; Clarke, 2006</w:t>
      </w:r>
    </w:p>
  </w:footnote>
  <w:footnote w:id="8">
    <w:p w14:paraId="0FADE866" w14:textId="77777777" w:rsidR="00EB30A8" w:rsidRDefault="00A23C08">
      <w:r>
        <w:rPr>
          <w:rStyle w:val="FootnoteReference"/>
        </w:rPr>
        <w:footnoteRef/>
      </w:r>
      <w:r>
        <w:rPr>
          <w:rFonts w:ascii="Times New Roman" w:eastAsia="Times New Roman" w:hAnsi="Times New Roman" w:cs="Times New Roman"/>
          <w:sz w:val="20"/>
          <w:szCs w:val="20"/>
        </w:rPr>
        <w:t xml:space="preserve"> Braun &amp; Clarke, 2021</w:t>
      </w:r>
    </w:p>
  </w:footnote>
  <w:footnote w:id="9">
    <w:p w14:paraId="0FADE866" w14:textId="77777777" w:rsidR="00EB30A8" w:rsidRDefault="00A23C08">
      <w:r>
        <w:rPr>
          <w:rStyle w:val="FootnoteReference"/>
        </w:rPr>
        <w:footnoteRef/>
      </w:r>
      <w:r>
        <w:rPr>
          <w:rFonts w:ascii="Times New Roman" w:eastAsia="Times New Roman" w:hAnsi="Times New Roman" w:cs="Times New Roman"/>
          <w:sz w:val="20"/>
          <w:szCs w:val="20"/>
        </w:rPr>
        <w:t xml:space="preserve"> Bingham, 2023</w:t>
      </w:r>
    </w:p>
  </w:footnote>
  <w:footnote w:id="10">
    <w:p w14:paraId="0FADE866" w14:textId="77777777" w:rsidR="00EB30A8" w:rsidRDefault="00A23C08">
      <w:r>
        <w:rPr>
          <w:rStyle w:val="FootnoteReference"/>
        </w:rPr>
        <w:footnoteRef/>
      </w:r>
      <w:r>
        <w:rPr>
          <w:rFonts w:ascii="Times New Roman" w:eastAsia="Times New Roman" w:hAnsi="Times New Roman" w:cs="Times New Roman"/>
          <w:sz w:val="20"/>
          <w:szCs w:val="20"/>
        </w:rPr>
        <w:t xml:space="preserve"> Nasa et al., 2021</w:t>
      </w:r>
    </w:p>
  </w:footnote>
  <w:footnote w:id="11">
    <w:p w14:paraId="0FADE866" w14:textId="77777777" w:rsidR="00EB30A8" w:rsidRDefault="00A23C08">
      <w:r>
        <w:rPr>
          <w:rStyle w:val="FootnoteReference"/>
        </w:rPr>
        <w:footnoteRef/>
      </w:r>
      <w:r>
        <w:rPr>
          <w:rFonts w:ascii="Times New Roman" w:eastAsia="Times New Roman" w:hAnsi="Times New Roman" w:cs="Times New Roman"/>
          <w:sz w:val="20"/>
          <w:szCs w:val="20"/>
        </w:rPr>
        <w:t xml:space="preserve"> Schifano &amp; Niederberger, 2025</w:t>
      </w:r>
    </w:p>
  </w:footnote>
  <w:footnote w:id="12">
    <w:p w14:paraId="0FADE866" w14:textId="77777777" w:rsidR="00EB30A8" w:rsidRDefault="00A23C08">
      <w:r>
        <w:rPr>
          <w:rStyle w:val="FootnoteReference"/>
        </w:rPr>
        <w:footnoteRef/>
      </w:r>
      <w:r>
        <w:rPr>
          <w:rFonts w:ascii="Times New Roman" w:eastAsia="Times New Roman" w:hAnsi="Times New Roman" w:cs="Times New Roman"/>
          <w:sz w:val="20"/>
          <w:szCs w:val="20"/>
        </w:rPr>
        <w:t xml:space="preserve"> Schmidt, 1997</w:t>
      </w:r>
    </w:p>
  </w:footnote>
  <w:footnote w:id="13">
    <w:p w14:paraId="0FADE866" w14:textId="77777777" w:rsidR="00EB30A8" w:rsidRDefault="00A23C08">
      <w:r>
        <w:rPr>
          <w:rStyle w:val="FootnoteReference"/>
        </w:rPr>
        <w:footnoteRef/>
      </w:r>
      <w:r>
        <w:rPr>
          <w:rFonts w:ascii="Times New Roman" w:eastAsia="Times New Roman" w:hAnsi="Times New Roman" w:cs="Times New Roman"/>
          <w:sz w:val="20"/>
          <w:szCs w:val="20"/>
        </w:rPr>
        <w:t xml:space="preserve"> Saaty, 1980. The analytic hierarchy process.</w:t>
      </w:r>
    </w:p>
  </w:footnote>
  <w:footnote w:id="14">
    <w:p w14:paraId="0FADE866" w14:textId="77777777" w:rsidR="00EB30A8" w:rsidRDefault="00A23C08">
      <w:r>
        <w:rPr>
          <w:rStyle w:val="FootnoteReference"/>
        </w:rPr>
        <w:footnoteRef/>
      </w:r>
      <w:r>
        <w:rPr>
          <w:rFonts w:ascii="Times New Roman" w:eastAsia="Times New Roman" w:hAnsi="Times New Roman" w:cs="Times New Roman"/>
          <w:sz w:val="20"/>
          <w:szCs w:val="20"/>
        </w:rPr>
        <w:t xml:space="preserve"> Nasa et al., 2021</w:t>
      </w:r>
    </w:p>
  </w:footnote>
  <w:footnote w:id="15">
    <w:p w14:paraId="0FADE866" w14:textId="77777777" w:rsidR="00EB30A8" w:rsidRDefault="00A23C08">
      <w:r>
        <w:rPr>
          <w:rStyle w:val="FootnoteReference"/>
        </w:rPr>
        <w:footnoteRef/>
      </w:r>
      <w:r>
        <w:rPr>
          <w:rFonts w:ascii="Times New Roman" w:eastAsia="Times New Roman" w:hAnsi="Times New Roman" w:cs="Times New Roman"/>
          <w:sz w:val="20"/>
          <w:szCs w:val="20"/>
        </w:rPr>
        <w:t xml:space="preserve"> Schifano &amp; Niederberger, 2025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561"/>
    <w:rsid w:val="002A595D"/>
    <w:rsid w:val="00441A98"/>
    <w:rsid w:val="0048646F"/>
    <w:rsid w:val="0053265E"/>
    <w:rsid w:val="00723EBE"/>
    <w:rsid w:val="007A4561"/>
    <w:rsid w:val="008C55AE"/>
    <w:rsid w:val="00A23C08"/>
    <w:rsid w:val="00AC3E3F"/>
    <w:rsid w:val="00AF356D"/>
    <w:rsid w:val="00E51E8F"/>
    <w:rsid w:val="00EB30A8"/>
    <w:rsid w:val="00EF16F2"/>
    <w:rsid w:val="00F33EF9"/>
    <w:rsid w:val="00FB7C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6A06"/>
  <w15:chartTrackingRefBased/>
  <w15:docId w15:val="{A5F3FB24-6327-4A3C-AEBC-52A957519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561"/>
    <w:pPr>
      <w:spacing w:after="0" w:line="276" w:lineRule="auto"/>
    </w:pPr>
    <w:rPr>
      <w:rFonts w:ascii="B Nazanin" w:eastAsia="B Nazanin" w:hAnsi="B Nazanin" w:cs="B Nazanin"/>
      <w:sz w:val="28"/>
      <w:szCs w:val="28"/>
      <w:lang w:bidi="fa-IR"/>
    </w:rPr>
  </w:style>
  <w:style w:type="paragraph" w:styleId="Heading1">
    <w:name w:val="heading 1"/>
    <w:link w:val="Heading1Char"/>
    <w:uiPriority w:val="9"/>
    <w:qFormat/>
    <w:rsid w:val="007A4561"/>
    <w:pPr>
      <w:spacing w:after="0" w:line="240" w:lineRule="auto"/>
      <w:outlineLvl w:val="0"/>
    </w:pPr>
    <w:rPr>
      <w:rFonts w:ascii="B Nazanin" w:eastAsia="B Nazanin" w:hAnsi="B Nazanin" w:cs="B Nazanin"/>
      <w:b/>
      <w:bCs/>
      <w:color w:val="000000"/>
      <w:sz w:val="36"/>
      <w:szCs w:val="36"/>
      <w:rtl/>
      <w:lang w:bidi="fa-IR"/>
    </w:rPr>
  </w:style>
  <w:style w:type="paragraph" w:styleId="Heading2">
    <w:name w:val="heading 2"/>
    <w:link w:val="Heading2Char"/>
    <w:uiPriority w:val="9"/>
    <w:unhideWhenUsed/>
    <w:qFormat/>
    <w:rsid w:val="007A4561"/>
    <w:pPr>
      <w:spacing w:after="0" w:line="240" w:lineRule="auto"/>
      <w:outlineLvl w:val="1"/>
    </w:pPr>
    <w:rPr>
      <w:rFonts w:ascii="B Nazanin" w:eastAsia="B Nazanin" w:hAnsi="B Nazanin" w:cs="B Nazanin"/>
      <w:b/>
      <w:bCs/>
      <w:color w:val="000000"/>
      <w:sz w:val="28"/>
      <w:szCs w:val="28"/>
      <w:rtl/>
      <w:lang w:bidi="fa-IR"/>
    </w:rPr>
  </w:style>
  <w:style w:type="paragraph" w:styleId="Heading3">
    <w:name w:val="heading 3"/>
    <w:link w:val="Heading3Char"/>
    <w:uiPriority w:val="9"/>
    <w:unhideWhenUsed/>
    <w:qFormat/>
    <w:rsid w:val="007A4561"/>
    <w:pPr>
      <w:spacing w:after="0" w:line="240" w:lineRule="auto"/>
      <w:outlineLvl w:val="2"/>
    </w:pPr>
    <w:rPr>
      <w:rFonts w:ascii="B Nazanin" w:eastAsia="B Nazanin" w:hAnsi="B Nazanin" w:cs="B Nazanin"/>
      <w:b/>
      <w:bCs/>
      <w:color w:val="000000"/>
      <w:sz w:val="28"/>
      <w:szCs w:val="28"/>
      <w:rtl/>
      <w:lang w:bidi="fa-IR"/>
    </w:rPr>
  </w:style>
  <w:style w:type="paragraph" w:styleId="Heading4">
    <w:name w:val="heading 4"/>
    <w:link w:val="Heading4Char"/>
    <w:uiPriority w:val="9"/>
    <w:unhideWhenUsed/>
    <w:qFormat/>
    <w:rsid w:val="007A4561"/>
    <w:pPr>
      <w:spacing w:after="0" w:line="240" w:lineRule="auto"/>
      <w:outlineLvl w:val="3"/>
    </w:pPr>
    <w:rPr>
      <w:rFonts w:ascii="B Nazanin" w:eastAsia="B Nazanin" w:hAnsi="B Nazanin" w:cs="B Nazanin"/>
      <w:b/>
      <w:bCs/>
      <w:color w:val="000000"/>
      <w:sz w:val="28"/>
      <w:szCs w:val="28"/>
      <w:rtl/>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561"/>
    <w:rPr>
      <w:rFonts w:ascii="B Nazanin" w:eastAsia="B Nazanin" w:hAnsi="B Nazanin" w:cs="B Nazanin"/>
      <w:b/>
      <w:bCs/>
      <w:color w:val="000000"/>
      <w:sz w:val="36"/>
      <w:szCs w:val="36"/>
      <w:lang w:bidi="fa-IR"/>
    </w:rPr>
  </w:style>
  <w:style w:type="character" w:customStyle="1" w:styleId="Heading2Char">
    <w:name w:val="Heading 2 Char"/>
    <w:basedOn w:val="DefaultParagraphFont"/>
    <w:link w:val="Heading2"/>
    <w:uiPriority w:val="9"/>
    <w:rsid w:val="007A4561"/>
    <w:rPr>
      <w:rFonts w:ascii="B Nazanin" w:eastAsia="B Nazanin" w:hAnsi="B Nazanin" w:cs="B Nazanin"/>
      <w:b/>
      <w:bCs/>
      <w:color w:val="000000"/>
      <w:sz w:val="28"/>
      <w:szCs w:val="28"/>
      <w:lang w:bidi="fa-IR"/>
    </w:rPr>
  </w:style>
  <w:style w:type="character" w:customStyle="1" w:styleId="Heading3Char">
    <w:name w:val="Heading 3 Char"/>
    <w:basedOn w:val="DefaultParagraphFont"/>
    <w:link w:val="Heading3"/>
    <w:uiPriority w:val="9"/>
    <w:rsid w:val="007A4561"/>
    <w:rPr>
      <w:rFonts w:ascii="B Nazanin" w:eastAsia="B Nazanin" w:hAnsi="B Nazanin" w:cs="B Nazanin"/>
      <w:b/>
      <w:bCs/>
      <w:color w:val="000000"/>
      <w:sz w:val="28"/>
      <w:szCs w:val="28"/>
      <w:lang w:bidi="fa-IR"/>
    </w:rPr>
  </w:style>
  <w:style w:type="character" w:customStyle="1" w:styleId="Heading4Char">
    <w:name w:val="Heading 4 Char"/>
    <w:basedOn w:val="DefaultParagraphFont"/>
    <w:link w:val="Heading4"/>
    <w:uiPriority w:val="9"/>
    <w:rsid w:val="007A4561"/>
    <w:rPr>
      <w:rFonts w:ascii="B Nazanin" w:eastAsia="B Nazanin" w:hAnsi="B Nazanin" w:cs="B Nazanin"/>
      <w:b/>
      <w:bCs/>
      <w:color w:val="000000"/>
      <w:sz w:val="28"/>
      <w:szCs w:val="28"/>
      <w:lang w:bidi="fa-IR"/>
    </w:rPr>
  </w:style>
  <w:style w:type="character" w:styleId="FootnoteReference">
    <w:name w:val="footnote reference"/>
    <w:uiPriority w:val="99"/>
    <w:semiHidden/>
    <w:unhideWhenUsed/>
    <w:rsid w:val="007A4561"/>
    <w:rPr>
      <w:vertAlign w:val="superscript"/>
    </w:rPr>
  </w:style>
  <w:style w:type="paragraph" w:customStyle="1" w:styleId="TableCaption">
    <w:name w:val="TableCaption"/>
    <w:rsid w:val="007A4561"/>
    <w:pPr>
      <w:bidi/>
      <w:spacing w:after="0" w:line="240" w:lineRule="auto"/>
      <w:jc w:val="center"/>
    </w:pPr>
    <w:rPr>
      <w:rFonts w:ascii="B Nazanin" w:eastAsia="B Nazanin" w:hAnsi="B Nazanin" w:cs="B Nazanin"/>
      <w:b/>
      <w:bCs/>
      <w:sz w:val="24"/>
      <w:szCs w:val="24"/>
      <w:rtl/>
      <w:lang w:bidi="fa-IR"/>
    </w:rPr>
  </w:style>
  <w:style w:type="paragraph" w:customStyle="1" w:styleId="CaptionSource">
    <w:name w:val="CaptionSource"/>
    <w:rsid w:val="007A4561"/>
    <w:pPr>
      <w:bidi/>
      <w:spacing w:after="0" w:line="240" w:lineRule="auto"/>
      <w:jc w:val="center"/>
    </w:pPr>
    <w:rPr>
      <w:rFonts w:ascii="B Nazanin" w:eastAsia="B Nazanin" w:hAnsi="B Nazanin" w:cs="B Nazanin"/>
      <w:b/>
      <w:bCs/>
      <w:sz w:val="24"/>
      <w:szCs w:val="24"/>
      <w:rtl/>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1497</Words>
  <Characters>8539</Characters>
  <Application>Microsoft Office Word</Application>
  <DocSecurity>0</DocSecurity>
  <Lines>71</Lines>
  <Paragraphs>20</Paragraphs>
  <ScaleCrop>false</ScaleCrop>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abdollahi</dc:creator>
  <cp:keywords/>
  <dc:description/>
  <cp:lastModifiedBy>taha abdollahi</cp:lastModifiedBy>
  <cp:revision>6</cp:revision>
  <dcterms:created xsi:type="dcterms:W3CDTF">2026-10-20T13:59:00Z</dcterms:created>
  <dcterms:modified xsi:type="dcterms:W3CDTF">2026-10-20T20:18:00Z</dcterms:modified>
</cp:coreProperties>
</file>