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7CA2B" w14:textId="77777777" w:rsidR="00414E0E" w:rsidRDefault="00414E0E" w:rsidP="00414E0E">
      <w:pPr>
        <w:pStyle w:val="Heading1"/>
        <w:bidi/>
        <w:spacing w:before="5600"/>
        <w:jc w:val="center"/>
      </w:pPr>
      <w:r>
        <w:t>فصل پنجم: بحث و نتیجه‌گیری</w:t>
      </w:r>
    </w:p>
    <w:p w14:paraId="4CD3BD7F" w14:textId="77777777" w:rsidR="00414E0E" w:rsidRDefault="00414E0E" w:rsidP="00414E0E">
      <w:pPr>
        <w:bidi/>
        <w:jc w:val="lowKashida"/>
      </w:pPr>
      <w:r>
        <w:br w:type="page"/>
      </w:r>
    </w:p>
    <w:p>
      <w:pPr>
        <w:pStyle w:val="Heading2"/>
        <w:keepNext/>
        <w:bidi/>
        <w:spacing w:before="240" w:after="80"/>
        <w:jc w:val="lowKashida"/>
      </w:pPr>
      <w:r>
        <w:t>۵-۱ مقدمه</w:t>
      </w:r>
    </w:p>
    <w:p>
      <w:pPr>
        <w:bidi/>
        <w:spacing w:after="80"/>
        <w:jc w:val="lowKashida"/>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jc w:val="lowKashida"/>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jc w:val="lowKashida"/>
      </w:pPr>
      <w:r>
        <w:t>۵-۲ مروری بر خلاصه تحقیق</w:t>
      </w:r>
    </w:p>
    <w:p>
      <w:pPr>
        <w:bidi/>
        <w:spacing w:after="80"/>
        <w:jc w:val="lowKashida"/>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jc w:val="lowKashida"/>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jc w:val="lowKashida"/>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w:t>
      </w:r>
      <w:r>
        <w:rPr>
          <w:rtl/>
        </w:rPr>
        <w:t xml:space="preserve"> رتبه‌بندی نهایی در دو سطح گویه و مؤلفه، بر پایه میانگین امتیاز دور سوم و با روش AHP (اندازه‌گیری مطلق) وزن‌دهی شد.</w:t>
      </w:r>
    </w:p>
    <w:p>
      <w:pPr>
        <w:bidi/>
        <w:spacing w:after="80"/>
        <w:jc w:val="lowKashida"/>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jc w:val="lowKashida"/>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jc w:val="lowKashida"/>
      </w:pPr>
      <w:r>
        <w:t>۵-۳ بحث و نتیجه‌گیری</w:t>
      </w:r>
    </w:p>
    <w:p>
      <w:pPr>
        <w:bidi/>
        <w:spacing w:after="80"/>
        <w:jc w:val="lowKashida"/>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jc w:val="lowKashida"/>
      </w:pPr>
      <w:r>
        <w:t>۵-۳-۱ بحث و نتیجه‌گیری درباره پرسش اول پژوهش</w:t>
      </w:r>
    </w:p>
    <w:p>
      <w:pPr>
        <w:bidi/>
        <w:spacing w:after="80"/>
        <w:jc w:val="lowKashida"/>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jc w:val="lowKashida"/>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2"/>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jc w:val="lowKashida"/>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3"/>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4"/>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5"/>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6"/>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jc w:val="lowKashida"/>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jc w:val="lowKashida"/>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7"/>
      </w:r>
      <w:r>
        <w:rPr>
          <w:rtl/>
        </w:rPr>
        <w:t xml:space="preserve">، محدودیت دانش و مهارت منابع انسانی، از جمله کمبود نیروی فروش ماهر (تانئو و همکاران، ۲۰۲۲)</w:t>
      </w:r>
      <w:r>
        <w:rPr>
          <w:rStyle w:val="FootnoteReference"/>
        </w:rPr>
        <w:footnoteReference w:id="8"/>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jc w:val="lowKashida"/>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r>
        <w:t xml:space="preserve">جدول ۵-۱ نسبت مؤلفه‌های شناسایی‌شده با یافته‌های پژوهش‌های پیشین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rsidR="00414E0E" w14:paraId="2737253F" w14:textId="77777777" w:rsidTr="00824313">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495C4" w14:textId="77777777" w:rsidR="00414E0E" w:rsidRDefault="00414E0E" w:rsidP="00414E0E">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265A9" w14:textId="77777777" w:rsidR="00414E0E" w:rsidRDefault="00414E0E" w:rsidP="00414E0E">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2B59F" w14:textId="77777777" w:rsidR="00414E0E" w:rsidRDefault="00414E0E" w:rsidP="00414E0E">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E7B90" w14:textId="77777777" w:rsidR="00414E0E" w:rsidRDefault="00414E0E" w:rsidP="00414E0E">
            <w:pPr>
              <w:bidi/>
              <w:jc w:val="center"/>
            </w:pPr>
            <w:r>
              <w:rPr>
                <w:b/>
                <w:bCs/>
                <w:sz w:val="22"/>
                <w:szCs w:val="22"/>
                <w:rtl/>
              </w:rPr>
              <w:t xml:space="preserve">نسبت با ادبیات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مامن و همکاران (۲۰۲۱)</w:t>
            </w:r>
            <w:r>
              <w:rPr>
                <w:rStyle w:val="FootnoteReference"/>
              </w:rPr>
              <w:footnoteReference w:id="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توماران و همکاران (۲۰۲۲)</w:t>
            </w:r>
            <w:r>
              <w:rPr>
                <w:rStyle w:val="FootnoteReference"/>
              </w:rPr>
              <w:footnoteReference w:id="10"/>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1"/>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سوریاتی و لوسیه (۲۰۲۲)</w:t>
            </w:r>
            <w:r>
              <w:rPr>
                <w:rStyle w:val="FootnoteReference"/>
              </w:rPr>
              <w:footnoteReference w:id="12"/>
            </w:r>
            <w:r>
              <w:rPr>
                <w:sz w:val="22"/>
                <w:szCs w:val="22"/>
                <w:rtl/>
              </w:rPr>
              <w:t xml:space="preserve">؛ پانگارکار و پرابهوداسای (۲۰۲۴) درباره قدرت چانه‌زنی خریدار</w:t>
            </w:r>
            <w:r>
              <w:rPr>
                <w:rStyle w:val="FootnoteReference"/>
              </w:rPr>
              <w:footnoteReference w:id="1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پانگارکار و پرابهوداسای (۲۰۲۴)</w:t>
            </w:r>
            <w:r>
              <w:rPr>
                <w:rStyle w:val="FootnoteReference"/>
              </w:rPr>
              <w:footnoteReference w:id="14"/>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lowKashida"/>
      </w:pPr>
    </w:p>
    <w:p>
      <w:pPr>
        <w:bidi/>
        <w:spacing w:after="80"/>
        <w:jc w:val="lowKashida"/>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jc w:val="lowKashida"/>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jc w:val="lowKashida"/>
      </w:pPr>
      <w:r>
        <w:t>۵-۳-۲ بحث و نتیجه‌گیری درباره پرسش دوم پژوهش</w:t>
      </w:r>
    </w:p>
    <w:p>
      <w:pPr>
        <w:bidi/>
        <w:spacing w:after="80"/>
        <w:jc w:val="lowKashida"/>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jc w:val="lowKashida"/>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jc w:val="lowKashida"/>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5"/>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6"/>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jc w:val="lowKashida"/>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jc w:val="lowKashida"/>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jc w:val="lowKashida"/>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7"/>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8"/>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jc w:val="lowKashida"/>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9"/>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20"/>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jc w:val="lowKashida"/>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jc w:val="lowKashida"/>
      </w:pPr>
      <w:r>
        <w:t>۵-۴ پیشنهادات تحقیق</w:t>
      </w:r>
    </w:p>
    <w:p>
      <w:pPr>
        <w:bidi/>
        <w:spacing w:after="80"/>
        <w:jc w:val="lowKashida"/>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1"/>
        </w:numPr>
        <w:bidi/>
        <w:spacing w:after="60"/>
        <w:jc w:val="lowKashida"/>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1"/>
        </w:numPr>
        <w:bidi/>
        <w:spacing w:after="60"/>
        <w:jc w:val="lowKashida"/>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1"/>
        </w:numPr>
        <w:bidi/>
        <w:spacing w:after="60"/>
        <w:jc w:val="lowKashida"/>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1"/>
        </w:numPr>
        <w:bidi/>
        <w:spacing w:after="60"/>
        <w:jc w:val="lowKashida"/>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21"/>
      </w:r>
      <w:r>
        <w:rPr>
          <w:rtl/>
        </w:rPr>
        <w:t xml:space="preserve"> و تنوع مرتبط ریسک بنگاه را می‌کاهد (مامن و همکاران، ۲۰۲۱)</w:t>
      </w:r>
      <w:r>
        <w:rPr>
          <w:rStyle w:val="FootnoteReference"/>
        </w:rPr>
        <w:footnoteReference w:id="22"/>
      </w:r>
      <w:r>
        <w:rPr>
          <w:rtl/>
        </w:rPr>
        <w:t xml:space="preserve">؛ این مسیر بخش عمده مزیت تخصص‌گرایی را حفظ می‌کند.</w:t>
      </w:r>
    </w:p>
    <w:p>
      <w:pPr>
        <w:pStyle w:val="ListParagraph"/>
        <w:numPr>
          <w:ilvl w:val="0"/>
          <w:numId w:val="1"/>
        </w:numPr>
        <w:bidi/>
        <w:spacing w:after="60"/>
        <w:jc w:val="lowKashida"/>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1"/>
        </w:numPr>
        <w:bidi/>
        <w:spacing w:after="60"/>
        <w:jc w:val="lowKashida"/>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1"/>
        </w:numPr>
        <w:bidi/>
        <w:spacing w:after="60"/>
        <w:jc w:val="lowKashida"/>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23"/>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1"/>
        </w:numPr>
        <w:bidi/>
        <w:spacing w:after="60"/>
        <w:jc w:val="lowKashida"/>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1"/>
        </w:numPr>
        <w:bidi/>
        <w:spacing w:after="60"/>
        <w:jc w:val="lowKashida"/>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jc w:val="lowKashida"/>
      </w:pPr>
      <w:r>
        <w:t>۵-۵ محدودیت‌های پژوهش</w:t>
      </w:r>
    </w:p>
    <w:p w14:paraId="07868FC5" w14:textId="77777777" w:rsidR="00414E0E" w:rsidRDefault="00414E0E" w:rsidP="00414E0E">
      <w:pPr>
        <w:bidi/>
        <w:spacing w:after="80"/>
        <w:jc w:val="lowKashida"/>
      </w:pPr>
      <w:r>
        <w:rPr>
          <w:rtl/>
        </w:rPr>
        <w:t>هر پژوهشی در چارچوب محدودیت‌های خود معنا می‌یابد و بیان صریح این محدودیت‌ها، شرط تفسیر درست یافته‌هاست.</w:t>
      </w:r>
    </w:p>
    <w:p>
      <w:pPr>
        <w:pStyle w:val="ListParagraph"/>
        <w:numPr>
          <w:ilvl w:val="0"/>
          <w:numId w:val="1"/>
        </w:numPr>
        <w:bidi/>
        <w:spacing w:after="60"/>
        <w:jc w:val="lowKashida"/>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1"/>
        </w:numPr>
        <w:bidi/>
        <w:spacing w:after="60"/>
        <w:jc w:val="lowKashida"/>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1"/>
        </w:numPr>
        <w:bidi/>
        <w:spacing w:after="60"/>
        <w:jc w:val="lowKashida"/>
      </w:pPr>
      <w:r>
        <w:rPr>
          <w:rtl/>
        </w:rPr>
        <w:t xml:space="preserve">ماهیت اجماع: فهرست دورهای رتبه‌بندی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1"/>
        </w:numPr>
        <w:bidi/>
        <w:spacing w:after="60"/>
        <w:jc w:val="lowKashida"/>
      </w:pPr>
      <w:r>
        <w:rPr>
          <w:rtl/>
        </w:rPr>
        <w:t xml:space="preserve">وزن‌های AHP بر پایه امتیازهای مطلق دور سوم و بدون مقایسه زوجی خبرگان محاسبه شدند؛ از این رو بیانگر اهمیت نسبی امتیازها هستند، نه قضاوت‌های زوجی اعضای پانل.</w:t>
      </w:r>
    </w:p>
    <w:p>
      <w:pPr>
        <w:pStyle w:val="ListParagraph"/>
        <w:numPr>
          <w:ilvl w:val="0"/>
          <w:numId w:val="1"/>
        </w:numPr>
        <w:bidi/>
        <w:spacing w:after="60"/>
        <w:jc w:val="lowKashida"/>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jc w:val="lowKashida"/>
      </w:pPr>
      <w:r>
        <w:t>۵-۶ پیشنهادهایی برای پژوهش‌های آتی</w:t>
      </w:r>
    </w:p>
    <w:p>
      <w:pPr>
        <w:bidi/>
        <w:spacing w:after="80"/>
        <w:jc w:val="lowKashida"/>
      </w:pPr>
      <w:r>
        <w:rPr>
          <w:rtl/>
        </w:rPr>
        <w:t xml:space="preserve">پیشنهادهای زیر از یافته‌ها و محدودیت‌های این پژوهش برخاسته‌اند.</w:t>
      </w:r>
    </w:p>
    <w:p>
      <w:pPr>
        <w:pStyle w:val="ListParagraph"/>
        <w:numPr>
          <w:ilvl w:val="0"/>
          <w:numId w:val="1"/>
        </w:numPr>
        <w:bidi/>
        <w:spacing w:after="60"/>
        <w:jc w:val="lowKashida"/>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1"/>
        </w:numPr>
        <w:bidi/>
        <w:spacing w:after="60"/>
        <w:jc w:val="lowKashida"/>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1"/>
        </w:numPr>
        <w:bidi/>
        <w:spacing w:after="60"/>
        <w:jc w:val="lowKashida"/>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14:paraId="21F2F131" w14:textId="77777777" w:rsidR="00414E0E" w:rsidRDefault="00414E0E" w:rsidP="00414E0E">
      <w:pPr>
        <w:pStyle w:val="ListParagraph"/>
        <w:numPr>
          <w:ilvl w:val="0"/>
          <w:numId w:val="1"/>
        </w:numPr>
        <w:bidi/>
        <w:spacing w:after="60"/>
        <w:jc w:val="lowKashida"/>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14:paraId="001BB654" w14:textId="77777777" w:rsidR="00414E0E" w:rsidRDefault="00414E0E" w:rsidP="00414E0E">
      <w:pPr>
        <w:pStyle w:val="ListParagraph"/>
        <w:numPr>
          <w:ilvl w:val="0"/>
          <w:numId w:val="1"/>
        </w:numPr>
        <w:bidi/>
        <w:spacing w:after="60"/>
        <w:jc w:val="lowKashida"/>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14:paraId="422E599B" w14:textId="77777777" w:rsidR="00414E0E" w:rsidRDefault="00414E0E" w:rsidP="00414E0E">
      <w:pPr>
        <w:pStyle w:val="ListParagraph"/>
        <w:numPr>
          <w:ilvl w:val="0"/>
          <w:numId w:val="1"/>
        </w:numPr>
        <w:bidi/>
        <w:spacing w:after="60"/>
        <w:jc w:val="lowKashida"/>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1"/>
        </w:numPr>
        <w:bidi/>
        <w:spacing w:after="60"/>
        <w:jc w:val="lowKashida"/>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 w:id="1">
    <w:p>
      <w:r>
        <w:rPr>
          <w:rStyle w:val="FootnoteReference"/>
        </w:rPr>
        <w:footnoteRef/>
      </w:r>
      <w:r>
        <w:rPr>
          <w:rFonts w:ascii="Times New Roman" w:eastAsia="Times New Roman" w:hAnsi="Times New Roman" w:cs="Times New Roman"/>
          <w:sz w:val="20"/>
          <w:szCs w:val="20"/>
        </w:rPr>
        <w:t> Mammen et al., 2021</w:t>
      </w:r>
    </w:p>
  </w:footnote>
  <w:footnote w:id="2">
    <w:p>
      <w:r>
        <w:rPr>
          <w:rStyle w:val="FootnoteReference"/>
        </w:rPr>
        <w:footnoteRef/>
      </w:r>
      <w:r>
        <w:rPr>
          <w:rFonts w:ascii="Times New Roman" w:eastAsia="Times New Roman" w:hAnsi="Times New Roman" w:cs="Times New Roman"/>
          <w:sz w:val="20"/>
          <w:szCs w:val="20"/>
        </w:rPr>
        <w:t> Schommer et al., 2019</w:t>
      </w:r>
    </w:p>
  </w:footnote>
  <w:footnote w:id="3">
    <w:p>
      <w:r>
        <w:rPr>
          <w:rStyle w:val="FootnoteReference"/>
        </w:rPr>
        <w:footnoteRef/>
      </w:r>
      <w:r>
        <w:rPr>
          <w:rFonts w:ascii="Times New Roman" w:eastAsia="Times New Roman" w:hAnsi="Times New Roman" w:cs="Times New Roman"/>
          <w:sz w:val="20"/>
          <w:szCs w:val="20"/>
        </w:rPr>
        <w:t> Zain et al., 2023</w:t>
      </w:r>
    </w:p>
  </w:footnote>
  <w:footnote w:id="4">
    <w:p>
      <w:r>
        <w:rPr>
          <w:rStyle w:val="FootnoteReference"/>
        </w:rPr>
        <w:footnoteRef/>
      </w:r>
      <w:r>
        <w:rPr>
          <w:rFonts w:ascii="Times New Roman" w:eastAsia="Times New Roman" w:hAnsi="Times New Roman" w:cs="Times New Roman"/>
          <w:sz w:val="20"/>
          <w:szCs w:val="20"/>
        </w:rPr>
        <w:t> Pangarkar &amp; Prabhudesai, 2024</w:t>
      </w:r>
    </w:p>
  </w:footnote>
  <w:footnote w:id="5">
    <w:p>
      <w:r>
        <w:rPr>
          <w:rStyle w:val="FootnoteReference"/>
        </w:rPr>
        <w:footnoteRef/>
      </w:r>
      <w:r>
        <w:rPr>
          <w:rFonts w:ascii="Times New Roman" w:eastAsia="Times New Roman" w:hAnsi="Times New Roman" w:cs="Times New Roman"/>
          <w:sz w:val="20"/>
          <w:szCs w:val="20"/>
        </w:rPr>
        <w:t> Suryati &amp; Lusiah, 2022</w:t>
      </w:r>
    </w:p>
  </w:footnote>
  <w:footnote w:id="6">
    <w:p>
      <w:r>
        <w:rPr>
          <w:rStyle w:val="FootnoteReference"/>
        </w:rPr>
        <w:footnoteRef/>
      </w:r>
      <w:r>
        <w:rPr>
          <w:rFonts w:ascii="Times New Roman" w:eastAsia="Times New Roman" w:hAnsi="Times New Roman" w:cs="Times New Roman"/>
          <w:sz w:val="20"/>
          <w:szCs w:val="20"/>
        </w:rPr>
        <w:t> Thomran et al., 2022</w:t>
      </w:r>
    </w:p>
  </w:footnote>
  <w:footnote w:id="7">
    <w:p>
      <w:r>
        <w:rPr>
          <w:rStyle w:val="FootnoteReference"/>
        </w:rPr>
        <w:footnoteRef/>
      </w:r>
      <w:r>
        <w:rPr>
          <w:rFonts w:ascii="Times New Roman" w:eastAsia="Times New Roman" w:hAnsi="Times New Roman" w:cs="Times New Roman"/>
          <w:sz w:val="20"/>
          <w:szCs w:val="20"/>
        </w:rPr>
        <w:t> Mangla et al., 2021</w:t>
      </w:r>
    </w:p>
  </w:footnote>
  <w:footnote w:id="8">
    <w:p>
      <w:r>
        <w:rPr>
          <w:rStyle w:val="FootnoteReference"/>
        </w:rPr>
        <w:footnoteRef/>
      </w:r>
      <w:r>
        <w:rPr>
          <w:rFonts w:ascii="Times New Roman" w:eastAsia="Times New Roman" w:hAnsi="Times New Roman" w:cs="Times New Roman"/>
          <w:sz w:val="20"/>
          <w:szCs w:val="20"/>
        </w:rPr>
        <w:t> Taneo et al., 2022</w:t>
      </w:r>
    </w:p>
  </w:footnote>
  <w:footnote w:id="9">
    <w:p>
      <w:r>
        <w:rPr>
          <w:rStyle w:val="FootnoteReference"/>
        </w:rPr>
        <w:footnoteRef/>
      </w:r>
      <w:r>
        <w:rPr>
          <w:rFonts w:ascii="Times New Roman" w:eastAsia="Times New Roman" w:hAnsi="Times New Roman" w:cs="Times New Roman"/>
          <w:sz w:val="20"/>
          <w:szCs w:val="20"/>
        </w:rPr>
        <w:t> Mammen et al., 2021</w:t>
      </w:r>
    </w:p>
  </w:footnote>
  <w:footnote w:id="10">
    <w:p>
      <w:r>
        <w:rPr>
          <w:rStyle w:val="FootnoteReference"/>
        </w:rPr>
        <w:footnoteRef/>
      </w:r>
      <w:r>
        <w:rPr>
          <w:rFonts w:ascii="Times New Roman" w:eastAsia="Times New Roman" w:hAnsi="Times New Roman" w:cs="Times New Roman"/>
          <w:sz w:val="20"/>
          <w:szCs w:val="20"/>
        </w:rPr>
        <w:t> Thomran et al., 2022</w:t>
      </w:r>
    </w:p>
  </w:footnote>
  <w:footnote w:id="11">
    <w:p>
      <w:r>
        <w:rPr>
          <w:rStyle w:val="FootnoteReference"/>
        </w:rPr>
        <w:footnoteRef/>
      </w:r>
      <w:r>
        <w:rPr>
          <w:rFonts w:ascii="Times New Roman" w:eastAsia="Times New Roman" w:hAnsi="Times New Roman" w:cs="Times New Roman"/>
          <w:sz w:val="20"/>
          <w:szCs w:val="20"/>
        </w:rPr>
        <w:t> Shah et al., 2023</w:t>
      </w:r>
    </w:p>
  </w:footnote>
  <w:footnote w:id="12">
    <w:p>
      <w:r>
        <w:rPr>
          <w:rStyle w:val="FootnoteReference"/>
        </w:rPr>
        <w:footnoteRef/>
      </w:r>
      <w:r>
        <w:rPr>
          <w:rFonts w:ascii="Times New Roman" w:eastAsia="Times New Roman" w:hAnsi="Times New Roman" w:cs="Times New Roman"/>
          <w:sz w:val="20"/>
          <w:szCs w:val="20"/>
        </w:rPr>
        <w:t> Suryati &amp; Lusiah, 2022</w:t>
      </w:r>
    </w:p>
  </w:footnote>
  <w:footnote w:id="13">
    <w:p>
      <w:r>
        <w:rPr>
          <w:rStyle w:val="FootnoteReference"/>
        </w:rPr>
        <w:footnoteRef/>
      </w:r>
      <w:r>
        <w:rPr>
          <w:rFonts w:ascii="Times New Roman" w:eastAsia="Times New Roman" w:hAnsi="Times New Roman" w:cs="Times New Roman"/>
          <w:sz w:val="20"/>
          <w:szCs w:val="20"/>
        </w:rPr>
        <w:t> Pangarkar &amp; Prabhudesai, 2024</w:t>
      </w:r>
    </w:p>
  </w:footnote>
  <w:footnote w:id="14">
    <w:p>
      <w:r>
        <w:rPr>
          <w:rStyle w:val="FootnoteReference"/>
        </w:rPr>
        <w:footnoteRef/>
      </w:r>
      <w:r>
        <w:rPr>
          <w:rFonts w:ascii="Times New Roman" w:eastAsia="Times New Roman" w:hAnsi="Times New Roman" w:cs="Times New Roman"/>
          <w:sz w:val="20"/>
          <w:szCs w:val="20"/>
        </w:rPr>
        <w:t> Pangarkar &amp; Prabhudesai, 2024</w:t>
      </w:r>
    </w:p>
  </w:footnote>
  <w:footnote w:id="15">
    <w:p>
      <w:r>
        <w:rPr>
          <w:rStyle w:val="FootnoteReference"/>
        </w:rPr>
        <w:footnoteRef/>
      </w:r>
      <w:r>
        <w:rPr>
          <w:rFonts w:ascii="Times New Roman" w:eastAsia="Times New Roman" w:hAnsi="Times New Roman" w:cs="Times New Roman"/>
          <w:sz w:val="20"/>
          <w:szCs w:val="20"/>
        </w:rPr>
        <w:t> Miklian &amp; Hoelscher, 2022</w:t>
      </w:r>
    </w:p>
  </w:footnote>
  <w:footnote w:id="16">
    <w:p>
      <w:r>
        <w:rPr>
          <w:rStyle w:val="FootnoteReference"/>
        </w:rPr>
        <w:footnoteRef/>
      </w:r>
      <w:r>
        <w:rPr>
          <w:rFonts w:ascii="Times New Roman" w:eastAsia="Times New Roman" w:hAnsi="Times New Roman" w:cs="Times New Roman"/>
          <w:sz w:val="20"/>
          <w:szCs w:val="20"/>
        </w:rPr>
        <w:t> Mammen et al., 2021</w:t>
      </w:r>
    </w:p>
  </w:footnote>
  <w:footnote w:id="17">
    <w:p>
      <w:r>
        <w:rPr>
          <w:rStyle w:val="FootnoteReference"/>
        </w:rPr>
        <w:footnoteRef/>
      </w:r>
      <w:r>
        <w:rPr>
          <w:rFonts w:ascii="Times New Roman" w:eastAsia="Times New Roman" w:hAnsi="Times New Roman" w:cs="Times New Roman"/>
          <w:sz w:val="20"/>
          <w:szCs w:val="20"/>
        </w:rPr>
        <w:t> Thomran et al., 2022</w:t>
      </w:r>
    </w:p>
  </w:footnote>
  <w:footnote w:id="18">
    <w:p>
      <w:r>
        <w:rPr>
          <w:rStyle w:val="FootnoteReference"/>
        </w:rPr>
        <w:footnoteRef/>
      </w:r>
      <w:r>
        <w:rPr>
          <w:rFonts w:ascii="Times New Roman" w:eastAsia="Times New Roman" w:hAnsi="Times New Roman" w:cs="Times New Roman"/>
          <w:sz w:val="20"/>
          <w:szCs w:val="20"/>
        </w:rPr>
        <w:t> Dukhaykh &amp; Alangri, 2026</w:t>
      </w:r>
    </w:p>
  </w:footnote>
  <w:footnote w:id="19">
    <w:p>
      <w:r>
        <w:rPr>
          <w:rStyle w:val="FootnoteReference"/>
        </w:rPr>
        <w:footnoteRef/>
      </w:r>
      <w:r>
        <w:rPr>
          <w:rFonts w:ascii="Times New Roman" w:eastAsia="Times New Roman" w:hAnsi="Times New Roman" w:cs="Times New Roman"/>
          <w:sz w:val="20"/>
          <w:szCs w:val="20"/>
        </w:rPr>
        <w:t> Nasa et al., 2021</w:t>
      </w:r>
    </w:p>
  </w:footnote>
  <w:footnote w:id="20">
    <w:p>
      <w:r>
        <w:rPr>
          <w:rStyle w:val="FootnoteReference"/>
        </w:rPr>
        <w:footnoteRef/>
      </w:r>
      <w:r>
        <w:rPr>
          <w:rFonts w:ascii="Times New Roman" w:eastAsia="Times New Roman" w:hAnsi="Times New Roman" w:cs="Times New Roman"/>
          <w:sz w:val="20"/>
          <w:szCs w:val="20"/>
        </w:rPr>
        <w:t> Schmidt, 1997</w:t>
      </w:r>
    </w:p>
  </w:footnote>
  <w:footnote w:id="21">
    <w:p>
      <w:r>
        <w:rPr>
          <w:rStyle w:val="FootnoteReference"/>
        </w:rPr>
        <w:footnoteRef/>
      </w:r>
      <w:r>
        <w:rPr>
          <w:rFonts w:ascii="Times New Roman" w:eastAsia="Times New Roman" w:hAnsi="Times New Roman" w:cs="Times New Roman"/>
          <w:sz w:val="20"/>
          <w:szCs w:val="20"/>
        </w:rPr>
        <w:t> Arte &amp; Larimo, 2022</w:t>
      </w:r>
    </w:p>
  </w:footnote>
  <w:footnote w:id="22">
    <w:p>
      <w:r>
        <w:rPr>
          <w:rStyle w:val="FootnoteReference"/>
        </w:rPr>
        <w:footnoteRef/>
      </w:r>
      <w:r>
        <w:rPr>
          <w:rFonts w:ascii="Times New Roman" w:eastAsia="Times New Roman" w:hAnsi="Times New Roman" w:cs="Times New Roman"/>
          <w:sz w:val="20"/>
          <w:szCs w:val="20"/>
        </w:rPr>
        <w:t> Mammen et al., 2021</w:t>
      </w:r>
    </w:p>
  </w:footnote>
  <w:footnote w:id="23">
    <w:p>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