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center"/>
      </w:pPr>
      <w:r>
        <w:rPr>
          <w:rFonts w:ascii="Times New Roman" w:cs="Times New Roman" w:eastAsia="Times New Roman" w:hAnsi="Times New Roman"/>
          <w:b/>
          <w:bCs/>
          <w:sz w:val="34"/>
          <w:szCs w:val="34"/>
          <w:rtl/>
        </w:rPr>
        <w:t xml:space="preserve">بررسی اعتبار اعترافات ناشی از فریب و عملیات روانی بازجویان در فرایند تحقیقات کیفری</w:t>
      </w:r>
    </w:p>
    <w:p>
      <w:pPr>
        <w:bidi/>
        <w:spacing w:after="100"/>
        <w:jc w:val="center"/>
      </w:pPr>
      <w:r>
        <w:rPr>
          <w:rFonts w:ascii="Times New Roman" w:cs="Times New Roman" w:eastAsia="Times New Roman" w:hAnsi="Times New Roman"/>
          <w:sz w:val="24"/>
          <w:szCs w:val="24"/>
          <w:rtl/>
        </w:rPr>
        <w:t xml:space="preserve">نویسنده: ............................</w:t>
      </w:r>
    </w:p>
    <w:p>
      <w:pPr>
        <w:bidi/>
        <w:spacing w:after="300"/>
        <w:jc w:val="center"/>
      </w:pPr>
      <w:r>
        <w:rPr>
          <w:rFonts w:ascii="Times New Roman" w:cs="Times New Roman" w:eastAsia="Times New Roman" w:hAnsi="Times New Roman"/>
          <w:sz w:val="22"/>
          <w:szCs w:val="22"/>
          <w:rtl/>
        </w:rPr>
        <w:t xml:space="preserve">وابستگی سازمانی / پست الکترونیک: ............................</w:t>
      </w:r>
    </w:p>
    <w:p>
      <w:pPr>
        <w:pStyle w:val="Heading1"/>
        <w:bidi/>
        <w:spacing w:after="160" w:before="360"/>
      </w:pPr>
      <w:r>
        <w:rPr>
          <w:rFonts w:ascii="Times New Roman" w:cs="Times New Roman" w:eastAsia="Times New Roman" w:hAnsi="Times New Roman"/>
          <w:b/>
          <w:bCs/>
          <w:sz w:val="28"/>
          <w:szCs w:val="28"/>
          <w:rtl/>
        </w:rPr>
        <w:t xml:space="preserve">چکیده</w:t>
      </w:r>
    </w:p>
    <w:p>
      <w:pPr>
        <w:bidi/>
        <w:spacing w:after="120" w:line="360"/>
        <w:ind w:firstLine="360"/>
        <w:jc w:val="both"/>
      </w:pPr>
      <w:r>
        <w:rPr>
          <w:rFonts w:ascii="Times New Roman" w:cs="Times New Roman" w:eastAsia="Times New Roman" w:hAnsi="Times New Roman"/>
          <w:sz w:val="24"/>
          <w:szCs w:val="24"/>
          <w:rtl/>
        </w:rPr>
        <w:t xml:space="preserve">اقرار، که در سنت حقوقی اسلامی «سیدالادله» خوانده شده، در بسیاری از نظام‌های کیفری همچنان از قوی‌ترین ادله‌ی اثبات به شمار می‌رود. این جایگاه، انگیزه‌ی مأموران تحقیق را برای گرفتن اقرار از متهم افزایش می‌دهد و پرسش دشواری را پیش می‌کشد: اگر اقرار نه با شکنجه و تهدید آشکار، بلکه با فریب، دروغ درباره‌ی ادله، وعده‌ها و فشارهای روانی به دست آمده باشد، تا چه اندازه معتبر است؟ این پژوهش با روش توصیفی ـ تحلیلی و گردآوری کتابخانه‌ای، یافته‌های روان‌شناسی اعتراف، منابع فقهی، حقوق موضوعه‌ی ایران، حقوق تطبیقی (ایالات متحده، انگلستان، کانادا و دادگاه اروپایی حقوق بشر) و اسناد بین‌المللی را بررسی می‌کند. یافته‌ها نشان می‌دهد که اولاً فریب و عملیات روانی به‌صورت یک طیف قابل تحلیل‌اند و همه‌ی آنها یک اثر حقوقی واحد ندارند. ثانیاً پژوهش‌های تجربی نشان داده‌اند که برخی روش‌ها، مانند ارائه‌ی دلیل جعلی، حداقل‌سازی جرم و وعده‌ی ضمنی تخفیف، احتمال اعتراف کاذب را به‌ویژه در افراد آسیب‌پذیر افزایش می‌دهند. ثالثاً اصل ۳۸ قانون اساسی و قواعد فقهی «اختیار» و «درء» مبنای نیرومندی برای نفی اعتبار اقرار اکراهی فراهم می‌کنند، اما قانون‌گذار ایران در باره‌ی فریب غیرشکنجه‌آمیز و عملیات روانی تکلیف روشنی تعیین نکرده است. در پایان، یک «مدل چندعاملی» برای ارزیابی اعتبار اقرار و مجموعه‌ای از پیشنهادهای قانونی، اجرایی و آموزشی ارائه می‌شود، از جمله ضبط تصویری کامل بازجویی، حضور وکیل، تفکیک روش‌های مجاز از ممنوع، لزوم تأیید مستقل اقرار و سازوکار رسیدگی به ادعای فریب.</w:t>
      </w:r>
    </w:p>
    <w:p>
      <w:pPr>
        <w:bidi/>
        <w:spacing w:after="120" w:line="360"/>
        <w:jc w:val="both"/>
      </w:pPr>
      <w:r>
        <w:rPr>
          <w:rFonts w:ascii="Times New Roman" w:cs="Times New Roman" w:eastAsia="Times New Roman" w:hAnsi="Times New Roman"/>
          <w:b/>
          <w:bCs/>
          <w:sz w:val="24"/>
          <w:szCs w:val="24"/>
          <w:rtl/>
        </w:rPr>
        <w:t xml:space="preserve">کلیدواژه‌ها: </w:t>
      </w:r>
      <w:r>
        <w:rPr>
          <w:rFonts w:ascii="Times New Roman" w:cs="Times New Roman" w:eastAsia="Times New Roman" w:hAnsi="Times New Roman"/>
          <w:sz w:val="24"/>
          <w:szCs w:val="24"/>
          <w:rtl/>
        </w:rPr>
        <w:t xml:space="preserve">اقرار، بازجویی، فریب، عملیات روانی، اعتراف کاذب، اکراه، قاعده‌ی استثنا، ادله‌ی کیفری</w:t>
      </w:r>
    </w:p>
    <w:p>
      <w:pPr>
        <w:pStyle w:val="Heading1"/>
        <w:bidi/>
        <w:spacing w:after="160" w:before="360"/>
      </w:pPr>
      <w:r>
        <w:rPr>
          <w:rFonts w:ascii="Times New Roman" w:cs="Times New Roman" w:eastAsia="Times New Roman" w:hAnsi="Times New Roman"/>
          <w:b/>
          <w:bCs/>
          <w:sz w:val="28"/>
          <w:szCs w:val="28"/>
          <w:rtl/>
        </w:rPr>
        <w:t xml:space="preserve">۱. مقدمه و بیان مسئله</w:t>
      </w:r>
    </w:p>
    <w:p>
      <w:pPr>
        <w:pStyle w:val="Heading2"/>
        <w:bidi/>
        <w:spacing w:after="120" w:before="240"/>
      </w:pPr>
      <w:r>
        <w:rPr>
          <w:rFonts w:ascii="Times New Roman" w:cs="Times New Roman" w:eastAsia="Times New Roman" w:hAnsi="Times New Roman"/>
          <w:b/>
          <w:bCs/>
          <w:sz w:val="25"/>
          <w:szCs w:val="25"/>
          <w:rtl/>
        </w:rPr>
        <w:t xml:space="preserve">۱.۱ طرح مسئله</w:t>
      </w:r>
    </w:p>
    <w:p>
      <w:pPr>
        <w:bidi/>
        <w:spacing w:after="120" w:line="360"/>
        <w:ind w:firstLine="360"/>
        <w:jc w:val="both"/>
      </w:pPr>
      <w:r>
        <w:rPr>
          <w:rFonts w:ascii="Times New Roman" w:cs="Times New Roman" w:eastAsia="Times New Roman" w:hAnsi="Times New Roman"/>
          <w:sz w:val="24"/>
          <w:szCs w:val="24"/>
          <w:rtl/>
        </w:rPr>
        <w:t xml:space="preserve">در فرایند کیفری، لحظه‌ای که متهم به جرم اعتراف می‌کند اغلب نقطه‌ی عطف پرونده است. اقرار، دادرس را از دشواری ارزیابی ادله‌ی متعارض می‌رهاند و مسیر صدور حکم را هموار می‌کند. همین جذابیت، آن را به هدف اصلی بسیاری از بازجویی‌ها تبدیل کرده است. در تاریخ آیین دادرسی، سرنوشت تلخ اعتراف‌های گرفته‌شده با شکنجه سبب شد که نظام‌های حقوقی در برابر اقرار اجباری موضع روشنی بگیرند. اما در دهه‌های اخیر، شیوه‌های بازجویی از اجبار بدنی به سوی روش‌های روانی تغییر یافته است: دروغ درباره‌ی وجود شاهد یا اثر انگشت، همدلی ظاهری برای کاستن از وخامت جرم، القای این باور که اعتراف «به نفع متهم» است، تنها‌گذاری، خستگی‌دادن و تحمیل فشار زمانی.</w:t>
      </w:r>
    </w:p>
    <w:p>
      <w:pPr>
        <w:bidi/>
        <w:spacing w:after="120" w:line="360"/>
        <w:ind w:firstLine="360"/>
        <w:jc w:val="both"/>
      </w:pPr>
      <w:r>
        <w:rPr>
          <w:rFonts w:ascii="Times New Roman" w:cs="Times New Roman" w:eastAsia="Times New Roman" w:hAnsi="Times New Roman"/>
          <w:sz w:val="24"/>
          <w:szCs w:val="24"/>
          <w:rtl/>
        </w:rPr>
        <w:t xml:space="preserve">پرسش اینجاست که آیا این روش‌ها که نشانی از خشونت بدنی ندارند، اقرار حاصل از آنها را معیوب می‌کنند یا باید آنها را «ترفندهای مشروع تحقیق» دانست. پاسخ ساده نیست. از یک سو، بازجو برای کشف حقیقت ناگزیر است با متهمی روبه‌رو شود که اغلب انگیزه‌ی پنهان‌کاری دارد و برخی درجه‌های تدبیر و حتی ایهام را باید پذیرفت. از سوی دیگر، شواهد روان‌شناختی روشن می‌کند که فشارهای روانی و فریب‌های هدفمند می‌توانند افراد بی‌گناه را هم به اعتراف وادارند و اقرار کاذب، برخلاف تصور رایج، پدیده‌ای نادر و غیرقابل‌باور نیست (کسین و گادجونسون، ۲۰۰۴؛ لئو، ۲۰۰۸). اگر قاضی نتواند میان اقرار آزادانه و اقرار برآمده از دستکاری روانی تمایز بگذارد، بی‌گناهان را مجازات و گناهکاران واقعی را آزاد گذاشته است.</w:t>
      </w:r>
    </w:p>
    <w:p>
      <w:pPr>
        <w:pStyle w:val="Heading2"/>
        <w:bidi/>
        <w:spacing w:after="120" w:before="240"/>
      </w:pPr>
      <w:r>
        <w:rPr>
          <w:rFonts w:ascii="Times New Roman" w:cs="Times New Roman" w:eastAsia="Times New Roman" w:hAnsi="Times New Roman"/>
          <w:b/>
          <w:bCs/>
          <w:sz w:val="25"/>
          <w:szCs w:val="25"/>
          <w:rtl/>
        </w:rPr>
        <w:t xml:space="preserve">۱.۲ اهمیت و ضرورت پژوهش</w:t>
      </w:r>
    </w:p>
    <w:p>
      <w:pPr>
        <w:bidi/>
        <w:spacing w:after="120" w:line="360"/>
        <w:ind w:firstLine="360"/>
        <w:jc w:val="both"/>
      </w:pPr>
      <w:r>
        <w:rPr>
          <w:rFonts w:ascii="Times New Roman" w:cs="Times New Roman" w:eastAsia="Times New Roman" w:hAnsi="Times New Roman"/>
          <w:sz w:val="24"/>
          <w:szCs w:val="24"/>
          <w:rtl/>
        </w:rPr>
        <w:t xml:space="preserve">اهمیت موضوع از چند جهت روشن است. نخست، جنبه‌ی عدالتی: محکومیت بی‌گناه خطایی جبران‌ناپذیر است، به‌ویژه در جرایم دارای مجازات سنگین. دوم، جنبه‌ی اثباتی: هرگاه اقرار کاذب مبنای حکم قرار گیرد، حقیقت کشف‌نشده می‌ماند و مجرم واقعی آزاد است. سوم، جنبه‌ی حقوق بشری: حق سکوت، منع خودمتهم‌سازی اجباری و حق بر دادرسی منصفانه در اسناد بین‌المللی تأکید شده‌اند (میثاق بین‌المللی حقوق مدنی و سیاسی، بند ۳ ماده ۱۴). چهارم، جنبه‌ی نهادی: اعتماد عمومی به دستگاه عدالت کیفری وابسته به این است که شهروندان باور کنند اقرار، حاصل اراده‌ی آزاد باشد. پنجم، کمبود پژوهش‌های فارسی که به‌طور خاص فریب و عملیات روانی را، فراتر از شکنجه و اکراه بدنی، بررسی کرده باشند.</w:t>
      </w:r>
    </w:p>
    <w:p>
      <w:pPr>
        <w:pStyle w:val="Heading2"/>
        <w:bidi/>
        <w:spacing w:after="120" w:before="240"/>
      </w:pPr>
      <w:r>
        <w:rPr>
          <w:rFonts w:ascii="Times New Roman" w:cs="Times New Roman" w:eastAsia="Times New Roman" w:hAnsi="Times New Roman"/>
          <w:b/>
          <w:bCs/>
          <w:sz w:val="25"/>
          <w:szCs w:val="25"/>
          <w:rtl/>
        </w:rPr>
        <w:t xml:space="preserve">۱.۳ پرسش‌های پژوهش</w:t>
      </w:r>
    </w:p>
    <w:p>
      <w:pPr>
        <w:bidi/>
        <w:spacing w:after="120" w:line="360"/>
        <w:jc w:val="both"/>
      </w:pPr>
      <w:r>
        <w:rPr>
          <w:rFonts w:ascii="Times New Roman" w:cs="Times New Roman" w:eastAsia="Times New Roman" w:hAnsi="Times New Roman"/>
          <w:sz w:val="24"/>
          <w:szCs w:val="24"/>
          <w:rtl/>
        </w:rPr>
        <w:t xml:space="preserve">پرسش اصلی: اقرار ناشی از فریب و عملیات روانی بازجویان در فرایند تحقیقات کیفری چه میزان از اعتبار اثباتی برخوردار است؟ پرسش‌های فرعی: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فریب و عملیات روانی در بازجویی چه صورت‌هایی دارد و چه تفاوتی با اکراه و تلقین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پژوهش‌های روان‌شناختی درباره‌ی اثر این روش‌ها بر اعتراف صادق و کاذب چه می‌گویند؟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حقوق موضوعه‌ی ایران و مبانی فقهی آن چه موضعی در برابر اقرار حاصل از فریب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نظام‌های حقوقی دیگر و اسناد بین‌المللی چگونه با این مسئله برخورد کرده‌اند؟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چه معیار و سازوکاری برای ارزیابی اعتبار چنین اقراری می‌توان پیشنهاد کرد؟</w:t>
      </w:r>
    </w:p>
    <w:p>
      <w:pPr>
        <w:pStyle w:val="Heading2"/>
        <w:bidi/>
        <w:spacing w:after="120" w:before="240"/>
      </w:pPr>
      <w:r>
        <w:rPr>
          <w:rFonts w:ascii="Times New Roman" w:cs="Times New Roman" w:eastAsia="Times New Roman" w:hAnsi="Times New Roman"/>
          <w:b/>
          <w:bCs/>
          <w:sz w:val="25"/>
          <w:szCs w:val="25"/>
          <w:rtl/>
        </w:rPr>
        <w:t xml:space="preserve">۱.۴ فرضیه‌ها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نخست: اقرار حاصل از اکراه و فریب‌های شدید، که اراده‌ی آزاد را از میان می‌برند، فاقد اعتبار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دوم: فریب‌های خفیف و تدابیر معمول تحقیق، فی‌نفسه موجب بطلان اقرار نمی‌شوند، اما از اعتبار اثباتی آن می‌کاهند و دادگاه باید تأیید مستقل اقرار را طلب 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فرضیه‌ی سوم: خلأ قانونی در تعریف و تفکیک روش‌های ممنوع و مجاز، مهم‌ترین مانع مقابله با اعتراف‌های ناشی از فریب در حقوق ایران است.</w:t>
      </w:r>
    </w:p>
    <w:p>
      <w:pPr>
        <w:pStyle w:val="Heading2"/>
        <w:bidi/>
        <w:spacing w:after="120" w:before="240"/>
      </w:pPr>
      <w:r>
        <w:rPr>
          <w:rFonts w:ascii="Times New Roman" w:cs="Times New Roman" w:eastAsia="Times New Roman" w:hAnsi="Times New Roman"/>
          <w:b/>
          <w:bCs/>
          <w:sz w:val="25"/>
          <w:szCs w:val="25"/>
          <w:rtl/>
        </w:rPr>
        <w:t xml:space="preserve">۱.۵ روش پژوهش و ساختار مقاله</w:t>
      </w:r>
    </w:p>
    <w:p>
      <w:pPr>
        <w:bidi/>
        <w:spacing w:after="120" w:line="360"/>
        <w:ind w:firstLine="360"/>
        <w:jc w:val="both"/>
      </w:pPr>
      <w:r>
        <w:rPr>
          <w:rFonts w:ascii="Times New Roman" w:cs="Times New Roman" w:eastAsia="Times New Roman" w:hAnsi="Times New Roman"/>
          <w:sz w:val="24"/>
          <w:szCs w:val="24"/>
          <w:rtl/>
        </w:rPr>
        <w:t xml:space="preserve">این پژوهش نظری و با روش توصیفی ـ تحلیلی است. داده‌ها از منابع کتابخانه‌ای در پنج دسته گردآوری شده است: منابع فقهی و اصولی، متون قانونی ایران، دکترین حقوقی فارسی، پژوهش‌های روان‌شناسی حقوقی و آرای قضایی و اسناد بین‌المللی. تحلیل داده‌ها به شیوه‌ی کیفی و تطبیقی انجام شده است. این مقاله داده‌ی میدانی ندارد و آنچه از آمار پژوهش‌های تجربی نقل می‌شود، همان‌گونه که در منابع آمده، با احتیاط و محدودیت‌های روش‌شناختی آن گزارش می‌شود. پس از این مقدمه، بخش دوم مفاهیم و پیشینه را بررسی می‌کند. بخش سوم مبانی نظری ارزش اثباتی اقرار را مرور می‌کند. بخش چهارم به روان‌شناسی اعتراف و فریب می‌پردازد. بخش پنجم حقوق ایران و بخش ششم حقوق تطبیقی و بین‌المللی را بررسی می‌کند. بخش هفتم مدل پیشنهادی ارزیابی اعتبار را ارائه می‌دهد. بخش‌های هشتم و نهم به چالش‌ها و پیشنهادها اختصاص یافته و بخش دهم نتیجه‌گیری است.</w:t>
      </w:r>
    </w:p>
    <w:p>
      <w:pPr>
        <w:pStyle w:val="Heading1"/>
        <w:bidi/>
        <w:spacing w:after="160" w:before="360"/>
      </w:pPr>
      <w:r>
        <w:rPr>
          <w:rFonts w:ascii="Times New Roman" w:cs="Times New Roman" w:eastAsia="Times New Roman" w:hAnsi="Times New Roman"/>
          <w:b/>
          <w:bCs/>
          <w:sz w:val="28"/>
          <w:szCs w:val="28"/>
          <w:rtl/>
        </w:rPr>
        <w:t xml:space="preserve">۲. تعریف مفاهیم و پیشینه‌ی پژوهش</w:t>
      </w:r>
    </w:p>
    <w:p>
      <w:pPr>
        <w:pStyle w:val="Heading2"/>
        <w:bidi/>
        <w:spacing w:after="120" w:before="240"/>
      </w:pPr>
      <w:r>
        <w:rPr>
          <w:rFonts w:ascii="Times New Roman" w:cs="Times New Roman" w:eastAsia="Times New Roman" w:hAnsi="Times New Roman"/>
          <w:b/>
          <w:bCs/>
          <w:sz w:val="25"/>
          <w:szCs w:val="25"/>
          <w:rtl/>
        </w:rPr>
        <w:t xml:space="preserve">۲.۱ اقرار</w:t>
      </w:r>
    </w:p>
    <w:p>
      <w:pPr>
        <w:bidi/>
        <w:spacing w:after="120" w:line="360"/>
        <w:ind w:firstLine="360"/>
        <w:jc w:val="both"/>
      </w:pPr>
      <w:r>
        <w:rPr>
          <w:rFonts w:ascii="Times New Roman" w:cs="Times New Roman" w:eastAsia="Times New Roman" w:hAnsi="Times New Roman"/>
          <w:sz w:val="24"/>
          <w:szCs w:val="24"/>
          <w:rtl/>
        </w:rPr>
        <w:t xml:space="preserve">اقرار در فقه و حقوق ایران، اخبار شخص به ثبوت حقی برای دیگری یا ثبوت جرمی بر ضرر خود است. در کتب فقهی بر قاعده‌ی «إقرار العقلاء علی أنفسهم جائز» تکیه شده و نفوذ اقرار بر پایه‌ی این فرض است که انسان عاقل به زیان خود دروغ نمی‌گوید (نجفی، جواهر الکلام، کتاب الاقرار). این فرض که فلسفه‌ی حجیت اقرار است، دقیقاً همان فرضی است که پژوهش‌های روان‌شناختی درباره‌ی اعتراف کاذب آن را به چالش کشیده‌اند. شرایط مقر در فقه و قانون مجازات اسلامی عبارت است از بلوغ، عقل، قصد و اختیار. در نبود هر یک، اقرار اعتبار ندارد.</w:t>
      </w:r>
    </w:p>
    <w:p>
      <w:pPr>
        <w:pStyle w:val="Heading2"/>
        <w:bidi/>
        <w:spacing w:after="120" w:before="240"/>
      </w:pPr>
      <w:r>
        <w:rPr>
          <w:rFonts w:ascii="Times New Roman" w:cs="Times New Roman" w:eastAsia="Times New Roman" w:hAnsi="Times New Roman"/>
          <w:b/>
          <w:bCs/>
          <w:sz w:val="25"/>
          <w:szCs w:val="25"/>
          <w:rtl/>
        </w:rPr>
        <w:t xml:space="preserve">۲.۲ بازجویی و تحقیقات مقدماتی</w:t>
      </w:r>
    </w:p>
    <w:p>
      <w:pPr>
        <w:bidi/>
        <w:spacing w:after="120" w:line="360"/>
        <w:ind w:firstLine="360"/>
        <w:jc w:val="both"/>
      </w:pPr>
      <w:r>
        <w:rPr>
          <w:rFonts w:ascii="Times New Roman" w:cs="Times New Roman" w:eastAsia="Times New Roman" w:hAnsi="Times New Roman"/>
          <w:sz w:val="24"/>
          <w:szCs w:val="24"/>
          <w:rtl/>
        </w:rPr>
        <w:t xml:space="preserve">در این مقاله «بازجویی» به مجموعه‌ی پرسش‌ها و تعاملاتی گفته می‌شود که مقام تحقیق یا ضابط دادگستری برای کشف جرم و شناسایی مرتکب با مظنون یا متهم انجام می‌دهد. در ادبیات انگلیسی میان دو الگو تمایز نهاده می‌شود: «مصاحبه‌ی اطلاع‌جویانه» (information-gathering interview) که هدف آن کشف اطلاعات است، و «بازجویی اتهام‌محور» (accusatorial interrogation) که غالباً با فرض گناه متهم آغاز می‌شود و هدف آن گرفتن اعتراف است (میسنر و همکاران، ۲۰۱۴). تفاوت این دو الگو، در بحث اعتبار اقرار بنیادی است.</w:t>
      </w:r>
    </w:p>
    <w:p>
      <w:pPr>
        <w:pStyle w:val="Heading2"/>
        <w:bidi/>
        <w:spacing w:after="120" w:before="240"/>
      </w:pPr>
      <w:r>
        <w:rPr>
          <w:rFonts w:ascii="Times New Roman" w:cs="Times New Roman" w:eastAsia="Times New Roman" w:hAnsi="Times New Roman"/>
          <w:b/>
          <w:bCs/>
          <w:sz w:val="25"/>
          <w:szCs w:val="25"/>
          <w:rtl/>
        </w:rPr>
        <w:t xml:space="preserve">۲.۳ فریب در بازجویی</w:t>
      </w:r>
    </w:p>
    <w:p>
      <w:pPr>
        <w:bidi/>
        <w:spacing w:after="120" w:line="360"/>
        <w:ind w:firstLine="360"/>
        <w:jc w:val="both"/>
      </w:pPr>
      <w:r>
        <w:rPr>
          <w:rFonts w:ascii="Times New Roman" w:cs="Times New Roman" w:eastAsia="Times New Roman" w:hAnsi="Times New Roman"/>
          <w:sz w:val="24"/>
          <w:szCs w:val="24"/>
          <w:rtl/>
        </w:rPr>
        <w:t xml:space="preserve">فریب در این مقاله به معنای ارائه‌ی عمدی اطلاعات نادرست یا گمراه‌کننده به متهم برای تأثیرگذاری بر تصمیم او به اعتراف است. فریب در بازجویی انواع گوناگون دارد: دروغ درباره‌ی ادله (مثلاً ادعای وجود اثر انگشت، فیلم یا شاهد)، دروغ درباره‌ی اظهارات همدست (ادعای اینکه شریک جرم اعتراف کرده است)، دروغ درباره‌ی پیامدهای حقوقی (مثلاً کم‌اهمیت‌نشان‌دادن مجازات یا وعده‌ی غیرقابل‌تحقق تخفیف)، نمایش‌های بازجویی (مانند «پلیس خوب و پلیس بد») و جعل مدارک یا ابزارهای ساختگی (مانند ادعای استفاده از دستگاه دروغ‌سنج بی‌خطا). اسکولنیک و لئو (۱۹۹۲) و اسلوبوگین (۱۹۹۷) این روش‌ها را به‌تفصیل از نظر اخلاقی و حقوقی بررسی کرده‌اند.</w:t>
      </w:r>
    </w:p>
    <w:p>
      <w:pPr>
        <w:pStyle w:val="Heading2"/>
        <w:bidi/>
        <w:spacing w:after="120" w:before="240"/>
      </w:pPr>
      <w:r>
        <w:rPr>
          <w:rFonts w:ascii="Times New Roman" w:cs="Times New Roman" w:eastAsia="Times New Roman" w:hAnsi="Times New Roman"/>
          <w:b/>
          <w:bCs/>
          <w:sz w:val="25"/>
          <w:szCs w:val="25"/>
          <w:rtl/>
        </w:rPr>
        <w:t xml:space="preserve">۲.۴ عملیات روانی</w:t>
      </w:r>
    </w:p>
    <w:p>
      <w:pPr>
        <w:bidi/>
        <w:spacing w:after="120" w:line="360"/>
        <w:ind w:firstLine="360"/>
        <w:jc w:val="both"/>
      </w:pPr>
      <w:r>
        <w:rPr>
          <w:rFonts w:ascii="Times New Roman" w:cs="Times New Roman" w:eastAsia="Times New Roman" w:hAnsi="Times New Roman"/>
          <w:sz w:val="24"/>
          <w:szCs w:val="24"/>
          <w:rtl/>
        </w:rPr>
        <w:t xml:space="preserve">منظور از «عملیات روانی» در این مقاله مجموعه‌ی تدابیر سازمان‌یافته‌ای است که برای تغییر نگرش، عواطف و تصمیم متهم از راه‌های غیرفیزیکی انجام می‌شود. نمونه‌ها عبارت‌اند از: تنهایی‌طولانی یا محرومیت از تماس با خانواده و وکیل، بی‌خوابی یا خستگی‌آوری، تغییر مکرر بازجو، ایجاد اضطراب و نامعلومی، تهدید به آسیب رساندن به بستگان، بهره‌برداری از بیماری یا نیازهای فوری، و القای نومیدی از رهایی. این تدابیر تنها در ترکیب با یکدیگر اثر مهم‌تری دارند و بررسی تک‌تک آنها تصویر ناقصی از واقعیت می‌دهد. هرچه فشار روانی افزون‌تر و طولانی‌تر باشد، مرز میان «تدبیر معمول» و «اکراه روانی» باریک‌تر می‌شود.</w:t>
      </w:r>
    </w:p>
    <w:p>
      <w:pPr>
        <w:pStyle w:val="Heading2"/>
        <w:bidi/>
        <w:spacing w:after="120" w:before="240"/>
      </w:pPr>
      <w:r>
        <w:rPr>
          <w:rFonts w:ascii="Times New Roman" w:cs="Times New Roman" w:eastAsia="Times New Roman" w:hAnsi="Times New Roman"/>
          <w:b/>
          <w:bCs/>
          <w:sz w:val="25"/>
          <w:szCs w:val="25"/>
          <w:rtl/>
        </w:rPr>
        <w:t xml:space="preserve">۲.۵ تمایز اکراه، اغفال، تلقین و ترغیب</w:t>
      </w:r>
    </w:p>
    <w:p>
      <w:pPr>
        <w:bidi/>
        <w:spacing w:after="120" w:line="360"/>
        <w:ind w:firstLine="360"/>
        <w:jc w:val="both"/>
      </w:pPr>
      <w:r>
        <w:rPr>
          <w:rFonts w:ascii="Times New Roman" w:cs="Times New Roman" w:eastAsia="Times New Roman" w:hAnsi="Times New Roman"/>
          <w:sz w:val="24"/>
          <w:szCs w:val="24"/>
          <w:rtl/>
        </w:rPr>
        <w:t xml:space="preserve">برای تحلیل حقوقی لازم است چهار مفهوم از هم تفکیک 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اکراه: وادارکردن به عمل از راه تهدید به ضرر جدی که اراده‌ی فرد را مختل می‌کند. اکراه رضا و اختیار را سلب یا معیوب می‌کند.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اغفال یا فریب: ایجاد باور نادرست در ذهن شخص به‌گونه‌ای که تصمیم او بر اساس واقعیتی خلاف شکل بگیرد. اراده در اینجا وجود دارد اما بر پایه‌ی اطلاع نادرست شکل گرفته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تلقین: القای پاسخ یا روایت خاص از راه سؤال‌های هدایت‌گرانه یا ارائه‌ی اطلاعات پرونده به متهم، به‌گونه‌ای که او همان را بازگو کند.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ترغیب مشروع: استدلال، تشویق به راستگویی، توضیح پیامدهای واقعی قانونی (مانند تأثیر همکاری در تخفیف مجازات در چارچوب قانون) و رویارویی با ادله‌ی واقعی.</w:t>
      </w:r>
    </w:p>
    <w:p>
      <w:pPr>
        <w:bidi/>
        <w:spacing w:after="120" w:line="360"/>
        <w:ind w:firstLine="360"/>
        <w:jc w:val="both"/>
      </w:pPr>
      <w:r>
        <w:rPr>
          <w:rFonts w:ascii="Times New Roman" w:cs="Times New Roman" w:eastAsia="Times New Roman" w:hAnsi="Times New Roman"/>
          <w:sz w:val="24"/>
          <w:szCs w:val="24"/>
          <w:rtl/>
        </w:rPr>
        <w:t xml:space="preserve">مرز میان این چهار مفهوم همواره روشن نیست. یک عمل واحد می‌تواند در ترکیب با شرایط دیگر از ترغیب به اغفال یا اکراه تبدیل شود. بنابراین ارزیابی باید بر «کل شرایط» استوار باشد و نه بر برچسب‌گذاری یک رفتار منفرد. جدول ۱ این تمایز را خلاصه می‌کند.</w:t>
      </w:r>
    </w:p>
    <w:p>
      <w:pPr>
        <w:keepNext/>
        <w:bidi/>
        <w:spacing w:after="80" w:before="160"/>
        <w:jc w:val="center"/>
      </w:pPr>
      <w:r>
        <w:rPr>
          <w:rFonts w:ascii="Times New Roman" w:cs="Times New Roman" w:eastAsia="Times New Roman" w:hAnsi="Times New Roman"/>
          <w:b/>
          <w:bCs/>
          <w:sz w:val="22"/>
          <w:szCs w:val="22"/>
          <w:rtl/>
        </w:rPr>
        <w:t xml:space="preserve">جدول ۱. تمایز مفاهیم مرتبط با فشار بر متهم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300"/>
        <w:gridCol w:w="25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مفهوم</w:t>
            </w:r>
          </w:p>
        </w:tc>
        <w:tc>
          <w:tcPr>
            <w:tcW w:type="dxa" w:w="2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ماهیت</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اثر بر اراده</w:t>
            </w:r>
          </w:p>
        </w:tc>
        <w:tc>
          <w:tcPr>
            <w:tcW w:type="dxa" w:w="25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نمونه</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اکراه</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تهدید به ضرر جدی</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سلب یا اختلال اختیار</w:t>
            </w:r>
          </w:p>
        </w:tc>
        <w:tc>
          <w:tcPr>
            <w:tcW w:type="dxa" w:w="2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تهدید به آسیب به خود یا بستگان</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اغفال (فریب)</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ارائه‌ی اطلاعات نادرست</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اراده‌ی معیوب از حیث آگاهی</w:t>
            </w:r>
          </w:p>
        </w:tc>
        <w:tc>
          <w:tcPr>
            <w:tcW w:type="dxa" w:w="2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ادعای دروغ درباره‌ی وجود شاهد</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تلقین</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القای روایت مطلوب</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تضعیف استقلال شهادت</w:t>
            </w:r>
          </w:p>
        </w:tc>
        <w:tc>
          <w:tcPr>
            <w:tcW w:type="dxa" w:w="2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سؤال هدایت‌گرانه با افشای جزئیات پرونده</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ترغیب مشروع</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استدلال و اطلاع‌رسانی صادقانه</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بدون خدشه</w:t>
            </w:r>
          </w:p>
        </w:tc>
        <w:tc>
          <w:tcPr>
            <w:tcW w:type="dxa" w:w="2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رویارویی با دلیل واقعی</w:t>
            </w:r>
          </w:p>
        </w:tc>
      </w:tr>
    </w:tbl>
    <w:p>
      <w:pPr>
        <w:bidi/>
        <w:spacing w:after="160"/>
      </w:pPr>
      <w:r>
        <w:rPr>
          <w:rFonts w:ascii="Times New Roman" w:cs="Times New Roman" w:eastAsia="Times New Roman" w:hAnsi="Times New Roman"/>
          <w:i/>
          <w:iCs/>
          <w:sz w:val="20"/>
          <w:szCs w:val="20"/>
          <w:rtl/>
        </w:rPr>
        <w:t xml:space="preserve">منبع: تحلیل نویسنده</w:t>
      </w:r>
    </w:p>
    <w:p>
      <w:pPr>
        <w:pStyle w:val="Heading2"/>
        <w:bidi/>
        <w:spacing w:after="120" w:before="240"/>
      </w:pPr>
      <w:r>
        <w:rPr>
          <w:rFonts w:ascii="Times New Roman" w:cs="Times New Roman" w:eastAsia="Times New Roman" w:hAnsi="Times New Roman"/>
          <w:b/>
          <w:bCs/>
          <w:sz w:val="25"/>
          <w:szCs w:val="25"/>
          <w:rtl/>
        </w:rPr>
        <w:t xml:space="preserve">۲.۶ پیشینه‌ی پژوهش</w:t>
      </w:r>
    </w:p>
    <w:p>
      <w:pPr>
        <w:bidi/>
        <w:spacing w:after="120" w:line="360"/>
        <w:ind w:firstLine="360"/>
        <w:jc w:val="both"/>
      </w:pPr>
      <w:r>
        <w:rPr>
          <w:rFonts w:ascii="Times New Roman" w:cs="Times New Roman" w:eastAsia="Times New Roman" w:hAnsi="Times New Roman"/>
          <w:sz w:val="24"/>
          <w:szCs w:val="24"/>
          <w:rtl/>
        </w:rPr>
        <w:t xml:space="preserve">پیشینه‌ی بحث را می‌توان در پنج حوزه مرور کرد. نخست، دکترین فارسی آیین دادرسی کیفری، مانند آثار آشوری، خالقی و آخوندی، که اصول کلی تحقیقات مقدماتی، حقوق متهم و ادله‌ی اثبات را بررسی می‌کنند اما معمولاً فریب و عملیات روانی را به‌صورت مستقل نمی‌پردازند. کاتوزیان (اثبات و دلیل اثبات) نیز مبانی اقرار را در حقوق مدنی و ارزش اثباتی آن تحلیل کرده است.</w:t>
      </w:r>
    </w:p>
    <w:p>
      <w:pPr>
        <w:bidi/>
        <w:spacing w:after="120" w:line="360"/>
        <w:ind w:firstLine="360"/>
        <w:jc w:val="both"/>
      </w:pPr>
      <w:r>
        <w:rPr>
          <w:rFonts w:ascii="Times New Roman" w:cs="Times New Roman" w:eastAsia="Times New Roman" w:hAnsi="Times New Roman"/>
          <w:sz w:val="24"/>
          <w:szCs w:val="24"/>
          <w:rtl/>
        </w:rPr>
        <w:t xml:space="preserve">دوم، روان‌شناسی حقوقی اعتراف. گادجونسون (۲۰۰۳) دانش‌نامه‌ای جامع از روان‌شناسی بازجویی و اعتراف فراهم کرده است. کسین و گادجونسون (۲۰۰۴) و کسین و همکاران (۲۰۱۰) مروری بر عوامل خطر اعتراف کاذب و توصیه‌های سیاستی ارائه می‌کنند. لئو (۲۰۰۸) تاریخ و واقعیت بازجویی در آمریکا را بررسی کرده و دریزین و لئو (۲۰۰۴) پرونده‌های ثابت‌شده‌ی اعتراف کاذب را تحلیل کرده‌اند. گرت (۲۰۱۱) نقش اعتراف کاذب را در محکومیت‌های اشتباه بررسی می‌کند.</w:t>
      </w:r>
    </w:p>
    <w:p>
      <w:pPr>
        <w:bidi/>
        <w:spacing w:after="120" w:line="360"/>
        <w:ind w:firstLine="360"/>
        <w:jc w:val="both"/>
      </w:pPr>
      <w:r>
        <w:rPr>
          <w:rFonts w:ascii="Times New Roman" w:cs="Times New Roman" w:eastAsia="Times New Roman" w:hAnsi="Times New Roman"/>
          <w:sz w:val="24"/>
          <w:szCs w:val="24"/>
          <w:rtl/>
        </w:rPr>
        <w:t xml:space="preserve">سوم، پژوهش‌های تجربی. کسین و کیچل (۱۹۹۶) در پژوهشی مشهور نشان دادند که ارائه‌ی دلیل جعلی می‌تواند افراد بی‌گناه را به پذیرفتن اتهام و حتی باورکردن آن وادارد. روسانو و همکاران (۲۰۰۵) نقش حداقل‌سازی و وعده‌ی تخفیف را بررسی کردند. میسنر و همکاران (۲۰۱۴) در فراتحلیلی، الگوهای اتهام‌محور و اطلاع‌جویانه را مقایسه کرده‌اند.</w:t>
      </w:r>
    </w:p>
    <w:p>
      <w:pPr>
        <w:bidi/>
        <w:spacing w:after="120" w:line="360"/>
        <w:ind w:firstLine="360"/>
        <w:jc w:val="both"/>
      </w:pPr>
      <w:r>
        <w:rPr>
          <w:rFonts w:ascii="Times New Roman" w:cs="Times New Roman" w:eastAsia="Times New Roman" w:hAnsi="Times New Roman"/>
          <w:sz w:val="24"/>
          <w:szCs w:val="24"/>
          <w:rtl/>
        </w:rPr>
        <w:t xml:space="preserve">چهارم، پژوهش‌های حقوق تطبیقی و حقوق بشری، که شامل تحلیل آرای دادگاه‌ها (برای نمونه Miranda v. Arizona، Frazier v. Cupp، Colorado v. Connelly، R v Oickle و آرای دادگاه اروپایی حقوق بشر مانند Gäfgen v. Germany) و اسناد سازمان ملل است.</w:t>
      </w:r>
    </w:p>
    <w:p>
      <w:pPr>
        <w:bidi/>
        <w:spacing w:after="120" w:line="360"/>
        <w:ind w:firstLine="360"/>
        <w:jc w:val="both"/>
      </w:pPr>
      <w:r>
        <w:rPr>
          <w:rFonts w:ascii="Times New Roman" w:cs="Times New Roman" w:eastAsia="Times New Roman" w:hAnsi="Times New Roman"/>
          <w:sz w:val="24"/>
          <w:szCs w:val="24"/>
          <w:rtl/>
        </w:rPr>
        <w:t xml:space="preserve">پنجم، منابع فقهی درباره‌ی اقرار و اکراه که شرایط مقر و قواعدی مانند «درء حدود به شبهه» را بیان می‌کنند. نقد پیشینه: آثار فارسی کمتر از نتایج روان‌شناسی تجربی بهره برده‌اند و آثار غربی، به‌دلیل تفاوت نظام حقوقی و ادله، به‌طور مستقیم برای ایران قابل‌اجرا نیستند. وجه تمایز این مقاله، پیوند میان این دو حوزه و ارائه‌ی مدل ارزیابی متناسب با ساختار حقوق ایران است.</w:t>
      </w:r>
    </w:p>
    <w:p>
      <w:pPr>
        <w:pStyle w:val="Heading1"/>
        <w:bidi/>
        <w:spacing w:after="160" w:before="360"/>
      </w:pPr>
      <w:r>
        <w:rPr>
          <w:rFonts w:ascii="Times New Roman" w:cs="Times New Roman" w:eastAsia="Times New Roman" w:hAnsi="Times New Roman"/>
          <w:b/>
          <w:bCs/>
          <w:sz w:val="28"/>
          <w:szCs w:val="28"/>
          <w:rtl/>
        </w:rPr>
        <w:t xml:space="preserve">۳. مبانی نظری ارزش اثباتی اقرار</w:t>
      </w:r>
    </w:p>
    <w:p>
      <w:pPr>
        <w:bidi/>
        <w:spacing w:after="120" w:line="360"/>
        <w:ind w:firstLine="360"/>
        <w:jc w:val="both"/>
      </w:pPr>
      <w:r>
        <w:rPr>
          <w:rFonts w:ascii="Times New Roman" w:cs="Times New Roman" w:eastAsia="Times New Roman" w:hAnsi="Times New Roman"/>
          <w:sz w:val="24"/>
          <w:szCs w:val="24"/>
          <w:rtl/>
        </w:rPr>
        <w:t xml:space="preserve">حقوق‌دانان برای توجیه نفی یا کاهش اعتبار اقرار نادرست، چهار مبنای نظری عرضه کرده‌اند که هر یک پاسخی متفاوت به پرسش «چرا اقرار فریب‌خورده نباید معتبر باشد؟» می‌دهد. هر مبنا پیامد خاصی دارد و ترکیب آنها چارچوب تحلیلی این مقاله را می‌سازد.</w:t>
      </w:r>
    </w:p>
    <w:p>
      <w:pPr>
        <w:pStyle w:val="Heading2"/>
        <w:bidi/>
        <w:spacing w:after="120" w:before="240"/>
      </w:pPr>
      <w:r>
        <w:rPr>
          <w:rFonts w:ascii="Times New Roman" w:cs="Times New Roman" w:eastAsia="Times New Roman" w:hAnsi="Times New Roman"/>
          <w:b/>
          <w:bCs/>
          <w:sz w:val="25"/>
          <w:szCs w:val="25"/>
          <w:rtl/>
        </w:rPr>
        <w:t xml:space="preserve">۳.۱ نظریه‌ی اختیار و اراده‌ی آزاد</w:t>
      </w:r>
    </w:p>
    <w:p>
      <w:pPr>
        <w:bidi/>
        <w:spacing w:after="120" w:line="360"/>
        <w:ind w:firstLine="360"/>
        <w:jc w:val="both"/>
      </w:pPr>
      <w:r>
        <w:rPr>
          <w:rFonts w:ascii="Times New Roman" w:cs="Times New Roman" w:eastAsia="Times New Roman" w:hAnsi="Times New Roman"/>
          <w:sz w:val="24"/>
          <w:szCs w:val="24"/>
          <w:rtl/>
        </w:rPr>
        <w:t xml:space="preserve">بر پایه‌ی این نظریه، اقرار عمل حقوقی ارادی است و شرط اعتبار آن، وجود قصد و اختیار است. فقها مقر را «مختار» می‌خواهند و اقرار مکره را باطل می‌دانند. حدیث مشهور «رفع» که در منابع شیعی (از جمله الخصال شیخ صدوق) نقل شده، «ما استکرهوا علیه» را از جمله اموری می‌شمارد که تکلیف و اثر آنها از امت برداشته شده است. اصل ۳۸ قانون اساسی جمهوری اسلامی ایران نیز این مبنا را تأیید می‌کند: «هرگونه شکنجه برای گرفتن اقرار و یا کسب اطلاع ممنوع است. اجبار شخص به شهادت، اقرار یا سوگند مجاز نیست و چنین شهادت و اقرار و سوگندی فاقد ارزش و اعتبار است. متخلف از این اصل طبق قانون مجازات می‌شود.»</w:t>
      </w:r>
    </w:p>
    <w:p>
      <w:pPr>
        <w:bidi/>
        <w:spacing w:after="120" w:line="360"/>
        <w:ind w:firstLine="360"/>
        <w:jc w:val="both"/>
      </w:pPr>
      <w:r>
        <w:rPr>
          <w:rFonts w:ascii="Times New Roman" w:cs="Times New Roman" w:eastAsia="Times New Roman" w:hAnsi="Times New Roman"/>
          <w:sz w:val="24"/>
          <w:szCs w:val="24"/>
          <w:rtl/>
        </w:rPr>
        <w:t xml:space="preserve">پرسش مهم این است که آیا فریب نیز اختیار را از میان می‌برد. پاسخ به تعریف «اختیار» بستگی دارد. اگر اختیار را صرفاً «فقدان تهدید» بدانیم، فریب اختیار را سلب نمی‌کند. اما اگر اختیار را «تصمیم آگاهانه» معنا کنیم، شخصی که بر اثر دروغ بازجو باور کرده است که دلیل علیه او قطعی است و مقاومت بی‌فایده است، تصمیمی بر پایه‌ی واقعیت ساختگی گرفته است. در قانون مدنی نیز، در کنار اکراه، فریب (تدلیس) علتی برای بی‌اعتباری یا قابلیت فسخ معامله شناخته شده است. این تشبیه، هرچند قیاس مع‌الفارق است، نشان می‌دهد که نظام حقوقی ایران فریب را از عوامل معیوب‌کننده‌ی رضا می‌شناسد. اقرار کیفری با توجه به اهمیت آثار آن (از دست دادن آزادی و جان)، به‌طریق اولی از رضای آگاهانه برخوردار باشد.</w:t>
      </w:r>
    </w:p>
    <w:p>
      <w:pPr>
        <w:pStyle w:val="Heading2"/>
        <w:bidi/>
        <w:spacing w:after="120" w:before="240"/>
      </w:pPr>
      <w:r>
        <w:rPr>
          <w:rFonts w:ascii="Times New Roman" w:cs="Times New Roman" w:eastAsia="Times New Roman" w:hAnsi="Times New Roman"/>
          <w:b/>
          <w:bCs/>
          <w:sz w:val="25"/>
          <w:szCs w:val="25"/>
          <w:rtl/>
        </w:rPr>
        <w:t xml:space="preserve">۳.۲ نظریه‌ی اعتمادپذیری</w:t>
      </w:r>
    </w:p>
    <w:p>
      <w:pPr>
        <w:bidi/>
        <w:spacing w:after="120" w:line="360"/>
        <w:ind w:firstLine="360"/>
        <w:jc w:val="both"/>
      </w:pPr>
      <w:r>
        <w:rPr>
          <w:rFonts w:ascii="Times New Roman" w:cs="Times New Roman" w:eastAsia="Times New Roman" w:hAnsi="Times New Roman"/>
          <w:sz w:val="24"/>
          <w:szCs w:val="24"/>
          <w:rtl/>
        </w:rPr>
        <w:t xml:space="preserve">نظریه‌ی دوم، توجه را از اراده به «صدق» اقرار منتقل می‌کند. آیا فشار یا فریب احتمال کاذب‌بودن اقرار را بالا می‌برد؟ اگر پاسخ مثبت باشد، دلیل باید کنار گذاشته شود نه به دلیل ناعادلانه‌بودن روش، بلکه به دلیل بی‌اعتباری معرفتی آن. مبنای فقهی «اقرار العقلاء» همین فرض صدق را دارد و پژوهش‌های روان‌شناسی نشان می‌دهند که این فرض در شرایط خاص نقض می‌شود (کسین، ۱۹۹۷). این نظریه در حقوق انگلستان در ماده ۷۶ قانون پلیس و ادله‌ی کیفری ۱۹۸۴ (PACE) تجسم یافته است: اقرار در صورتی که با ظلم یا در نتیجه‌ی گفتار یا کاری که احتمالاً آن را غیرقابل‌اعتماد می‌کند به دست آمده باشد، مردود است.</w:t>
      </w:r>
    </w:p>
    <w:p>
      <w:pPr>
        <w:pStyle w:val="Heading2"/>
        <w:bidi/>
        <w:spacing w:after="120" w:before="240"/>
      </w:pPr>
      <w:r>
        <w:rPr>
          <w:rFonts w:ascii="Times New Roman" w:cs="Times New Roman" w:eastAsia="Times New Roman" w:hAnsi="Times New Roman"/>
          <w:b/>
          <w:bCs/>
          <w:sz w:val="25"/>
          <w:szCs w:val="25"/>
          <w:rtl/>
        </w:rPr>
        <w:t xml:space="preserve">۳.۳ نظریه‌ی انصاف دادرسی و کرامت انسانی</w:t>
      </w:r>
    </w:p>
    <w:p>
      <w:pPr>
        <w:bidi/>
        <w:spacing w:after="120" w:line="360"/>
        <w:ind w:firstLine="360"/>
        <w:jc w:val="both"/>
      </w:pPr>
      <w:r>
        <w:rPr>
          <w:rFonts w:ascii="Times New Roman" w:cs="Times New Roman" w:eastAsia="Times New Roman" w:hAnsi="Times New Roman"/>
          <w:sz w:val="24"/>
          <w:szCs w:val="24"/>
          <w:rtl/>
        </w:rPr>
        <w:t xml:space="preserve">نظریه‌ی سوم، استدلال می‌کند که حتی اگر اقرار راست باشد، استفاده از آن در صورتی که با روش‌های ناقض کرامت انسانی به دست آمده باشد، ناعادلانه است. دولت نمی‌تواند از رفتار غیراخلاقی مأموران خود سود ببرد. این دیدگاه در حقوق اروپایی حقوق بشر پشتوانه‌ی نیرومندی دارد. دادگاه اروپایی حقوق بشر در پرونده‌ی Jalloh v. Germany (۲۰۰۶) و Gäfgen v. Germany (۲۰۱۰) تأکید کرد که اعتراف و ادله‌ی به‌دست‌آمده از رفتار ناقض ممنوعیت شکنجه و رفتار غیرانسانی، در دادرسی منصفانه نباید به کار رود. در متون فقهی نیز اصل حرمت نفس و منع تعدی بر مال و جان، بنیانی هم‌سو با این ایده است.</w:t>
      </w:r>
    </w:p>
    <w:p>
      <w:pPr>
        <w:pStyle w:val="Heading2"/>
        <w:bidi/>
        <w:spacing w:after="120" w:before="240"/>
      </w:pPr>
      <w:r>
        <w:rPr>
          <w:rFonts w:ascii="Times New Roman" w:cs="Times New Roman" w:eastAsia="Times New Roman" w:hAnsi="Times New Roman"/>
          <w:b/>
          <w:bCs/>
          <w:sz w:val="25"/>
          <w:szCs w:val="25"/>
          <w:rtl/>
        </w:rPr>
        <w:t xml:space="preserve">۳.۴ نظریه‌ی بازدارندگی و حاکمیت قانون</w:t>
      </w:r>
    </w:p>
    <w:p>
      <w:pPr>
        <w:bidi/>
        <w:spacing w:after="120" w:line="360"/>
        <w:ind w:firstLine="360"/>
        <w:jc w:val="both"/>
      </w:pPr>
      <w:r>
        <w:rPr>
          <w:rFonts w:ascii="Times New Roman" w:cs="Times New Roman" w:eastAsia="Times New Roman" w:hAnsi="Times New Roman"/>
          <w:sz w:val="24"/>
          <w:szCs w:val="24"/>
          <w:rtl/>
        </w:rPr>
        <w:t xml:space="preserve">نظریه‌ی چهارم، قاعده‌ی «استثنای دلیل» را ابزاری برای بازداشتن مأموران از رفتارهای نامشروع می‌داند. اگر دلیل ناشی از روش ناقانونی همچنان پذیرفته شود، انگیزه‌ی تکرار آن روش باقی می‌ماند. دادگاه عالی ایالات متحده در پرونده‌ی Miranda v. Arizona (۱۹۶۶) بخشی از استدلال خود را بر نمونه‌هایی از کتابچه‌های آموزش بازجویی بنا کرد که شیوه‌های روانی فشار را توصیه می‌کردند. به همین ترتیب، بقای ارزش دلیل در حقوق ایران نیز برای مأموران پیام دارد: اگر اقرار گرفته‌شده با فریب و فشار در دادگاه پذیرفته شود، نظام عدالت ضمناً چنین روشی را تشویق می‌کند.</w:t>
      </w:r>
    </w:p>
    <w:p>
      <w:pPr>
        <w:pStyle w:val="Heading2"/>
        <w:bidi/>
        <w:spacing w:after="120" w:before="240"/>
      </w:pPr>
      <w:r>
        <w:rPr>
          <w:rFonts w:ascii="Times New Roman" w:cs="Times New Roman" w:eastAsia="Times New Roman" w:hAnsi="Times New Roman"/>
          <w:b/>
          <w:bCs/>
          <w:sz w:val="25"/>
          <w:szCs w:val="25"/>
          <w:rtl/>
        </w:rPr>
        <w:t xml:space="preserve">۳.۵ جمع‌بندی مبانی</w:t>
      </w:r>
    </w:p>
    <w:p>
      <w:pPr>
        <w:bidi/>
        <w:spacing w:after="120" w:line="360"/>
        <w:ind w:firstLine="360"/>
        <w:jc w:val="both"/>
      </w:pPr>
      <w:r>
        <w:rPr>
          <w:rFonts w:ascii="Times New Roman" w:cs="Times New Roman" w:eastAsia="Times New Roman" w:hAnsi="Times New Roman"/>
          <w:sz w:val="24"/>
          <w:szCs w:val="24"/>
          <w:rtl/>
        </w:rPr>
        <w:t xml:space="preserve">این چهار مبنا ضمن آنکه مکمل یکدیگرند، در عمل نتایج متفاوت دارند. بر پایه‌ی نظریه‌ی اختیار، تنها اقرار حاصل از اکراه یا فریبی که اراده را معیوب کند باطل است. بر پایه‌ی نظریه‌ی اعتمادپذیری، هر روشی که احتمال کذب را به‌طور معنادار بالا ببرد، ارزش اثباتی را کاهش می‌دهد. بر پایه‌ی کرامت و بازدارندگی، حتی ممکن است اقرار صادقانه‌ی حاصل از روش ناروا کنار گذاشته شود. پیشنهاد این مقاله آن است که حقوق ایران، که پیش‌تر مبنای اختیار را پذیرفته است، مبنای اعتمادپذیری را نیز در ارزیابی ارزش اثباتی به کار گیرد و بدین ترتیب میان «بطلان» (در موارد اکراه و فریب شدید) و «کاهش اعتبار» (در موارد فریب خفیف) تفکیک قائل شود.</w:t>
      </w:r>
    </w:p>
    <w:p>
      <w:pPr>
        <w:pStyle w:val="Heading1"/>
        <w:bidi/>
        <w:spacing w:after="160" w:before="360"/>
      </w:pPr>
      <w:r>
        <w:rPr>
          <w:rFonts w:ascii="Times New Roman" w:cs="Times New Roman" w:eastAsia="Times New Roman" w:hAnsi="Times New Roman"/>
          <w:b/>
          <w:bCs/>
          <w:sz w:val="28"/>
          <w:szCs w:val="28"/>
          <w:rtl/>
        </w:rPr>
        <w:t xml:space="preserve">۴. روان‌شناسی اعتراف: فریب، فشار و اعتراف کاذب</w:t>
      </w:r>
    </w:p>
    <w:p>
      <w:pPr>
        <w:pStyle w:val="Heading2"/>
        <w:bidi/>
        <w:spacing w:after="120" w:before="240"/>
      </w:pPr>
      <w:r>
        <w:rPr>
          <w:rFonts w:ascii="Times New Roman" w:cs="Times New Roman" w:eastAsia="Times New Roman" w:hAnsi="Times New Roman"/>
          <w:b/>
          <w:bCs/>
          <w:sz w:val="25"/>
          <w:szCs w:val="25"/>
          <w:rtl/>
        </w:rPr>
        <w:t xml:space="preserve">۴.۱ انواع اعتراف کاذب</w:t>
      </w:r>
    </w:p>
    <w:p>
      <w:pPr>
        <w:bidi/>
        <w:spacing w:after="120" w:line="360"/>
        <w:ind w:firstLine="360"/>
        <w:jc w:val="both"/>
      </w:pPr>
      <w:r>
        <w:rPr>
          <w:rFonts w:ascii="Times New Roman" w:cs="Times New Roman" w:eastAsia="Times New Roman" w:hAnsi="Times New Roman"/>
          <w:sz w:val="24"/>
          <w:szCs w:val="24"/>
          <w:rtl/>
        </w:rPr>
        <w:t xml:space="preserve">کسین و رایتزمن (۱۹۸۵) سه نوع اعتراف کاذب را از هم تفکیک کردند که تا امروز در ادبیات پژوهش به کار می‌رود. «اعتراف کاذب داوطلبانه» اعترافی است که شخص بدون فشار بیرونی ارائه می‌کند (مثلاً برای شهرت یا حمایت از دیگری یا اختلال روانی). «اعتراف کاذب تسلیم‌شده» (compliant) هنگامی رخ می‌دهد که فرد می‌داند بی‌گناه است، اما برای رهایی از فشار بازجویی یا دستیابی به نتیجه‌ی کوتاه‌مدت مطلوب (مانند پایان بازجویی یا آزادی موقت) اعتراف می‌کند. «اعتراف کاذب درونی‌شده» (internalized) آن است که فرد، تحت تأثیر القای بازجو و به‌دلیل ضعف حافظه یا اعتماد به مقام بازجو، باور می‌کند شاید خودش جرم را مرتکب شده باشد. نوع دوم و سوم مستقیماً با فریب و عملیات روانی مرتبط‌اند.</w:t>
      </w:r>
    </w:p>
    <w:p>
      <w:pPr>
        <w:pStyle w:val="Heading2"/>
        <w:bidi/>
        <w:spacing w:after="120" w:before="240"/>
      </w:pPr>
      <w:r>
        <w:rPr>
          <w:rFonts w:ascii="Times New Roman" w:cs="Times New Roman" w:eastAsia="Times New Roman" w:hAnsi="Times New Roman"/>
          <w:b/>
          <w:bCs/>
          <w:sz w:val="25"/>
          <w:szCs w:val="25"/>
          <w:rtl/>
        </w:rPr>
        <w:t xml:space="preserve">۴.۲ الگوی اتهام‌محور و تکنیک‌های رایج</w:t>
      </w:r>
    </w:p>
    <w:p>
      <w:pPr>
        <w:bidi/>
        <w:spacing w:after="120" w:line="360"/>
        <w:ind w:firstLine="360"/>
        <w:jc w:val="both"/>
      </w:pPr>
      <w:r>
        <w:rPr>
          <w:rFonts w:ascii="Times New Roman" w:cs="Times New Roman" w:eastAsia="Times New Roman" w:hAnsi="Times New Roman"/>
          <w:sz w:val="24"/>
          <w:szCs w:val="24"/>
          <w:rtl/>
        </w:rPr>
        <w:t xml:space="preserve">رایج‌ترین الگوی آموزش بازجویی در آمریکای شمالی، مجموعه‌ی روش‌های ریدی است که در کتاب «بازجویی کیفری و اعتراف» (اینبو و همکاران، ۲۰۱۳) شرح داده شده است. این الگو متشکل از مرحله‌ی «مصاحبه‌ی رفتاری» برای تشخیص صداقت و مرحله‌ی «بازجویی اتهام‌محور» با گام‌های متوالی است. عناصر اصلی بازجویی در این الگو شامل رویارویی مثبت با اتهام، توسعه‌ی «تم» (روایتی که جرم را توجیه‌پذیر یا کم‌اهمیت نشان می‌دهد)، قطع انکارهای متهم، غلبه بر اعتراض‌ها، جلب توجه و همدلی، و ارائه‌ی گزینه‌ی دوگانه (مثلاً «آیا از روی نقشه این کار را کردی یا ناگهانی؟») است.</w:t>
      </w:r>
    </w:p>
    <w:p>
      <w:pPr>
        <w:bidi/>
        <w:spacing w:after="120" w:line="360"/>
        <w:ind w:firstLine="360"/>
        <w:jc w:val="both"/>
      </w:pPr>
      <w:r>
        <w:rPr>
          <w:rFonts w:ascii="Times New Roman" w:cs="Times New Roman" w:eastAsia="Times New Roman" w:hAnsi="Times New Roman"/>
          <w:sz w:val="24"/>
          <w:szCs w:val="24"/>
          <w:rtl/>
        </w:rPr>
        <w:t xml:space="preserve">کسین و همکاران (۲۰۱۰) روش‌های روانی مؤثر بر اعتراف را در دو گروه خلاصه می‌کنند. گروه نخست «بیشینه‌سازی» (maximization) است: القای اینکه مقاومت بی‌فایده است، تهدید ضمنی به پیامدهای شدید و ارائه‌ی دلیل جعلی. گروه دوم «حداقل‌سازی» (minimization) است: همدلی ظاهری، کاستن از وخامت جرم، توجیه اخلاقی عمل و القای وعده‌ی ضمنی تخفیف. در پژوهش‌ها نشان داده شده است که حداقل‌سازی با ایجاد این برداشت که اعتراف به نفع متهم خواهد بود، همچون وعده‌ی ضمنی عمل می‌کند. در پیمایش خودگزارشی از بازجویان (کسین و همکاران، ۲۰۰۷) شماری از آنان گفته‌اند که حداقل‌سازی و رویارویی با دلیل (از جمله گاه دلیل نادرست) را در بازجویی به کار می‌برند.</w:t>
      </w:r>
    </w:p>
    <w:p>
      <w:pPr>
        <w:pStyle w:val="Heading2"/>
        <w:bidi/>
        <w:spacing w:after="120" w:before="240"/>
      </w:pPr>
      <w:r>
        <w:rPr>
          <w:rFonts w:ascii="Times New Roman" w:cs="Times New Roman" w:eastAsia="Times New Roman" w:hAnsi="Times New Roman"/>
          <w:b/>
          <w:bCs/>
          <w:sz w:val="25"/>
          <w:szCs w:val="25"/>
          <w:rtl/>
        </w:rPr>
        <w:t xml:space="preserve">۴.۳ شواهد تجربی</w:t>
      </w:r>
    </w:p>
    <w:p>
      <w:pPr>
        <w:bidi/>
        <w:spacing w:after="120" w:line="360"/>
        <w:ind w:firstLine="360"/>
        <w:jc w:val="both"/>
      </w:pPr>
      <w:r>
        <w:rPr>
          <w:rFonts w:ascii="Times New Roman" w:cs="Times New Roman" w:eastAsia="Times New Roman" w:hAnsi="Times New Roman"/>
          <w:sz w:val="24"/>
          <w:szCs w:val="24"/>
          <w:rtl/>
        </w:rPr>
        <w:t xml:space="preserve">آزمایش کسین و کیچل (۱۹۹۶) شاید معروف‌ترین پژوهش در این زمینه باشد. شرکت‌کنندگان در یک آزمون رایانه‌ای کار می‌کردند و به آنان گفته شده بود که نباید یکی از کلیدها را فشار دهند. سپس رایانه از کار می‌افتاد و آزمایشگر آنان را متهم می‌کرد که کلید ممنوع را زده‌اند. با آنکه همه بی‌گناه بودند، با ترکیب سرعت بالای کار و شاهد جعلی (که ادعا می‌کرد دیده است فرد کلید را زده)، بخش بزرگی از افراد حاضر به امضای اعتراف‌نامه شدند. شمار قابل‌توجهی از آنان بعدها باور کردند که واقعاً مرتکب شده‌اند و حتی جزئیات ساختگی را برای توجیه آن «به یاد آوردند». این پژوهش نشان داد که ارائه‌ی دلیل جعلی، حتی بدون تهدید، می‌تواند هم رفتار و هم باور افراد را تغییر دهد.</w:t>
      </w:r>
    </w:p>
    <w:p>
      <w:pPr>
        <w:bidi/>
        <w:spacing w:after="120" w:line="360"/>
        <w:ind w:firstLine="360"/>
        <w:jc w:val="both"/>
      </w:pPr>
      <w:r>
        <w:rPr>
          <w:rFonts w:ascii="Times New Roman" w:cs="Times New Roman" w:eastAsia="Times New Roman" w:hAnsi="Times New Roman"/>
          <w:sz w:val="24"/>
          <w:szCs w:val="24"/>
          <w:rtl/>
        </w:rPr>
        <w:t xml:space="preserve">روسانو و همکاران (۲۰۰۵) با طراحی آزمایشی متفاوت (اتهام تقلب در حل مسئله‌ی گروهی به شرکت‌کنندگان بی‌گناه و گناهکار) اثر «حداقل‌سازی» و «ارائه‌ی معامله‌ی صریح» را سنجیدند. نتیجه این بود که هر دو روش نرخ اعتراف را افزایش می‌دهند، اما در گروه بی‌گناه افزایش نسبی اعتراف کاذب بسیار چشمگیر بود. این یافته به این معناست که روش‌های مؤثر بر اعتراف، تفاوت چندانی میان صادق و کاذب قائل نمی‌شوند. میسنر و همکاران (۲۰۱۴) در فراتحلیل خود دریافتند که الگوی اتهام‌محور در مقایسه با الگوی اطلاع‌جویانه، احتمال اعتراف کاذب را افزایش می‌دهد، در حالی که الگوی اطلاع‌جویانه اعتراف‌های صادقانه را افزایش و اعتراف‌های کاذب را کاهش می‌دهد. این یافته مهم است زیرا نشان می‌دهد برای دستیابی به اعتراف صادقانه لزوماً به روش‌های فریبنده نیازی نیست.</w:t>
      </w:r>
    </w:p>
    <w:p>
      <w:pPr>
        <w:bidi/>
        <w:spacing w:after="120" w:line="360"/>
        <w:ind w:firstLine="360"/>
        <w:jc w:val="both"/>
      </w:pPr>
      <w:r>
        <w:rPr>
          <w:rFonts w:ascii="Times New Roman" w:cs="Times New Roman" w:eastAsia="Times New Roman" w:hAnsi="Times New Roman"/>
          <w:sz w:val="24"/>
          <w:szCs w:val="24"/>
          <w:rtl/>
        </w:rPr>
        <w:t xml:space="preserve">دیگر پژوهش‌ها نیز نشان داده‌اند که باور پیشین بازجو به گناهکاری متهم، رفتار او را به‌گونه‌ای تغییر می‌دهد که فشار بیشتر و پرسش‌های اتهام‌آمیزتر اعمال می‌کند و این رفتار خود در متهم بی‌گناه واکنش‌هایی ایجاد می‌کند که گناه را تأیید می‌نماید (میسنر و کسین، ۲۰۰۲). همچنین، توانایی افراد (حتی بازجویان باتجربه) در تشخیص دروغ از راست بر اساس رفتار، در حد شانس یا اندکی بالاتر است و اعتماد آنان به این توانایی بیشتر از دقت واقعی آن است (کسین، مایسنر و نوروویک، ۲۰۰۵). از این رو، تکیه‌ی بازجو بر «حس» خود برای تشخیص گناه، توجیه قابل‌قبولی برای اعمال فشار شدید نیست.</w:t>
      </w:r>
    </w:p>
    <w:p>
      <w:pPr>
        <w:pStyle w:val="Heading2"/>
        <w:bidi/>
        <w:spacing w:after="120" w:before="240"/>
      </w:pPr>
      <w:r>
        <w:rPr>
          <w:rFonts w:ascii="Times New Roman" w:cs="Times New Roman" w:eastAsia="Times New Roman" w:hAnsi="Times New Roman"/>
          <w:b/>
          <w:bCs/>
          <w:sz w:val="25"/>
          <w:szCs w:val="25"/>
          <w:rtl/>
        </w:rPr>
        <w:t xml:space="preserve">۴.۴ عوامل آسیب‌پذیری</w:t>
      </w:r>
    </w:p>
    <w:p>
      <w:pPr>
        <w:bidi/>
        <w:spacing w:after="120" w:line="360"/>
        <w:ind w:firstLine="360"/>
        <w:jc w:val="both"/>
      </w:pPr>
      <w:r>
        <w:rPr>
          <w:rFonts w:ascii="Times New Roman" w:cs="Times New Roman" w:eastAsia="Times New Roman" w:hAnsi="Times New Roman"/>
          <w:sz w:val="24"/>
          <w:szCs w:val="24"/>
          <w:rtl/>
        </w:rPr>
        <w:t xml:space="preserve">اثر روش‌های فریبنده بر همه‌ی افراد یکسان نیست. پژوهش‌ها چند دسته عامل شخصی و موقعیتی را شناسایی کرده‌اند (گادجونسون، ۲۰۰۳؛ کسین و همکاران، ۲۰۱۰):</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عوامل شخصی: سن کم (نوجوانان و جوانان)، ناتوانی ذهنی یا اختلالات روانی، اضطراب، تلقین‌پذیری بالا، تمایل به رضایت‌جویی از مقام، فقدان سابقه‌ی کیفری و ناآگاهی از حقوق.</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عوامل موقعیتی: طول مدت بازجویی، بی‌خوابی و خستگی، محرومیت از تماس با خانواده و وکیل، انزوا، بازجویی در محیط ناآشنا و فشار شدید حاکی از اتهام.</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عوامل مربوط به نوع جرم: جرایم مهم و پرحساسیت عمومی، که فشار بر مأموران برای کشف سریع را افزایش می‌دهد و احتمال بازجویی اتهام‌محور شدیدتر را بالا می‌برد.</w:t>
      </w:r>
    </w:p>
    <w:p>
      <w:pPr>
        <w:bidi/>
        <w:spacing w:after="120" w:line="360"/>
        <w:ind w:firstLine="360"/>
        <w:jc w:val="both"/>
      </w:pPr>
      <w:r>
        <w:rPr>
          <w:rFonts w:ascii="Times New Roman" w:cs="Times New Roman" w:eastAsia="Times New Roman" w:hAnsi="Times New Roman"/>
          <w:sz w:val="24"/>
          <w:szCs w:val="24"/>
          <w:rtl/>
        </w:rPr>
        <w:t xml:space="preserve">نکته‌ی مهم این است که برخی عوامل، مانند بی‌گناهی، خود می‌توانند خطرآفرین باشند: کسین (۲۰۰۵) استدلال می‌کند که افراد بی‌گناه به دلیل باور به اینکه «حقیقت آزادشان می‌کند»، بیشتر حاضر به گذشت از حقوق خود، مانند حق سکوت و وکیل، می‌شوند و بدین ترتیب بیشتر در معرض فشار قرار می‌گیرند.</w:t>
      </w:r>
    </w:p>
    <w:p>
      <w:pPr>
        <w:pStyle w:val="Heading2"/>
        <w:bidi/>
        <w:spacing w:after="120" w:before="240"/>
      </w:pPr>
      <w:r>
        <w:rPr>
          <w:rFonts w:ascii="Times New Roman" w:cs="Times New Roman" w:eastAsia="Times New Roman" w:hAnsi="Times New Roman"/>
          <w:b/>
          <w:bCs/>
          <w:sz w:val="25"/>
          <w:szCs w:val="25"/>
          <w:rtl/>
        </w:rPr>
        <w:t xml:space="preserve">۴.۵ اعتراف کاذب در پرونده‌های اشتباه قضایی</w:t>
      </w:r>
    </w:p>
    <w:p>
      <w:pPr>
        <w:bidi/>
        <w:spacing w:after="120" w:line="360"/>
        <w:ind w:firstLine="360"/>
        <w:jc w:val="both"/>
      </w:pPr>
      <w:r>
        <w:rPr>
          <w:rFonts w:ascii="Times New Roman" w:cs="Times New Roman" w:eastAsia="Times New Roman" w:hAnsi="Times New Roman"/>
          <w:sz w:val="24"/>
          <w:szCs w:val="24"/>
          <w:rtl/>
        </w:rPr>
        <w:t xml:space="preserve">دریزین و لئو (۲۰۰۴) ۱۲۵ مورد اعتراف کاذبی را که بعدها اثبات شده بود تحلیل کردند و دریافتند که الگوهای مشترکی مانند بازجویی طولانی، استفاده از دلیل جعلی و بهره‌برداری از آسیب‌پذیری‌ها در آنها دیده می‌شود. گرت (۲۰۱۱) در بررسی نخستین ۲۵۰ مورد برائت با آزمایش دی‌ان‌ای در آمریکا نشان داد که در حدود ۴۰ مورد از آنها، متهم به‌دروغ اعتراف کرده بود. نکته‌ی جالب در بررسی گرت این است که در بسیاری از این پرونده‌ها، اعتراف‌ها شامل جزئیات دقیقی بودند که فقط مجرم واقعی می‌توانست بداند، اما بعدها مشخص شد این جزئیات در جریان بازجویی (به‌طور ناخواسته یا عمدی) به متهم منتقل شده بود. این پدیده‌ی «آلودگی روایت» (contamination) نشان می‌دهد که حتی وجود جزئیات دقیق در اقرار دلیل قطعی صحت آن نیست، مگر اینکه ثابت شود جزئیات از منبعی مستقل از بازجویی آمده است.</w:t>
      </w:r>
    </w:p>
    <w:p>
      <w:pPr>
        <w:bidi/>
        <w:spacing w:after="120" w:line="360"/>
        <w:ind w:firstLine="360"/>
        <w:jc w:val="both"/>
      </w:pPr>
      <w:r>
        <w:rPr>
          <w:rFonts w:ascii="Times New Roman" w:cs="Times New Roman" w:eastAsia="Times New Roman" w:hAnsi="Times New Roman"/>
          <w:sz w:val="24"/>
          <w:szCs w:val="24"/>
          <w:rtl/>
        </w:rPr>
        <w:t xml:space="preserve">محدودیت‌های مهم این داده‌ها باید یادآوری شود. این بررسی‌ها نرخ پایه‌ی اعتراف کاذب را در کل بازجویی‌ها نشان نمی‌دهند، چون تنها پرونده‌های شناسایی‌شده را بررسی می‌کنند. همچنین یافته‌های آزمایشگاهی از نظر شدت پیامدها با بازجویی واقعی تفاوت دارند. بااین‌حال، هم‌گرایی شواهد آزمایشی و میدانی بر وجود خطر واقعی دلالت دارد و برای سیاست‌گذاری حقوقی کافی است. حقوق کیفری مبتنی بر این اصل است که «شک به نفع متهم» تفسیر شود و اهمیت خطای محکومیت بی‌گناه بر خطای تبرئه‌ی گناهکار می‌چربد.</w:t>
      </w:r>
    </w:p>
    <w:p>
      <w:pPr>
        <w:pStyle w:val="Heading2"/>
        <w:bidi/>
        <w:spacing w:after="120" w:before="240"/>
      </w:pPr>
      <w:r>
        <w:rPr>
          <w:rFonts w:ascii="Times New Roman" w:cs="Times New Roman" w:eastAsia="Times New Roman" w:hAnsi="Times New Roman"/>
          <w:b/>
          <w:bCs/>
          <w:sz w:val="25"/>
          <w:szCs w:val="25"/>
          <w:rtl/>
        </w:rPr>
        <w:t xml:space="preserve">۴.۶ شاخص‌های ارزیابی صحت اقرار</w:t>
      </w:r>
    </w:p>
    <w:p>
      <w:pPr>
        <w:bidi/>
        <w:spacing w:after="120" w:line="360"/>
        <w:ind w:firstLine="360"/>
        <w:jc w:val="both"/>
      </w:pPr>
      <w:r>
        <w:rPr>
          <w:rFonts w:ascii="Times New Roman" w:cs="Times New Roman" w:eastAsia="Times New Roman" w:hAnsi="Times New Roman"/>
          <w:sz w:val="24"/>
          <w:szCs w:val="24"/>
          <w:rtl/>
        </w:rPr>
        <w:t xml:space="preserve">لئو و آفشی (۱۹۹۸) و لئو (۲۰۰۸) چند شاخص برای ارزیابی صحت اقرار پیشنهاد کرده‌اند که برای دادرسان مفید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تأیید مستقل: آیا اقرار اطلاعاتی دارد که فقط مجرم واقعی می‌داند و پیش از اقرار برای پلیس ناشناخته بود (مانند محل اشیای مفقود یا جزئیات غیرعمومی صحنه)؟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انطباق با ادله‌ی عینی: آیا روایت اقرار با شواهد فیزیکی و علمی هم‌خوان است یا با آنها تعارض دارد؟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سیر شکل‌گیری روایت: آیا متهم ابتدا انکار کرده و سپس روایتی نامشخص ارائه کرده و تدریجاً جزئیات به آن افزوده شده است؟ و آیا این جزئیات پس از طرح سؤال‌های هدایت‌گرانه ظاهر شده‌اند؟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انگیزه‌ی اعتراف: آیا فرد می‌توانست با اعتراف به منافع فوری (مانند رهایی از بازجویی) دست یابد؟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ثبت کامل بازجویی: آیا کل فرایند، نه فقط لحظه‌ی اعتراف، ضبط شده است؟</w:t>
      </w:r>
    </w:p>
    <w:p>
      <w:pPr>
        <w:bidi/>
        <w:spacing w:after="120" w:line="360"/>
        <w:ind w:firstLine="360"/>
        <w:jc w:val="both"/>
      </w:pPr>
      <w:r>
        <w:rPr>
          <w:rFonts w:ascii="Times New Roman" w:cs="Times New Roman" w:eastAsia="Times New Roman" w:hAnsi="Times New Roman"/>
          <w:sz w:val="24"/>
          <w:szCs w:val="24"/>
          <w:rtl/>
        </w:rPr>
        <w:t xml:space="preserve">اگر این شاخص‌ها به‌صورت نظام‌مند در رسیدگی قضایی به کار گیرند، قاضی می‌تواند بدون صرف‌نظر از اقرار، میان اقرار قابل‌اعتماد و اقرار مشکوک تمایز بگذارد.</w:t>
      </w:r>
    </w:p>
    <w:p>
      <w:pPr>
        <w:pStyle w:val="Heading2"/>
        <w:bidi/>
        <w:spacing w:after="120" w:before="240"/>
      </w:pPr>
      <w:r>
        <w:rPr>
          <w:rFonts w:ascii="Times New Roman" w:cs="Times New Roman" w:eastAsia="Times New Roman" w:hAnsi="Times New Roman"/>
          <w:b/>
          <w:bCs/>
          <w:sz w:val="25"/>
          <w:szCs w:val="25"/>
          <w:rtl/>
        </w:rPr>
        <w:t xml:space="preserve">۴.۷ نوجوانان و گروه‌های آسیب‌پذیر ویژه</w:t>
      </w:r>
    </w:p>
    <w:p>
      <w:pPr>
        <w:bidi/>
        <w:spacing w:after="120" w:line="360"/>
        <w:ind w:firstLine="360"/>
        <w:jc w:val="both"/>
      </w:pPr>
      <w:r>
        <w:rPr>
          <w:rFonts w:ascii="Times New Roman" w:cs="Times New Roman" w:eastAsia="Times New Roman" w:hAnsi="Times New Roman"/>
          <w:sz w:val="24"/>
          <w:szCs w:val="24"/>
          <w:rtl/>
        </w:rPr>
        <w:t xml:space="preserve">در میان عوامل آسیب‌پذیری، سن اهمیت ویژه دارد. نوجوانان از نظر رشد شناختی و هیجانی، توانایی کمتری در ارزیابی پیامدهای بلندمدت تصمیم‌های خود دارند، بیشتر به رضایت مقام بزرگ‌سال گرایش دارند و تحت فشار فوری، بیشتر به نتیجه‌ی کوتاه‌مدت (پایان بازجویی) فکر می‌کنند تا پیامد آینده. ردلیچ و گودمن (۲۰۰۳) در پژوهشی تجربی نشان دادند که کودکان و نوجوانان در مقایسه با بزرگ‌سالان، بیشتر حاضر به پذیرش مسئولیت عملی هستند که مرتکب نشده‌اند، به‌ویژه وقتی تلقین‌پذیری بالاتری دارند. کسین و همکاران (۲۰۱۰) نیز ضبط کامل و کاهش مدت بازجویی نوجوانان و افراد دارای ناتوانی ذهنی و بهره‌گیری از «بزرگ‌سال مناسب» را به‌عنوان تدابیر حفاظتی توصیه می‌کنند.</w:t>
      </w:r>
    </w:p>
    <w:p>
      <w:pPr>
        <w:bidi/>
        <w:spacing w:after="120" w:line="360"/>
        <w:ind w:firstLine="360"/>
        <w:jc w:val="both"/>
      </w:pPr>
      <w:r>
        <w:rPr>
          <w:rFonts w:ascii="Times New Roman" w:cs="Times New Roman" w:eastAsia="Times New Roman" w:hAnsi="Times New Roman"/>
          <w:sz w:val="24"/>
          <w:szCs w:val="24"/>
          <w:rtl/>
        </w:rPr>
        <w:t xml:space="preserve">افراد دارای ناتوانی ذهنی یا اختلالات روانی نیز در معرض خطر بیشترند: آنان ممکن است معنای حقوق خود را نفهمند، اطلاعات پیشنهادی بازجو را به‌آسانی بپذیرند و از اعتراف برای جلب رضایت مقام استفاده کنند. حقوق کیفری باید این گروه‌ها را «آسیب‌پذیر ویژه» بشناسد و برای بازجویی از آنان استانداردهای سخت‌گیرانه‌تری تعیین کند: حضور اجباری وکیل و یک حامی (والد، قیم یا کارشناس)، محدودیت مدت، ممنوعیت هرگونه فریب و ضبط کامل. در این گروه، «منطقه‌ی مشکوک» بازجویی باید عملاً به «منطقه‌ی ممنوع» نزدیک شود.</w:t>
      </w:r>
    </w:p>
    <w:p>
      <w:pPr>
        <w:pStyle w:val="Heading1"/>
        <w:bidi/>
        <w:spacing w:after="160" w:before="360"/>
      </w:pPr>
      <w:r>
        <w:rPr>
          <w:rFonts w:ascii="Times New Roman" w:cs="Times New Roman" w:eastAsia="Times New Roman" w:hAnsi="Times New Roman"/>
          <w:b/>
          <w:bCs/>
          <w:sz w:val="28"/>
          <w:szCs w:val="28"/>
          <w:rtl/>
        </w:rPr>
        <w:t xml:space="preserve">۵. اقرار ناشی از فریب در حقوق ایران</w:t>
      </w:r>
    </w:p>
    <w:p>
      <w:pPr>
        <w:pStyle w:val="Heading2"/>
        <w:bidi/>
        <w:spacing w:after="120" w:before="240"/>
      </w:pPr>
      <w:r>
        <w:rPr>
          <w:rFonts w:ascii="Times New Roman" w:cs="Times New Roman" w:eastAsia="Times New Roman" w:hAnsi="Times New Roman"/>
          <w:b/>
          <w:bCs/>
          <w:sz w:val="25"/>
          <w:szCs w:val="25"/>
          <w:rtl/>
        </w:rPr>
        <w:t xml:space="preserve">۵.۱ مبانی فقهی</w:t>
      </w:r>
    </w:p>
    <w:p>
      <w:pPr>
        <w:bidi/>
        <w:spacing w:after="120" w:line="360"/>
        <w:ind w:firstLine="360"/>
        <w:jc w:val="both"/>
      </w:pPr>
      <w:r>
        <w:rPr>
          <w:rFonts w:ascii="Times New Roman" w:cs="Times New Roman" w:eastAsia="Times New Roman" w:hAnsi="Times New Roman"/>
          <w:sz w:val="24"/>
          <w:szCs w:val="24"/>
          <w:rtl/>
        </w:rPr>
        <w:t xml:space="preserve">فقه امامیه در باب اقرار، شرایط مقر را بلوغ، عقل، قصد و اختیار می‌شمارد (نجفی، جواهر الکلام؛ محقق حلی، شرایع الاسلام). اقرار مکره نزد فقها باطل است و به آن ترتب اثر نمی‌دهند. دو قاعده‌ی فقهی دیگر نیز در بحث ما اهمیت دارند. نخست، قاعده‌ی «درء» که بر پایه‌ی روایت «ادرأوا الحدود بالشبهات» در جرایم دارای حد اقتضا می‌کند که با وجود شبهه، حد جاری نشود. دوم، لزوم تکرار اقرار در برخی جرایم (مانند چهار بار اقرار در زنا) که نشان می‌دهد شارع در اثبات جرایم سنگین، آگاهانه سخت‌گیر بوده و می‌خواسته است اقرار پس از مهلت تأمل و دور از هیجان صادر شود.</w:t>
      </w:r>
    </w:p>
    <w:p>
      <w:pPr>
        <w:bidi/>
        <w:spacing w:after="120" w:line="360"/>
        <w:ind w:firstLine="360"/>
        <w:jc w:val="both"/>
      </w:pPr>
      <w:r>
        <w:rPr>
          <w:rFonts w:ascii="Times New Roman" w:cs="Times New Roman" w:eastAsia="Times New Roman" w:hAnsi="Times New Roman"/>
          <w:sz w:val="24"/>
          <w:szCs w:val="24"/>
          <w:rtl/>
        </w:rPr>
        <w:t xml:space="preserve">فقها از «اغفال» به‌طور مستقل بحث نکرده‌اند. اما از قواعدی که درباره‌ی «قصد» و «اختیار» و درباره‌ی «تدلیس» در معاملات آمده است می‌توان استنباط کرد که اقراری که محصول فریب مؤثر و عمدی است، در حکم اقراری است که اراده‌ی حقیقی صاحب آن را بازتاب نمی‌دهد. در برابر، برخی فقها «وجود شبهه» در صحت اقرار را برای نفی اعتبار اقرار کافی می‌دانند: وقتی احتمال معقول می‌رود که اقرار به‌واسطه‌ی فریب یا فشار باشد، اقرار بر پایه‌ی یقین یا اطمینان بنا نشده و قاعده‌ی درء اقتضا می‌کند که از اجرای حد خودداری شود. این استدلال، به‌ویژه برای جرایم حدی و قصاص، مبنای فقهی قابل‌دفاعی برای رد اقرار مشکوک فراهم می‌کند.</w:t>
      </w:r>
    </w:p>
    <w:p>
      <w:pPr>
        <w:pStyle w:val="Heading2"/>
        <w:bidi/>
        <w:spacing w:after="120" w:before="240"/>
      </w:pPr>
      <w:r>
        <w:rPr>
          <w:rFonts w:ascii="Times New Roman" w:cs="Times New Roman" w:eastAsia="Times New Roman" w:hAnsi="Times New Roman"/>
          <w:b/>
          <w:bCs/>
          <w:sz w:val="25"/>
          <w:szCs w:val="25"/>
          <w:rtl/>
        </w:rPr>
        <w:t xml:space="preserve">۵.۲ قانون اساسی و اسناد بین‌المللی الزام‌آور</w:t>
      </w:r>
    </w:p>
    <w:p>
      <w:pPr>
        <w:bidi/>
        <w:spacing w:after="120" w:line="360"/>
        <w:ind w:firstLine="360"/>
        <w:jc w:val="both"/>
      </w:pPr>
      <w:r>
        <w:rPr>
          <w:rFonts w:ascii="Times New Roman" w:cs="Times New Roman" w:eastAsia="Times New Roman" w:hAnsi="Times New Roman"/>
          <w:sz w:val="24"/>
          <w:szCs w:val="24"/>
          <w:rtl/>
        </w:rPr>
        <w:t xml:space="preserve">اصل ۳۸ قانون اساسی، همان‌گونه که نقل شد، مهم‌ترین سند در این زمینه است. این اصل دو بخش دارد: منع شکنجه برای گرفتن اقرار و منع اجبار شخص به اقرار، همراه با تصریح به فقدان ارزش و اعتبار اقرار اجباری. تفسیر واژه‌ی «اجبار» در اینجا تعیین‌کننده است. اگر «اجبار» را به معنای گسترده‌ی فشار غیرمشروع بر اراده تعبیر کنیم، فریب‌های شدید و فشارهای روانی سنگین در دایره‌ی آن قرار می‌گیرند. اگر آن را صرفاً به معنای تهدید و ضرب‌وجرح بگیریم، فریب‌های روانی بی‌پاسخ می‌مانند. به نظر نگارنده، با توجه به غایت اصل (حفظ آزادی اراده و کرامت متهم) و اصل تفسیر به نفع متهم، تفسیر موسع منطقی‌تر است.</w:t>
      </w:r>
    </w:p>
    <w:p>
      <w:pPr>
        <w:bidi/>
        <w:spacing w:after="120" w:line="360"/>
        <w:ind w:firstLine="360"/>
        <w:jc w:val="both"/>
      </w:pPr>
      <w:r>
        <w:rPr>
          <w:rFonts w:ascii="Times New Roman" w:cs="Times New Roman" w:eastAsia="Times New Roman" w:hAnsi="Times New Roman"/>
          <w:sz w:val="24"/>
          <w:szCs w:val="24"/>
          <w:rtl/>
        </w:rPr>
        <w:t xml:space="preserve">ایران به میثاق بین‌المللی حقوق مدنی و سیاسی پیوسته است. بند ۳ ماده ۱۴ میثاق، حق عدم اجبار به شهادت علیه خود یا اعتراف به گناه را از حقوق حداقلی متهم می‌شمارد. نهاد ناظر بر میثاق (کمیته‌ی حقوق بشر) در تفسیر خود این حق را به‌گونه‌ای تعبیر کرده که علاوه بر اجبار مستقیم، هر نوع فشار روانی نامناسب را نیز شامل می‌شود. هرچند تفسیرهای کمیته الزام‌آور نیستند، در تفسیر تعهدات ایران راهگشا هستند.</w:t>
      </w:r>
    </w:p>
    <w:p>
      <w:pPr>
        <w:pStyle w:val="Heading2"/>
        <w:bidi/>
        <w:spacing w:after="120" w:before="240"/>
      </w:pPr>
      <w:r>
        <w:rPr>
          <w:rFonts w:ascii="Times New Roman" w:cs="Times New Roman" w:eastAsia="Times New Roman" w:hAnsi="Times New Roman"/>
          <w:b/>
          <w:bCs/>
          <w:sz w:val="25"/>
          <w:szCs w:val="25"/>
          <w:rtl/>
        </w:rPr>
        <w:t xml:space="preserve">۵.۳ قانون مجازات اسلامی</w:t>
      </w:r>
    </w:p>
    <w:p>
      <w:pPr>
        <w:bidi/>
        <w:spacing w:after="120" w:line="360"/>
        <w:ind w:firstLine="360"/>
        <w:jc w:val="both"/>
      </w:pPr>
      <w:r>
        <w:rPr>
          <w:rFonts w:ascii="Times New Roman" w:cs="Times New Roman" w:eastAsia="Times New Roman" w:hAnsi="Times New Roman"/>
          <w:sz w:val="24"/>
          <w:szCs w:val="24"/>
          <w:rtl/>
        </w:rPr>
        <w:t xml:space="preserve">قانون مجازات اسلامی مصوب ۱۳۹۲ در باب ادله‌ی اثبات دعوا، اقرار را در کنار شهادت، قسامه، سوگند و علم قاضی از ادله‌ی اثبات شمرده و شرایط مقر را بلوغ، عقل، اختیار و قصد دانسته است. بر این اساس، اقرار در حالت اکراه فاقد اعتبار است. با این حال، قانون درباره‌ی «اغفال» و «فریب» تصریح روشنی ندارد. ماده‌ی ۵۷۸ قانون مجازات اسلامی (تعزیرات ۱۳۷۵) مأموران قضایی یا غیرقضایی دولتی را که برای اجبار متهم به اقرار او را آزار بدنی دهند، مستوجب مجازات می‌داند. این ماده فقط آزار بدنی را در بر می‌گیرد و فریب و فشار روانی بدون آزار بدنی را شامل نمی‌شود.</w:t>
      </w:r>
    </w:p>
    <w:p>
      <w:pPr>
        <w:bidi/>
        <w:spacing w:after="120" w:line="360"/>
        <w:ind w:firstLine="360"/>
        <w:jc w:val="both"/>
      </w:pPr>
      <w:r>
        <w:rPr>
          <w:rFonts w:ascii="Times New Roman" w:cs="Times New Roman" w:eastAsia="Times New Roman" w:hAnsi="Times New Roman"/>
          <w:sz w:val="24"/>
          <w:szCs w:val="24"/>
          <w:rtl/>
        </w:rPr>
        <w:t xml:space="preserve">قانون احترام به آزادی‌های مشروع و حفظ حقوق شهروندی (۱۳۸۳) نیز بر منع هرگونه شکنجه و اجبار برای اقرار تأکید دارد و مأموران را موظف به رعایت حقوق افراد می‌داند. این قانون جنبه‌ی اعلامی دارد و ضمانت اجرای کیفری و شکلی تفصیلی ندارد. نتیجه‌ی این وضع آن است که حقوق ایران به تفاوت میان اکراه بدنی (که روشن ممنوع است) و فشارهای روانی و فریب (که مبهم است) حساس نیست.</w:t>
      </w:r>
    </w:p>
    <w:p>
      <w:pPr>
        <w:pStyle w:val="Heading2"/>
        <w:bidi/>
        <w:spacing w:after="120" w:before="240"/>
      </w:pPr>
      <w:r>
        <w:rPr>
          <w:rFonts w:ascii="Times New Roman" w:cs="Times New Roman" w:eastAsia="Times New Roman" w:hAnsi="Times New Roman"/>
          <w:b/>
          <w:bCs/>
          <w:sz w:val="25"/>
          <w:szCs w:val="25"/>
          <w:rtl/>
        </w:rPr>
        <w:t xml:space="preserve">۵.۴ قانون آیین دادرسی کیفری ۱۳۹۲</w:t>
      </w:r>
    </w:p>
    <w:p>
      <w:pPr>
        <w:bidi/>
        <w:spacing w:after="120" w:line="360"/>
        <w:ind w:firstLine="360"/>
        <w:jc w:val="both"/>
      </w:pPr>
      <w:r>
        <w:rPr>
          <w:rFonts w:ascii="Times New Roman" w:cs="Times New Roman" w:eastAsia="Times New Roman" w:hAnsi="Times New Roman"/>
          <w:sz w:val="24"/>
          <w:szCs w:val="24"/>
          <w:rtl/>
        </w:rPr>
        <w:t xml:space="preserve">قانون آیین دادرسی کیفری ۱۳۹۲ گام‌هایی برای حمایت از متهم در مرحله‌ی تحقیقات برداشته است: حق آگاهی از اتهام، حق دسترسی به وکیل در مرحله‌ی تحقیقات (ماده ۴۸) و رعایت موازین تحقیق. حق داشتن وکیل از مهم‌ترین ابزارهای پیشگیری از فشار و فریب است، زیرا حضور وکیل بازجو را در رفتار خود محتاط می‌کند و به متهم امکان مشورت می‌دهد. با این حال، تبصره‌ی این ماده برای برخی جرایم (از جمله جرایم علیه امنیت و جرایم سازمان‌یافته) دسترسی به وکیل را در مرحله‌ی تحقیقات محدود به وکلای مورد تأیید رئیس قوه‌ی قضاییه یا مشروط به شرایطی دیگر کرده است. این استثناها دقیقاً در جرایم بحث‌برانگیز و پرحساسیت، که فشار بر مأموران شدیدتر است، خطر فریب را بالا می‌برند.</w:t>
      </w:r>
    </w:p>
    <w:p>
      <w:pPr>
        <w:bidi/>
        <w:spacing w:after="120" w:line="360"/>
        <w:ind w:firstLine="360"/>
        <w:jc w:val="both"/>
      </w:pPr>
      <w:r>
        <w:rPr>
          <w:rFonts w:ascii="Times New Roman" w:cs="Times New Roman" w:eastAsia="Times New Roman" w:hAnsi="Times New Roman"/>
          <w:sz w:val="24"/>
          <w:szCs w:val="24"/>
          <w:rtl/>
        </w:rPr>
        <w:t xml:space="preserve">نکات مهم دیگر درباره‌ی آیین دادرسی ایران: نخست، به نظر می‌رسد الزام عمومی و کامل به ضبط صدا و تصویر همه‌ی بازجویی‌ها، به‌گونه‌ای که در همه‌ی پرونده‌ها قابل‌مطالبه باشد، به‌روشنی تضمین نشده و در عمل ضبط اغلب اختیاری یا استثنایی است (شماره‌ی دقیق مواد و رویه باید با آخرین متن قانون و دستورالعمل‌ها تطبیق داده شود). دوم، قانون در مورد ضمانت اجرای تحقیق ناقص یا اقرار ناشی از فشار، قاعده‌ی عمومی و روشنی برای «ابطال دلیل» و «ادله‌ی تبعی» پیش‌بینی نکرده است. سوم، رسیدگی به ادعای «اقرار تحت فشار» غالباً به دادگاه موکول می‌شود که باید در ماهیت پرونده درباره‌ی آن تصمیم بگیرد، بی‌آنکه سازوکار مشخصی برای تحقیق مستقل از این ادعا وجود داشته باشد. چهارم، اگر متهم در دادگاه از اقرار خود بازگردد و بگوید که تحت فشار یا فریب اعتراف کرده، بار اثبات این ادعا در عمل بر دوش متهم می‌افتد، در حالی که او به دلیل بازداشت از ابزار اثبات محروم است.</w:t>
      </w:r>
    </w:p>
    <w:p>
      <w:pPr>
        <w:pStyle w:val="Heading2"/>
        <w:bidi/>
        <w:spacing w:after="120" w:before="240"/>
      </w:pPr>
      <w:r>
        <w:rPr>
          <w:rFonts w:ascii="Times New Roman" w:cs="Times New Roman" w:eastAsia="Times New Roman" w:hAnsi="Times New Roman"/>
          <w:b/>
          <w:bCs/>
          <w:sz w:val="25"/>
          <w:szCs w:val="25"/>
          <w:rtl/>
        </w:rPr>
        <w:t xml:space="preserve">۵.۵ دکترین و رویه</w:t>
      </w:r>
    </w:p>
    <w:p>
      <w:pPr>
        <w:bidi/>
        <w:spacing w:after="120" w:line="360"/>
        <w:ind w:firstLine="360"/>
        <w:jc w:val="both"/>
      </w:pPr>
      <w:r>
        <w:rPr>
          <w:rFonts w:ascii="Times New Roman" w:cs="Times New Roman" w:eastAsia="Times New Roman" w:hAnsi="Times New Roman"/>
          <w:sz w:val="24"/>
          <w:szCs w:val="24"/>
          <w:rtl/>
        </w:rPr>
        <w:t xml:space="preserve">در دکترین حقوقی ایران، بحث درباره‌ی اعتبار اقرار اکراهی روشن است و نویسندگان آیین دادرسی کیفری (آشوری؛ خالقی) بر لزوم آزادی اراده‌ی متهم تأکید می‌کنند. بسیاری، از «اقرار صوری» و «اقرار ناشی از اغفال» به‌عنوان موارد کاهش اعتبار یاد می‌کنند و ارزیابی نهایی را بر عهده‌ی قاضی می‌گذارند که بر اساس «علم» و «اطمینان» حکم دهد. این رویکرد انعطاف دارد اما معیار مشخصی ارائه نمی‌کند. به‌علاوه، چون اقرار در ایران از ادله‌ی قانونی (و نه صرفاً ادله‌ی اقناعی) است و در برخی جرایم تأثیر قاطع دارد، ابهام معیار می‌تواند نتایج ناهمگون بیافریند. باید یادآور شد که ارزیابی رویه‌ی قضایی بر اساس آرای منتشرنشده‌ی دادگاه‌ها، که دسترسی به آنها برای پژوهشگران محدود است، دشوار است و این مقاله مدعی بررسی تفصیلی رویه نیست.</w:t>
      </w:r>
    </w:p>
    <w:p>
      <w:pPr>
        <w:pStyle w:val="Heading2"/>
        <w:bidi/>
        <w:spacing w:after="120" w:before="240"/>
      </w:pPr>
      <w:r>
        <w:rPr>
          <w:rFonts w:ascii="Times New Roman" w:cs="Times New Roman" w:eastAsia="Times New Roman" w:hAnsi="Times New Roman"/>
          <w:b/>
          <w:bCs/>
          <w:sz w:val="25"/>
          <w:szCs w:val="25"/>
          <w:rtl/>
        </w:rPr>
        <w:t xml:space="preserve">۵.۶ تحلیل خلأها</w:t>
      </w:r>
    </w:p>
    <w:p>
      <w:pPr>
        <w:bidi/>
        <w:spacing w:after="120" w:line="360"/>
        <w:ind w:firstLine="360"/>
        <w:jc w:val="both"/>
      </w:pPr>
      <w:r>
        <w:rPr>
          <w:rFonts w:ascii="Times New Roman" w:cs="Times New Roman" w:eastAsia="Times New Roman" w:hAnsi="Times New Roman"/>
          <w:sz w:val="24"/>
          <w:szCs w:val="24"/>
          <w:rtl/>
        </w:rPr>
        <w:t xml:space="preserve">از آنچه گذشت می‌توان پنج خلأ عمده در نظام حقوقی ایران شناسایی کرد: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خلأ مفهومی: نبود تعریف قانونی از فریب، اغفال و عملیات روانی در بازجویی و تفکیک آنها از ترغیب مشروع؛</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خلأ ضمانت اجرا: نبود قاعده‌ی صریح درباره‌ی بطلان اقرار ناشی از فریب و آثار تبعی آن (ادله‌ی ثانویه)؛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خلأ ثبت و نظارت: نبود الزام به ضبط کامل و نظارت مستقل بر بازجویی؛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خلأ در حق دفاع: محدودیت دسترسی به وکیل در برخی جرایم و مراحل؛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خلأ ارزیابی علمی: نبود سازوکار استفاده از کارشناس روان‌شناسی برای ارزیابی صحت اقرار و آسیب‌پذیری متهم.</w:t>
      </w:r>
    </w:p>
    <w:p>
      <w:pPr>
        <w:pStyle w:val="Heading1"/>
        <w:bidi/>
        <w:spacing w:after="160" w:before="360"/>
      </w:pPr>
      <w:r>
        <w:rPr>
          <w:rFonts w:ascii="Times New Roman" w:cs="Times New Roman" w:eastAsia="Times New Roman" w:hAnsi="Times New Roman"/>
          <w:b/>
          <w:bCs/>
          <w:sz w:val="28"/>
          <w:szCs w:val="28"/>
          <w:rtl/>
        </w:rPr>
        <w:t xml:space="preserve">۶. حقوق تطبیقی و اسناد بین‌المللی</w:t>
      </w:r>
    </w:p>
    <w:p>
      <w:pPr>
        <w:pStyle w:val="Heading2"/>
        <w:bidi/>
        <w:spacing w:after="120" w:before="240"/>
      </w:pPr>
      <w:r>
        <w:rPr>
          <w:rFonts w:ascii="Times New Roman" w:cs="Times New Roman" w:eastAsia="Times New Roman" w:hAnsi="Times New Roman"/>
          <w:b/>
          <w:bCs/>
          <w:sz w:val="25"/>
          <w:szCs w:val="25"/>
          <w:rtl/>
        </w:rPr>
        <w:t xml:space="preserve">۶.۱ ایالات متحده</w:t>
      </w:r>
    </w:p>
    <w:p>
      <w:pPr>
        <w:bidi/>
        <w:spacing w:after="120" w:line="360"/>
        <w:ind w:firstLine="360"/>
        <w:jc w:val="both"/>
      </w:pPr>
      <w:r>
        <w:rPr>
          <w:rFonts w:ascii="Times New Roman" w:cs="Times New Roman" w:eastAsia="Times New Roman" w:hAnsi="Times New Roman"/>
          <w:sz w:val="24"/>
          <w:szCs w:val="24"/>
          <w:rtl/>
        </w:rPr>
        <w:t xml:space="preserve">در حقوق آمریکا، استفاده از اعتراف غیرارادی در دادرسی بر پایه‌ی اصل «دادرسی عادلانه» (due process) ممنوع است. دادگاه عالی از پرونده‌ی Brown v. Mississippi (۱۹۳۶)، که در آن اعتراف‌ها با شکنجه گرفته شده بود، آغاز کرد و سپس معیار «ارادی‌بودن» اقرار را بر اساس «مجموع اوضاع و احوال» (totality of the circumstances) ارزیابی کرد. در پرونده‌ی Miranda v. Arizona (۱۹۶۶)، دادگاه به‌دلیل «فشار ذاتی» بازداشت و بازجویی، تذکرهایی (حق سکوت و وکیل) را برای حفظ حق عدم خودمتهم‌سازی الزامی کرد و بخشی از رویه‌های روانی بازجویی را در کتابچه‌های آموزشی نقد نمود.</w:t>
      </w:r>
    </w:p>
    <w:p>
      <w:pPr>
        <w:bidi/>
        <w:spacing w:after="120" w:line="360"/>
        <w:ind w:firstLine="360"/>
        <w:jc w:val="both"/>
      </w:pPr>
      <w:r>
        <w:rPr>
          <w:rFonts w:ascii="Times New Roman" w:cs="Times New Roman" w:eastAsia="Times New Roman" w:hAnsi="Times New Roman"/>
          <w:sz w:val="24"/>
          <w:szCs w:val="24"/>
          <w:rtl/>
        </w:rPr>
        <w:t xml:space="preserve">اما درباره‌ی فریب، دادگاه عالی رویکرد نسبتاً سهل‌گیرانه‌ای دارد. در Frazier v. Cupp (۱۹۶۹)، بازجو به‌دروغ به متهم گفته بود که همدستش اعتراف کرده است؛ دادگاه با توجه به مجموع اوضاع، اعتراف را ارادی دانست و دروغ بازجو را به‌تنهایی دلیل بطلان ندانست. در Colorado v. Connelly (۱۹۸۶) دادگاه تصریح کرد که برای احراز غیرارادی‌بودن اعتراف از منظر دادرسی عادلانه، «رفتار اجباری مأموران دولت» لازم است و صرف اختلال روانی متهم کافی نیست. در Arizona v. Fulminante (۱۹۹۱) نیز دادگاه ضمن پذیرش اینکه اعتراف اجباری مغایر دادرسی عادلانه است، آن را مشمول قاعده‌ی «خطای بی‌اثر» (harmless error) دانست. نتیجه آن است که حقوق آمریکا فریب را ممنوع نمی‌کند، بلکه آن را یکی از عوامل ارزیابی می‌داند، و بسیاری از پژوهشگران این رویه را به‌دلیل یافته‌های روان‌شناختی نقد می‌کنند (اسلوبوگین، ۱۹۹۷؛ لئو، ۲۰۰۸).</w:t>
      </w:r>
    </w:p>
    <w:p>
      <w:pPr>
        <w:pStyle w:val="Heading2"/>
        <w:bidi/>
        <w:spacing w:after="120" w:before="240"/>
      </w:pPr>
      <w:r>
        <w:rPr>
          <w:rFonts w:ascii="Times New Roman" w:cs="Times New Roman" w:eastAsia="Times New Roman" w:hAnsi="Times New Roman"/>
          <w:b/>
          <w:bCs/>
          <w:sz w:val="25"/>
          <w:szCs w:val="25"/>
          <w:rtl/>
        </w:rPr>
        <w:t xml:space="preserve">۶.۲ انگلستان و ولز</w:t>
      </w:r>
    </w:p>
    <w:p>
      <w:pPr>
        <w:bidi/>
        <w:spacing w:after="120" w:line="360"/>
        <w:ind w:firstLine="360"/>
        <w:jc w:val="both"/>
      </w:pPr>
      <w:r>
        <w:rPr>
          <w:rFonts w:ascii="Times New Roman" w:cs="Times New Roman" w:eastAsia="Times New Roman" w:hAnsi="Times New Roman"/>
          <w:sz w:val="24"/>
          <w:szCs w:val="24"/>
          <w:rtl/>
        </w:rPr>
        <w:t xml:space="preserve">قانون پلیس و ادله‌ی کیفری ۱۹۸۴ (PACE) رویکرد متفاوتی دارد. بند ۲ ماده ۷۶ به‌طور صریح می‌گوید که اگر ادعا شود اقرار با «ظلم» (oppression) یا در نتیجه‌ی «گفتار یا کاری که در شرایط موجود احتمالاً اقرار را غیرقابل‌اعتماد کند» به دست آمده، دادگاه باید آن را رد کند مگر آنکه دادستان خلاف آن را به‌طور بدون‌تردید (beyond reasonable doubt) ثابت کند. بنابراین بار اثبات بر دادستان است و معیار، اعتمادپذیری است نه صرفاً فقدان اجبار. ماده ۷۸ نیز اختیار کلی دادگاه برای رد ادله‌ی منجر به بی‌انصافی در دادرسی را مقرر می‌کند. مجلس اعیان در پرونده‌ی R v Mushtaq (۲۰۰۵) تأیید کرد که هرگاه احتمال برود اقرار ناشی از ظلم یا اجبار بوده باشد، هیئت منصفه نباید آن را مبنای محکومیت قرار دهد، حتی اگر آن را صادق بداند. افزون بر آن، انگلستان پس از بحران اعتراف‌های کاذب در دهه‌های ۱۹۷۰ و ۱۹۸۰ الگوی «پیس» (PEACE) را برای مصاحبه‌ی اطلاع‌جویانه توسعه داد (میلن و بول، ۱۹۹۹) که فریب و فشار را کنار می‌گذارد و بر اطلاع‌جویی و پرهیز از اتهام‌محوری تأکید می‌کند.</w:t>
      </w:r>
    </w:p>
    <w:p>
      <w:pPr>
        <w:pStyle w:val="Heading2"/>
        <w:bidi/>
        <w:spacing w:after="120" w:before="240"/>
      </w:pPr>
      <w:r>
        <w:rPr>
          <w:rFonts w:ascii="Times New Roman" w:cs="Times New Roman" w:eastAsia="Times New Roman" w:hAnsi="Times New Roman"/>
          <w:b/>
          <w:bCs/>
          <w:sz w:val="25"/>
          <w:szCs w:val="25"/>
          <w:rtl/>
        </w:rPr>
        <w:t xml:space="preserve">۶.۳ کانادا</w:t>
      </w:r>
    </w:p>
    <w:p>
      <w:pPr>
        <w:bidi/>
        <w:spacing w:after="120" w:line="360"/>
        <w:ind w:firstLine="360"/>
        <w:jc w:val="both"/>
      </w:pPr>
      <w:r>
        <w:rPr>
          <w:rFonts w:ascii="Times New Roman" w:cs="Times New Roman" w:eastAsia="Times New Roman" w:hAnsi="Times New Roman"/>
          <w:sz w:val="24"/>
          <w:szCs w:val="24"/>
          <w:rtl/>
        </w:rPr>
        <w:t xml:space="preserve">دادگاه عالی کانادا در پرونده‌ی R v Oickle (۲۰۰۰) قاعده‌ی «ارادی‌بودن» اعتراف را شرح داد و چهار دسته‌ی عوامل را برای ارزیابی برشمرد: تهدیدها و وعده‌ها، ظلم و فشار، فقدان «ذهن فعال» (operating mind) و ترفندهای پلیس. دادگاه تصریح کرد که ترفند پلیس تنها در صورتی اعتراف را بی‌اعتبار می‌کند که «وجدان عمومی جامعه را تکان دهد». دادگاه همچنین به‌طور مشخص از خطر اعتراف کاذب و تأثیر برخی روش‌های بازجویی (از جمله روش ریدی) سخن گفت و به دادگاه‌های پایین‌تر هشدار داد که در ارزیابی اعتراف‌های ناشی از حداقل‌سازی و وعده‌ی ضمنی محتاط باشند. بدین ترتیب، رویکرد کانادا به بار اثبات بر دادستان تکیه دارد و فریب شدید را مردود می‌داند.</w:t>
      </w:r>
    </w:p>
    <w:p>
      <w:pPr>
        <w:pStyle w:val="Heading2"/>
        <w:bidi/>
        <w:spacing w:after="120" w:before="240"/>
      </w:pPr>
      <w:r>
        <w:rPr>
          <w:rFonts w:ascii="Times New Roman" w:cs="Times New Roman" w:eastAsia="Times New Roman" w:hAnsi="Times New Roman"/>
          <w:b/>
          <w:bCs/>
          <w:sz w:val="25"/>
          <w:szCs w:val="25"/>
          <w:rtl/>
        </w:rPr>
        <w:t xml:space="preserve">۶.۴ دادگاه اروپایی حقوق بشر</w:t>
      </w:r>
    </w:p>
    <w:p>
      <w:pPr>
        <w:bidi/>
        <w:spacing w:after="120" w:line="360"/>
        <w:ind w:firstLine="360"/>
        <w:jc w:val="both"/>
      </w:pPr>
      <w:r>
        <w:rPr>
          <w:rFonts w:ascii="Times New Roman" w:cs="Times New Roman" w:eastAsia="Times New Roman" w:hAnsi="Times New Roman"/>
          <w:sz w:val="24"/>
          <w:szCs w:val="24"/>
          <w:rtl/>
        </w:rPr>
        <w:t xml:space="preserve">دادگاه اروپایی حقوق بشر چند اصل مهم را ترسیم کرده است. در Saunders v. United Kingdom (۱۹۹۶)، دادگاه حق سکوت و حق عدم خودمتهم‌سازی را از اصول بنیادین دادرسی عادلانه خواند. در Jalloh v. Germany (۲۰۰۶)، دادگاه استفاده از ادله‌ی حاصل از رفتار غیرانسانی را ناقض ماده ۶ دانست. در Gäfgen v. Germany (۲۰۱۰)، پلیس برای یافتن کودک ربوده‌شده متهم را تهدید به شکنجه کرده بود؛ دادگاه تهدید را ناقض ماده ۳ دانست، و درباره‌ی استفاده از اعتراف اولیه و ادله‌ی تبعی، با توجه به اینکه متهم بعدها در دادگاه به‌طور آزادانه اعتراف کرده بود، دادرسی را منصفانه ارزیابی کرد. در Allan v. United Kingdom (۲۰۰۲)، دادگاه نتیجه گرفت که استفاده از یک خبرچین پلیس که با هدایت مأموران، اظهارات متهم را در سلول جمع‌آوری کرده بود، حق سکوت او را نقض کرده است، زیرا بازجویی غیررسمی در واقع بازجویی بدون حفاظت‌های لازم بود. در Salduz v. Turkey (۲۰۰۸) و Ibrahim and Others v. UK (۲۰۱۶)، دادگاه بر اهمیت دسترسی به وکیل از نخستین مراحل بازجویی تأکید کرد. مجموع این آرا نشان می‌دهد که معیار دادگاه اروپایی، نه فقط روش، بلکه مجموعه‌ای از ضمانت‌های شکلی است.</w:t>
      </w:r>
    </w:p>
    <w:p>
      <w:pPr>
        <w:pStyle w:val="Heading2"/>
        <w:bidi/>
        <w:spacing w:after="120" w:before="240"/>
      </w:pPr>
      <w:r>
        <w:rPr>
          <w:rFonts w:ascii="Times New Roman" w:cs="Times New Roman" w:eastAsia="Times New Roman" w:hAnsi="Times New Roman"/>
          <w:b/>
          <w:bCs/>
          <w:sz w:val="25"/>
          <w:szCs w:val="25"/>
          <w:rtl/>
        </w:rPr>
        <w:t xml:space="preserve">۶.۵ اسناد بین‌المللی</w:t>
      </w:r>
    </w:p>
    <w:p>
      <w:pPr>
        <w:bidi/>
        <w:spacing w:after="120" w:line="360"/>
        <w:ind w:firstLine="360"/>
        <w:jc w:val="both"/>
      </w:pPr>
      <w:r>
        <w:rPr>
          <w:rFonts w:ascii="Times New Roman" w:cs="Times New Roman" w:eastAsia="Times New Roman" w:hAnsi="Times New Roman"/>
          <w:sz w:val="24"/>
          <w:szCs w:val="24"/>
          <w:rtl/>
        </w:rPr>
        <w:t xml:space="preserve">ماده ۱۵ کنوانسیون منع شکنجه (۱۹۸۴) دولت‌ها را متعهد می‌کند که اظهارات گرفته‌شده با شکنجه را در هیچ دادرسی (جز علیه شکنجه‌گر) دلیل قرار ندهند. هرچند ایران به این کنوانسیون نپیوسته است، این قاعده به‌عنوان استاندارد جهانی شناخته می‌شود. گزارش گزارشگر ویژه‌ی سازمان ملل درباره‌ی شکنجه (۲۰۱۶) به مجمع عمومی بر لزوم یک پروتکل جهانی برای مصاحبه‌های تحقیقی غیرقهرآمیز تأکید کرد و در پی آن «اصول مصاحبه‌ی مؤثر برای تحقیقات و اطلاع‌جویی» (معروف به اصول مندز، ۲۰۲۱) منتشر شد. این اصول بر مصاحبه‌ی اطلاع‌جویانه، پرهیز از اجبار و فریب، ضبط کامل، دسترسی به وکیل و آموزش حرفه‌ای مأموران تأکید دارد.</w:t>
      </w:r>
    </w:p>
    <w:p>
      <w:pPr>
        <w:pStyle w:val="Heading2"/>
        <w:bidi/>
        <w:spacing w:after="120" w:before="240"/>
      </w:pPr>
      <w:r>
        <w:rPr>
          <w:rFonts w:ascii="Times New Roman" w:cs="Times New Roman" w:eastAsia="Times New Roman" w:hAnsi="Times New Roman"/>
          <w:b/>
          <w:bCs/>
          <w:sz w:val="25"/>
          <w:szCs w:val="25"/>
          <w:rtl/>
        </w:rPr>
        <w:t xml:space="preserve">۶.۶ مقایسه‌ی نظام‌ها</w:t>
      </w:r>
    </w:p>
    <w:p>
      <w:pPr>
        <w:bidi/>
        <w:spacing w:after="120" w:line="360"/>
        <w:ind w:firstLine="360"/>
        <w:jc w:val="both"/>
      </w:pPr>
      <w:r>
        <w:rPr>
          <w:rFonts w:ascii="Times New Roman" w:cs="Times New Roman" w:eastAsia="Times New Roman" w:hAnsi="Times New Roman"/>
          <w:sz w:val="24"/>
          <w:szCs w:val="24"/>
          <w:rtl/>
        </w:rPr>
        <w:t xml:space="preserve">جدول ۲ مقایسه‌ی اجمالی نظام‌های یادشده را از چند منظر نشان می‌دهد. توجه شود که این جدول خلاصه‌ی تقریبی است و جزئیات هر نظام مستلزم مراجعه به متون اصلی است.</w:t>
      </w:r>
    </w:p>
    <w:p>
      <w:pPr>
        <w:keepNext/>
        <w:bidi/>
        <w:spacing w:after="80" w:before="160"/>
        <w:jc w:val="center"/>
      </w:pPr>
      <w:r>
        <w:rPr>
          <w:rFonts w:ascii="Times New Roman" w:cs="Times New Roman" w:eastAsia="Times New Roman" w:hAnsi="Times New Roman"/>
          <w:b/>
          <w:bCs/>
          <w:sz w:val="22"/>
          <w:szCs w:val="22"/>
          <w:rtl/>
        </w:rPr>
        <w:t xml:space="preserve">جدول ۲. مقایسه‌ی رویکرد نظام‌های حقوقی به فریب در بازجویی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500"/>
        <w:gridCol w:w="2826"/>
      </w:tblGrid>
      <w:tr>
        <w:trPr>
          <w:tblHeader/>
        </w:trPr>
        <w:tc>
          <w:tcPr>
            <w:tcW w:type="dxa" w:w="1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نظام</w:t>
            </w:r>
          </w:p>
        </w:tc>
        <w:tc>
          <w:tcPr>
            <w:tcW w:type="dxa" w:w="2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معیار اصلی</w:t>
            </w:r>
          </w:p>
        </w:tc>
        <w:tc>
          <w:tcPr>
            <w:tcW w:type="dxa" w:w="2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موضع درباره‌ی فریب</w:t>
            </w:r>
          </w:p>
        </w:tc>
        <w:tc>
          <w:tcPr>
            <w:tcW w:type="dxa" w:w="2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ویژگی برجسته</w:t>
            </w:r>
          </w:p>
        </w:tc>
      </w:tr>
      <w:tr>
        <w:trPr>
          <w:tblHeader w:val="false"/>
        </w:trP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ایران</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اختیار (اصل ۳۸)</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مبهم؛ بدون تصریح قانونی</w:t>
            </w:r>
          </w:p>
        </w:tc>
        <w:tc>
          <w:tcPr>
            <w:tcW w:type="dxa" w:w="2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نبود قاعده‌ی استثنای روشن و ضبط اجباری</w:t>
            </w:r>
          </w:p>
        </w:tc>
      </w:tr>
      <w:tr>
        <w:trPr>
          <w:tblHeader w:val="false"/>
        </w:trP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ایالات متحده</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ارادی‌بودن بر اساس مجموع اوضاع</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تحمل نسبی؛ ارزیابی موردی (Frazier)</w:t>
            </w:r>
          </w:p>
        </w:tc>
        <w:tc>
          <w:tcPr>
            <w:tcW w:type="dxa" w:w="2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هشدارهای میراندا؛ نقش دادرس بالا</w:t>
            </w:r>
          </w:p>
        </w:tc>
      </w:tr>
      <w:tr>
        <w:trPr>
          <w:tblHeader w:val="false"/>
        </w:trP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انگلستان و ولز</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اعتمادپذیری و انصاف (PACE ۷۶ و ۷۸)</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رد اقرار در صورت احتمال غیرقابل‌اعتمادبودن</w:t>
            </w:r>
          </w:p>
        </w:tc>
        <w:tc>
          <w:tcPr>
            <w:tcW w:type="dxa" w:w="2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بار اثبات بر دادستان؛ ضبط و مدل PEACE</w:t>
            </w:r>
          </w:p>
        </w:tc>
      </w:tr>
      <w:tr>
        <w:trPr>
          <w:tblHeader w:val="false"/>
        </w:trP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کانادا</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ارادی‌بودن (Oickle)</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ترفند مردود در صورت تکان‌دهندگی برای وجدان عمومی</w:t>
            </w:r>
          </w:p>
        </w:tc>
        <w:tc>
          <w:tcPr>
            <w:tcW w:type="dxa" w:w="2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تأکید بر خطر اعتراف کاذب</w:t>
            </w:r>
          </w:p>
        </w:tc>
      </w:tr>
      <w:tr>
        <w:trPr>
          <w:tblHeader w:val="false"/>
        </w:trP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دادگاه اروپایی حقوق بشر</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دادرسی عادلانه (ماده ۶) و منع شکنجه (ماده ۳)</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ارزیابی کل دادرسی؛ سخت‌گیری در برابر اجبار</w:t>
            </w:r>
          </w:p>
        </w:tc>
        <w:tc>
          <w:tcPr>
            <w:tcW w:type="dxa" w:w="2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ضمانت‌های شکلی (وکیل، سکوت)</w:t>
            </w:r>
          </w:p>
        </w:tc>
      </w:tr>
    </w:tbl>
    <w:p>
      <w:pPr>
        <w:bidi/>
        <w:spacing w:after="160"/>
      </w:pPr>
      <w:r>
        <w:rPr>
          <w:rFonts w:ascii="Times New Roman" w:cs="Times New Roman" w:eastAsia="Times New Roman" w:hAnsi="Times New Roman"/>
          <w:i/>
          <w:iCs/>
          <w:sz w:val="20"/>
          <w:szCs w:val="20"/>
          <w:rtl/>
        </w:rPr>
        <w:t xml:space="preserve">منبع: تحلیل نویسنده بر اساس آرا و قوانین یادشده</w:t>
      </w:r>
    </w:p>
    <w:p>
      <w:pPr>
        <w:pStyle w:val="Heading2"/>
        <w:bidi/>
        <w:spacing w:after="120" w:before="240"/>
      </w:pPr>
      <w:r>
        <w:rPr>
          <w:rFonts w:ascii="Times New Roman" w:cs="Times New Roman" w:eastAsia="Times New Roman" w:hAnsi="Times New Roman"/>
          <w:b/>
          <w:bCs/>
          <w:sz w:val="25"/>
          <w:szCs w:val="25"/>
          <w:rtl/>
        </w:rPr>
        <w:t xml:space="preserve">۶.۷ درس‌هایی از پرونده‌های شاخص</w:t>
      </w:r>
    </w:p>
    <w:p>
      <w:pPr>
        <w:bidi/>
        <w:spacing w:after="120" w:line="360"/>
        <w:ind w:firstLine="360"/>
        <w:jc w:val="both"/>
      </w:pPr>
      <w:r>
        <w:rPr>
          <w:rFonts w:ascii="Times New Roman" w:cs="Times New Roman" w:eastAsia="Times New Roman" w:hAnsi="Times New Roman"/>
          <w:sz w:val="24"/>
          <w:szCs w:val="24"/>
          <w:rtl/>
        </w:rPr>
        <w:t xml:space="preserve">اصلاحات حقوقی در بسیاری از کشورها پس از آشکارشدن خطاهای قضایی بزرگ رخ داده است. در انگلستان، پرونده‌ی «کنفِت» (۱۹۷۲) که در آن سه نوجوان (یکی با ناتوانی ذهنی) با اعتراف‌های گرفته‌شده در غیاب والد یا وکیل محکوم شدند و بعدها اعتراف‌ها غیرقابل‌اتکا شناخته شد، به تحقیق رسمی و سپس به کمیسیون سلطنتی درباره‌ی آیین دادرسی کیفری انجامید و سرانجام به شکل‌گیری قانون PACE ۱۹۸۴ کمک کرد (فیشر، ۱۹۷۷). پرونده‌های «چهار گیلدفورد» و «شش برمینگام» که در دهه‌های ۱۹۷۰ و ۱۹۸۰ به محکومیت‌های اشتباه ختم شدند و اعتراف‌های آنان بعدها زیر سؤال رفت، موجب بازنگری بیشتر در رویه‌ی بازجویی و نظارت بر آن شد. در ایالات متحده، پرونده‌ی معروف «پنج نفر پارک مرکزی» (۱۹۸۹) نمونه‌ای بود که در آن نوجوانان پس از بازجویی‌های طولانی اعتراف کردند و محکومیت‌های آنان در سال ۲۰۰۲ پس از اعتراف فرد دیگری و تطبیق دی‌ان‌ای لغو شد. این پرونده‌ها، که در ادبیات پژوهشی بارها مورد استناد قرار گرفته‌اند، سه درس مشترک دارند: نخست، اعتراف‌های کاذب در شرایط فشار روانی و آسیب‌پذیری رخ می‌دهند. دوم، وجود اعتراف تفصیلی لزوماً دلیل صحت نیست. سوم، اصلاح نهادی مانند ضبط، حضور وکیل و نظارت مستقل، بهترین پاسخ است.</w:t>
      </w:r>
    </w:p>
    <w:p>
      <w:pPr>
        <w:bidi/>
        <w:spacing w:after="120" w:line="360"/>
        <w:ind w:firstLine="360"/>
        <w:jc w:val="both"/>
      </w:pPr>
      <w:r>
        <w:rPr>
          <w:rFonts w:ascii="Times New Roman" w:cs="Times New Roman" w:eastAsia="Times New Roman" w:hAnsi="Times New Roman"/>
          <w:sz w:val="24"/>
          <w:szCs w:val="24"/>
          <w:rtl/>
        </w:rPr>
        <w:t xml:space="preserve">هرچند این پرونده‌ها مربوط به بافت‌های حقوقی دیگرند، درس آنها برای هر نظام کیفری عام است: بدون ضمانت‌های ساختاری، اتکای صرف بر درستی نیت مأموران یا تدبیر قاضی در دادگاه کافی نیست. در حقوق ایران نیز، با توجه به اهمیت اقرار در ادله‌ی اثبات، ضرورت چنین ضمانت‌هایی بیشتر است.</w:t>
      </w:r>
    </w:p>
    <w:p>
      <w:pPr>
        <w:pStyle w:val="Heading1"/>
        <w:bidi/>
        <w:spacing w:after="160" w:before="360"/>
      </w:pPr>
      <w:r>
        <w:rPr>
          <w:rFonts w:ascii="Times New Roman" w:cs="Times New Roman" w:eastAsia="Times New Roman" w:hAnsi="Times New Roman"/>
          <w:b/>
          <w:bCs/>
          <w:sz w:val="28"/>
          <w:szCs w:val="28"/>
          <w:rtl/>
        </w:rPr>
        <w:t xml:space="preserve">۷. تحلیل ارزش اثباتی: مدل پیشنهادی ارزیابی اعتبار</w:t>
      </w:r>
    </w:p>
    <w:p>
      <w:pPr>
        <w:pStyle w:val="Heading2"/>
        <w:bidi/>
        <w:spacing w:after="120" w:before="240"/>
      </w:pPr>
      <w:r>
        <w:rPr>
          <w:rFonts w:ascii="Times New Roman" w:cs="Times New Roman" w:eastAsia="Times New Roman" w:hAnsi="Times New Roman"/>
          <w:b/>
          <w:bCs/>
          <w:sz w:val="25"/>
          <w:szCs w:val="25"/>
          <w:rtl/>
        </w:rPr>
        <w:t xml:space="preserve">۷.۱ طیف فریب و فشار</w:t>
      </w:r>
    </w:p>
    <w:p>
      <w:pPr>
        <w:bidi/>
        <w:spacing w:after="120" w:line="360"/>
        <w:ind w:firstLine="360"/>
        <w:jc w:val="both"/>
      </w:pPr>
      <w:r>
        <w:rPr>
          <w:rFonts w:ascii="Times New Roman" w:cs="Times New Roman" w:eastAsia="Times New Roman" w:hAnsi="Times New Roman"/>
          <w:sz w:val="24"/>
          <w:szCs w:val="24"/>
          <w:rtl/>
        </w:rPr>
        <w:t xml:space="preserve">بر پایه‌ی مبانی نظری، یافته‌های روان‌شناختی و حقوق تطبیقی، پیشنهاد می‌شود فریب و فشار در بازجویی به‌صورت یک طیف سه‌بخشی تحلیل شود و برای هر بخش اثر حقوقی متفاوتی در نظر گرفته شود: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منطقه‌ی مجاز: تدابیر صادقانه که اراده و آگاهی متهم را تحریف نمی‌کنند؛ مانند ایجاد ارتباط محترمانه، توضیح صادقانه‌ی حقوق و پیامدهای قانونی واقعی، رویارویی با ادله‌ی واقعی، پرسش‌های باز و دعوت به توضیح. اقرار حاصل از این تدابیر، در صورت وجود سایر شرایط، معتبر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منطقه‌ی مشکوک: تدابیری که اگرچه به‌تنهایی اراده را از میان نمی‌برند، احتمال خطا را افزایش می‌دهند؛ مانند ادعای نادرست درباره‌ی ادله‌ی ضعیف، ایهام‌افکنی درباره‌ی اظهارات دیگران، حداقل‌سازی جرم، یا بازجویی طولانی. اقرار حاصل از این تدابیر باطل نیست اما «اعتبار اثباتی کاهش‌یافته» دارد و تنها در صورت تأیید مستقل می‌تواند مبنای حکم قرار گیرد.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منطقه‌ی ممنوع: تدابیری که اراده‌ی آزاد را از میان می‌برند یا بی‌اعتباری معرفتی بارز دارند؛ مانند تهدید به آسیب، وعده‌ی صریح تخفیف یا آزادی بدون پشتوانه‌ی قانونی، جعل مدارک، محرومیت از خواب و غذا، انزوای طولانی، بهره‌برداری از بیماری یا ناتوانی ذهنی، و هر فریب مرتبط با حقوق اساسی (مثلاً دروغ درباره‌ی حق سکوت یا وکیل). اقرار حاصل از این تدابیر باطل است و آثار تبعی آن نیز باید بررسی شود.</w:t>
      </w:r>
    </w:p>
    <w:p>
      <w:pPr>
        <w:pStyle w:val="Heading2"/>
        <w:bidi/>
        <w:spacing w:after="120" w:before="240"/>
      </w:pPr>
      <w:r>
        <w:rPr>
          <w:rFonts w:ascii="Times New Roman" w:cs="Times New Roman" w:eastAsia="Times New Roman" w:hAnsi="Times New Roman"/>
          <w:b/>
          <w:bCs/>
          <w:sz w:val="25"/>
          <w:szCs w:val="25"/>
          <w:rtl/>
        </w:rPr>
        <w:t xml:space="preserve">۷.۲ معیارهای ارزیابی چندعاملی</w:t>
      </w:r>
    </w:p>
    <w:p>
      <w:pPr>
        <w:bidi/>
        <w:spacing w:after="120" w:line="360"/>
        <w:ind w:firstLine="360"/>
        <w:jc w:val="both"/>
      </w:pPr>
      <w:r>
        <w:rPr>
          <w:rFonts w:ascii="Times New Roman" w:cs="Times New Roman" w:eastAsia="Times New Roman" w:hAnsi="Times New Roman"/>
          <w:sz w:val="24"/>
          <w:szCs w:val="24"/>
          <w:rtl/>
        </w:rPr>
        <w:t xml:space="preserve">برای جایگزین‌کردن ارزیابی شهودی، پیشنهاد می‌شود دادگاه در بررسی ادعای فریب یا فشار، عوامل زیر را به‌صورت نظام‌مند بسنجد (برگرفته و تطبیق‌یافته از آموزه‌های لئو، ۲۰۰۸؛ کسین و همکاران، ۲۰۱۰؛ و معیارهای Oickle و PACE):</w:t>
      </w:r>
    </w:p>
    <w:p>
      <w:pPr>
        <w:keepNext/>
        <w:bidi/>
        <w:spacing w:after="80" w:before="160"/>
        <w:jc w:val="center"/>
      </w:pPr>
      <w:r>
        <w:rPr>
          <w:rFonts w:ascii="Times New Roman" w:cs="Times New Roman" w:eastAsia="Times New Roman" w:hAnsi="Times New Roman"/>
          <w:b/>
          <w:bCs/>
          <w:sz w:val="22"/>
          <w:szCs w:val="22"/>
          <w:rtl/>
        </w:rPr>
        <w:t xml:space="preserve">جدول ۳. عوامل ارزیابی اعتبار اقرار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دسته</w:t>
            </w:r>
          </w:p>
        </w:tc>
        <w:tc>
          <w:tcPr>
            <w:tcW w:type="dxa" w:w="3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پرسش‌های راهنما</w:t>
            </w:r>
          </w:p>
        </w:tc>
        <w:tc>
          <w:tcPr>
            <w:tcW w:type="dxa" w:w="34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شاخص‌های نمونه</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ویژگی متهم</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متهم از آسیب‌پذیری ویژه برخوردار بود؟</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سن، اختلال ذهنی یا روانی، بیماری، سطح سواد، بی‌اطلاعی از حقوق</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شرایط بازجویی</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کیفیت و مدت بازجویی چگونه بود؟</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طول مدت، ساعات شب، تعداد بازجویان، محرومیت از خواب، غذا یا دارو</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حفاظت‌های شکلی</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ضمانت‌های حقوقی رعایت شد؟</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تذکر حقوق، حضور وکیل، ضبط تصویری کامل، تماس با خانواده</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نوع تدابیر</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چه تدابیری به کار رفت و چه رابطه‌ای با اراده داشتند؟</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دلیل جعلی، وعده‌ی تخفیف، تهدید، حداقل‌سازی، سؤال‌های تلقینی</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کیفیت اقرار</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اقرار قابل‌اعتماد و قابل‌تأیید است؟</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وجود اطلاعات غیرعمومی، انطباق با ادله‌ی عینی، سیر شکل‌گیری روایت</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رفتار پس از اقرار</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آیا متهم بعداً از اقرار بازگشت و دلیل آن چه بود؟</w:t>
            </w:r>
          </w:p>
        </w:tc>
        <w:tc>
          <w:tcPr>
            <w:tcW w:type="dxa" w:w="3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ثبات یا تغییر اظهارات، اقرار مستقل نزد قاضی، شکایت از رفتار مأموران</w:t>
            </w:r>
          </w:p>
        </w:tc>
      </w:tr>
    </w:tbl>
    <w:p>
      <w:pPr>
        <w:bidi/>
        <w:spacing w:after="160"/>
      </w:pPr>
      <w:r>
        <w:rPr>
          <w:rFonts w:ascii="Times New Roman" w:cs="Times New Roman" w:eastAsia="Times New Roman" w:hAnsi="Times New Roman"/>
          <w:i/>
          <w:iCs/>
          <w:sz w:val="20"/>
          <w:szCs w:val="20"/>
          <w:rtl/>
        </w:rPr>
        <w:t xml:space="preserve">منبع: تحلیل نویسنده</w:t>
      </w:r>
    </w:p>
    <w:p>
      <w:pPr>
        <w:bidi/>
        <w:spacing w:after="120" w:line="360"/>
        <w:ind w:firstLine="360"/>
        <w:jc w:val="both"/>
      </w:pPr>
      <w:r>
        <w:rPr>
          <w:rFonts w:ascii="Times New Roman" w:cs="Times New Roman" w:eastAsia="Times New Roman" w:hAnsi="Times New Roman"/>
          <w:sz w:val="24"/>
          <w:szCs w:val="24"/>
          <w:rtl/>
        </w:rPr>
        <w:t xml:space="preserve">این ارزیابی به‌معنای جایگزینی تصمیم قضایی با فرمول نیست. هدف آن است که قاضی دلیل ارزیابی خود را به‌صورت شفاف و مستدل بیان کند و آرای او قابل‌نقد و بازنگری باشد.</w:t>
      </w:r>
    </w:p>
    <w:p>
      <w:pPr>
        <w:pStyle w:val="Heading2"/>
        <w:bidi/>
        <w:spacing w:after="120" w:before="240"/>
      </w:pPr>
      <w:r>
        <w:rPr>
          <w:rFonts w:ascii="Times New Roman" w:cs="Times New Roman" w:eastAsia="Times New Roman" w:hAnsi="Times New Roman"/>
          <w:b/>
          <w:bCs/>
          <w:sz w:val="25"/>
          <w:szCs w:val="25"/>
          <w:rtl/>
        </w:rPr>
        <w:t xml:space="preserve">۷.۳ آثار حقوقی در هر سطح</w:t>
      </w:r>
    </w:p>
    <w:p>
      <w:pPr>
        <w:bidi/>
        <w:spacing w:after="120" w:line="360"/>
        <w:ind w:firstLine="360"/>
        <w:jc w:val="both"/>
      </w:pPr>
      <w:r>
        <w:rPr>
          <w:rFonts w:ascii="Times New Roman" w:cs="Times New Roman" w:eastAsia="Times New Roman" w:hAnsi="Times New Roman"/>
          <w:sz w:val="24"/>
          <w:szCs w:val="24"/>
          <w:rtl/>
        </w:rPr>
        <w:t xml:space="preserve">در منطقه‌ی ممنوع، نتیجه‌ی منطقی بطلان اقرار و عدم استناد دادگاه به آن است، چنان‌که اصل ۳۸ قانون اساسی تصریح می‌کند. در منطقه‌ی مشکوک، دادگاه می‌تواند اقرار را دلیل تکمیلی بداند، مشروط به آنکه با دلیل مستقل (مانند شهادت، ادله‌ی علمی یا مشاهدات عینی) تأیید شود. در جرایم حدی و قصاص، با توجه به قاعده‌ی درء و ضرورت اطمینان، حتی وجود شبهه‌ی معقول درباره‌ی فریب باید به عدم اثبات بینجامد. در منطقه‌ی مجاز، اقرار معتبر است اما همچنان در ارزیابی نهایی با سایر ادله سنجیده می‌شود، چراکه حتی اقرار آزادانه نیز ممکن است ناصحیح باشد.</w:t>
      </w:r>
    </w:p>
    <w:p>
      <w:pPr>
        <w:pStyle w:val="Heading2"/>
        <w:bidi/>
        <w:spacing w:after="120" w:before="240"/>
      </w:pPr>
      <w:r>
        <w:rPr>
          <w:rFonts w:ascii="Times New Roman" w:cs="Times New Roman" w:eastAsia="Times New Roman" w:hAnsi="Times New Roman"/>
          <w:b/>
          <w:bCs/>
          <w:sz w:val="25"/>
          <w:szCs w:val="25"/>
          <w:rtl/>
        </w:rPr>
        <w:t xml:space="preserve">۷.۴ آثار تبعی و ادله‌ی ثانویه</w:t>
      </w:r>
    </w:p>
    <w:p>
      <w:pPr>
        <w:bidi/>
        <w:spacing w:after="120" w:line="360"/>
        <w:ind w:firstLine="360"/>
        <w:jc w:val="both"/>
      </w:pPr>
      <w:r>
        <w:rPr>
          <w:rFonts w:ascii="Times New Roman" w:cs="Times New Roman" w:eastAsia="Times New Roman" w:hAnsi="Times New Roman"/>
          <w:sz w:val="24"/>
          <w:szCs w:val="24"/>
          <w:rtl/>
        </w:rPr>
        <w:t xml:space="preserve">اگر اقرار باطل باعث کشف دلایل دیگر شود (مثلاً متهم محل اشیا را نشان دهد)، آیا این ادله معتبرند؟ حقوق تطبیقی پاسخ‌های متفاوتی دارد. آمریکا قاعده‌ی «میوه‌ی درخت مسموم» را با استثناهایی (کشف اجتناب‌ناپذیر، منبع مستقل و غیره) به کار می‌برد. در پرونده‌ی Gäfgen دادگاه اروپایی ادله‌ی تبعی را در صورت قطع ارتباط با رفتار ناروا پذیرفت. نظر این مقاله آن است که در موارد فریب و فشار شدید (منطقه‌ی ممنوع)، دلایل تبعی باید با دقت و احتیاط ارزیابی شوند و دادگاه باید احراز کند که آیا دلیل ثانویه به‌طور واقعی مستقل از اقرار باطل قابل‌کشف بوده است یا خیر. اگر مستقل بود، می‌تواند معتبر باشد و در غیر این صورت نباید به آن استناد شود.</w:t>
      </w:r>
    </w:p>
    <w:p>
      <w:pPr>
        <w:pStyle w:val="Heading2"/>
        <w:bidi/>
        <w:spacing w:after="120" w:before="240"/>
      </w:pPr>
      <w:r>
        <w:rPr>
          <w:rFonts w:ascii="Times New Roman" w:cs="Times New Roman" w:eastAsia="Times New Roman" w:hAnsi="Times New Roman"/>
          <w:b/>
          <w:bCs/>
          <w:sz w:val="25"/>
          <w:szCs w:val="25"/>
          <w:rtl/>
        </w:rPr>
        <w:t xml:space="preserve">۷.۵ بار اثبات و رسیدگی</w:t>
      </w:r>
    </w:p>
    <w:p>
      <w:pPr>
        <w:bidi/>
        <w:spacing w:after="120" w:line="360"/>
        <w:ind w:firstLine="360"/>
        <w:jc w:val="both"/>
      </w:pPr>
      <w:r>
        <w:rPr>
          <w:rFonts w:ascii="Times New Roman" w:cs="Times New Roman" w:eastAsia="Times New Roman" w:hAnsi="Times New Roman"/>
          <w:sz w:val="24"/>
          <w:szCs w:val="24"/>
          <w:rtl/>
        </w:rPr>
        <w:t xml:space="preserve">یکی از حساس‌ترین مسائل، بار اثبات است. حقوق ایران بر پایه‌ی قاعده‌ی «البینة علی المدعی» متهم را در موقعیت مدعی فریب یا فشار قرار می‌دهد. اما او معمولاً در زمان بازجویی بازداشت و محروم از ابزار اثبات بوده است و مأموران تنها شاهدان آن محیط‌اند. پیشنهاد می‌شود که پس از طرح ادعای موجه درباره‌ی فریب یا فشار، بار اثبات رعایت موازین به عهده‌ی مقام تحقیق یا دادستان قرار گیرد، چنان‌که در PACE ماده ۷۶ مقرر است. این امر مستلزم ثبت کامل بازجویی است، چون در نبود مستندات، اثبات رعایت موازین ممکن نیست. استدلال فقهی این پیشنهاد، اصل «اصالة البراءة» و قاعده‌ی «شک به نفع متهم» و نیز قاعده‌ی «الحدود تدرأ بالشبهات» است.</w:t>
      </w:r>
    </w:p>
    <w:p>
      <w:pPr>
        <w:pStyle w:val="Heading2"/>
        <w:bidi/>
        <w:spacing w:after="120" w:before="240"/>
      </w:pPr>
      <w:r>
        <w:rPr>
          <w:rFonts w:ascii="Times New Roman" w:cs="Times New Roman" w:eastAsia="Times New Roman" w:hAnsi="Times New Roman"/>
          <w:b/>
          <w:bCs/>
          <w:sz w:val="25"/>
          <w:szCs w:val="25"/>
          <w:rtl/>
        </w:rPr>
        <w:t xml:space="preserve">۷.۶ نقش کارشناس روان‌شناسی</w:t>
      </w:r>
    </w:p>
    <w:p>
      <w:pPr>
        <w:bidi/>
        <w:spacing w:after="120" w:line="360"/>
        <w:ind w:firstLine="360"/>
        <w:jc w:val="both"/>
      </w:pPr>
      <w:r>
        <w:rPr>
          <w:rFonts w:ascii="Times New Roman" w:cs="Times New Roman" w:eastAsia="Times New Roman" w:hAnsi="Times New Roman"/>
          <w:sz w:val="24"/>
          <w:szCs w:val="24"/>
          <w:rtl/>
        </w:rPr>
        <w:t xml:space="preserve">ارزیابی آسیب‌پذیری متهم، تلقین‌پذیری و احتمال اعتراف کاذب مستلزم تخصص روان‌شناختی است. در برخی نظام‌ها (مانند انگلستان) ارزیابی تلقین‌پذیری با ابزارهایی مانند مقیاس تلقین‌پذیری گادجونسون (۲۰۰۳) انجام می‌شود. در ایران، ارجاع به کارشناسان پزشکی قانونی و روان‌شناسی در امور کیفری ممکن است، اما ارجاع به آنان درباره‌ی اعتبار اقرار و آسیب‌پذیری متهم رواج ندارد. پیشنهاد می‌شود دادگاه در موارد جدی، به‌ویژه برای نوجوانان و افراد دارای اختلال، چنین ارجاعی را بپذیرد و کارشناس درباره‌ی «احتمال تأثیرپذیری از فشار» نظر دهد، بدون آنکه درباره‌ی «صادق‌بودن یا کاذب‌بودن» اقرار خاص اظهار نظر قطعی کند، چراکه این داوری وظیفه‌ی دادگاه است.</w:t>
      </w:r>
    </w:p>
    <w:p>
      <w:pPr>
        <w:pStyle w:val="Heading2"/>
        <w:bidi/>
        <w:spacing w:after="120" w:before="240"/>
      </w:pPr>
      <w:r>
        <w:rPr>
          <w:rFonts w:ascii="Times New Roman" w:cs="Times New Roman" w:eastAsia="Times New Roman" w:hAnsi="Times New Roman"/>
          <w:b/>
          <w:bCs/>
          <w:sz w:val="25"/>
          <w:szCs w:val="25"/>
          <w:rtl/>
        </w:rPr>
        <w:t xml:space="preserve">۷.۷ اقرار نزد قاضی و بازگشت از اقرار</w:t>
      </w:r>
    </w:p>
    <w:p>
      <w:pPr>
        <w:bidi/>
        <w:spacing w:after="120" w:line="360"/>
        <w:ind w:firstLine="360"/>
        <w:jc w:val="both"/>
      </w:pPr>
      <w:r>
        <w:rPr>
          <w:rFonts w:ascii="Times New Roman" w:cs="Times New Roman" w:eastAsia="Times New Roman" w:hAnsi="Times New Roman"/>
          <w:sz w:val="24"/>
          <w:szCs w:val="24"/>
          <w:rtl/>
        </w:rPr>
        <w:t xml:space="preserve">اقرار در مرحله‌ی تحقیقات مقدماتی نزد ضابط یا بازپرس با اقرار نزد قاضی دادگاه تفاوت دارد. اقرار نزد قاضی، اگر در شرایط آزاد و پس از آگاهی از حقوق و مجال مشورت با وکیل باشد، اعتبار بیشتری دارد. اما باید به این خطر توجه کرد که متهمی که پیش‌تر تحت فشار اقرار کرده، ممکن است در دادگاه از ترس پیامدهای انکار یا به‌دلیل باور به بی‌فایدگی انکار، اقرار را تکرار کند. بنابراین تکرار اقرار نزد قاضی را نمی‌توان خودکار «شفای عیب» اقرار نخستین دانست، بلکه دادگاه باید بررسی کند که آیا تأثیر فریب یا فشار قبلی زائل شده است. بازگشت متهم از اقرار نیز، در فقه جزا، برای حقوق‌الله و حقوق‌الناس آثار متفاوت دارد و در جرایم حدی بازگشت از اقرار موجب سقوط حد می‌شود. این قاعده خود نشان می‌دهد که نظام حقوقی اسلامی اقرار را به‌قدر ثبات اراده‌ی صاحب آن معتبر می‌داند.</w:t>
      </w:r>
    </w:p>
    <w:p>
      <w:pPr>
        <w:pStyle w:val="Heading2"/>
        <w:bidi/>
        <w:spacing w:after="120" w:before="240"/>
      </w:pPr>
      <w:r>
        <w:rPr>
          <w:rFonts w:ascii="Times New Roman" w:cs="Times New Roman" w:eastAsia="Times New Roman" w:hAnsi="Times New Roman"/>
          <w:b/>
          <w:bCs/>
          <w:sz w:val="25"/>
          <w:szCs w:val="25"/>
          <w:rtl/>
        </w:rPr>
        <w:t xml:space="preserve">۷.۸ سناریوهای تحلیلی فرضی</w:t>
      </w:r>
    </w:p>
    <w:p>
      <w:pPr>
        <w:bidi/>
        <w:spacing w:after="120" w:line="360"/>
        <w:ind w:firstLine="360"/>
        <w:jc w:val="both"/>
      </w:pPr>
      <w:r>
        <w:rPr>
          <w:rFonts w:ascii="Times New Roman" w:cs="Times New Roman" w:eastAsia="Times New Roman" w:hAnsi="Times New Roman"/>
          <w:sz w:val="24"/>
          <w:szCs w:val="24"/>
          <w:rtl/>
        </w:rPr>
        <w:t xml:space="preserve">برای روشن‌شدن کاربرد مدل، پنج سناریوی فرضی (کاملاً ساختگی و صرفاً برای تحلیل) در جدول ۴ طبقه‌بندی شده است. هر سناریو بر پایه‌ی ترکیب عوامل ارزیابی می‌شود و نتیجه، ارزیابی تحلیلی نگارنده است و نه اظهارنظر درباره‌ی پرونده‌ی خاصی.</w:t>
      </w:r>
    </w:p>
    <w:p>
      <w:pPr>
        <w:keepNext/>
        <w:bidi/>
        <w:spacing w:after="80" w:before="160"/>
        <w:jc w:val="center"/>
      </w:pPr>
      <w:r>
        <w:rPr>
          <w:rFonts w:ascii="Times New Roman" w:cs="Times New Roman" w:eastAsia="Times New Roman" w:hAnsi="Times New Roman"/>
          <w:b/>
          <w:bCs/>
          <w:sz w:val="22"/>
          <w:szCs w:val="22"/>
          <w:rtl/>
        </w:rPr>
        <w:t xml:space="preserve">جدول ۴. طبقه‌بندی سناریوهای فرضی بر اساس مدل پیشنهادی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سناریو</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منطقه</w:t>
            </w:r>
          </w:p>
        </w:tc>
        <w:tc>
          <w:tcPr>
            <w:tcW w:type="dxa" w:w="44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تحلیل و نتیجه</w:t>
            </w:r>
          </w:p>
        </w:tc>
      </w:tr>
      <w:tr>
        <w:trPr>
          <w:tblHeader w:val="false"/>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بازجو دلیل واقعی (تصویر دوربین) را نشان می‌دهد و متهم اعتراف می‌کند</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مجاز</w:t>
            </w:r>
          </w:p>
        </w:tc>
        <w:tc>
          <w:tcPr>
            <w:tcW w:type="dxa" w:w="4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رویارویی با دلیل واقعی؛ اقرار معتبر و قابل‌ارزیابی همراه با سایر ادله</w:t>
            </w:r>
          </w:p>
        </w:tc>
      </w:tr>
      <w:tr>
        <w:trPr>
          <w:tblHeader w:val="false"/>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بازجو دروغ می‌گوید که اثر انگشت متهم یافت شده در حالی که چنین نیست</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مشکوک</w:t>
            </w:r>
          </w:p>
        </w:tc>
        <w:tc>
          <w:tcPr>
            <w:tcW w:type="dxa" w:w="4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اقرار باطل نیست اما اعتبار کاهش‌یافته دارد؛ لزوم تأیید مستقل و بررسی آسیب‌پذیری متهم</w:t>
            </w:r>
          </w:p>
        </w:tc>
      </w:tr>
      <w:tr>
        <w:trPr>
          <w:tblHeader w:val="false"/>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به متهم گفته می‌شود اگر اعتراف کند «فقط جریمه‌ی سبک» می‌شود، در حالی که مجازات حبس است</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ممنوع</w:t>
            </w:r>
          </w:p>
        </w:tc>
        <w:tc>
          <w:tcPr>
            <w:tcW w:type="dxa" w:w="4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وعده‌ی خلاف قانون و گمراه‌کننده درباره‌ی پیامد؛ اقرار باطل</w:t>
            </w:r>
          </w:p>
        </w:tc>
      </w:tr>
      <w:tr>
        <w:trPr>
          <w:tblHeader w:val="false"/>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متهم نوجوان با اختلال یادگیری ۱۲ ساعت بدون وکیل بازجویی و سپس اعتراف می‌کند</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ممنوع یا مشکوک شدید</w:t>
            </w:r>
          </w:p>
        </w:tc>
        <w:tc>
          <w:tcPr>
            <w:tcW w:type="dxa" w:w="4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ترکیب آسیب‌پذیری و شرایط فشار؛ احتمال اعتراف تسلیم‌شده؛ اقرار باید با ادله‌ی مستقل قوی تأیید شود یا مردود گردد</w:t>
            </w:r>
          </w:p>
        </w:tc>
      </w:tr>
      <w:tr>
        <w:trPr>
          <w:tblHeader w:val="false"/>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متهم پس از دوره‌ی طولانی انزوا اعتراف می‌کند و در دادگاه از آن بازمی‌گردد</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مشکوک تا ممنوع</w:t>
            </w:r>
          </w:p>
        </w:tc>
        <w:tc>
          <w:tcPr>
            <w:tcW w:type="dxa" w:w="44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بررسی شرایط انزوا و ضبط؛ اقرار تنها در صورت تأیید مستقل و روشن‌شدن فقدان فشار معتبر است</w:t>
            </w:r>
          </w:p>
        </w:tc>
      </w:tr>
    </w:tbl>
    <w:p>
      <w:pPr>
        <w:bidi/>
        <w:spacing w:after="160"/>
      </w:pPr>
      <w:r>
        <w:rPr>
          <w:rFonts w:ascii="Times New Roman" w:cs="Times New Roman" w:eastAsia="Times New Roman" w:hAnsi="Times New Roman"/>
          <w:i/>
          <w:iCs/>
          <w:sz w:val="20"/>
          <w:szCs w:val="20"/>
          <w:rtl/>
        </w:rPr>
        <w:t xml:space="preserve">منبع: تحلیل نویسنده (سناریوهای فرضی)</w:t>
      </w:r>
    </w:p>
    <w:p>
      <w:pPr>
        <w:pStyle w:val="Heading2"/>
        <w:bidi/>
        <w:spacing w:after="120" w:before="240"/>
      </w:pPr>
      <w:r>
        <w:rPr>
          <w:rFonts w:ascii="Times New Roman" w:cs="Times New Roman" w:eastAsia="Times New Roman" w:hAnsi="Times New Roman"/>
          <w:b/>
          <w:bCs/>
          <w:sz w:val="25"/>
          <w:szCs w:val="25"/>
          <w:rtl/>
        </w:rPr>
        <w:t xml:space="preserve">۷.۹ مقایسه‌ی دو الگوی بازجویی از منظر اعتبار اقرار</w:t>
      </w:r>
    </w:p>
    <w:p>
      <w:pPr>
        <w:bidi/>
        <w:spacing w:after="120" w:line="360"/>
        <w:ind w:firstLine="360"/>
        <w:jc w:val="both"/>
      </w:pPr>
      <w:r>
        <w:rPr>
          <w:rFonts w:ascii="Times New Roman" w:cs="Times New Roman" w:eastAsia="Times New Roman" w:hAnsi="Times New Roman"/>
          <w:sz w:val="24"/>
          <w:szCs w:val="24"/>
          <w:rtl/>
        </w:rPr>
        <w:t xml:space="preserve">برای جمع‌بندی بحث، سناریوهای بالا را با مقایسه‌ی دو الگوی بازجویی تکمیل می‌کنیم. این مقایسه نشان می‌دهد که انتخاب الگوی بازجویی، پیش از آنکه به اقرار برسد، بر اعتبار آن اثر می‌گذارد.</w:t>
      </w:r>
    </w:p>
    <w:p>
      <w:pPr>
        <w:keepNext/>
        <w:bidi/>
        <w:spacing w:after="80" w:before="160"/>
        <w:jc w:val="center"/>
      </w:pPr>
      <w:r>
        <w:rPr>
          <w:rFonts w:ascii="Times New Roman" w:cs="Times New Roman" w:eastAsia="Times New Roman" w:hAnsi="Times New Roman"/>
          <w:b/>
          <w:bCs/>
          <w:sz w:val="22"/>
          <w:szCs w:val="22"/>
          <w:rtl/>
        </w:rPr>
        <w:t xml:space="preserve">جدول ۵. مقایسه‌ی الگوی اتهام‌محور و الگوی اطلاع‌جویانه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شاخص</w:t>
            </w:r>
          </w:p>
        </w:tc>
        <w:tc>
          <w:tcPr>
            <w:tcW w:type="dxa" w:w="3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الگوی اتهام‌محور</w:t>
            </w:r>
          </w:p>
        </w:tc>
        <w:tc>
          <w:tcPr>
            <w:tcW w:type="dxa" w:w="36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الگوی اطلاع‌جویانه</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هدف</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گرفتن اعتراف</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کشف اطلاعات و حقیقت</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فرض آغازین</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گناهکاری متهم</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بی‌طرفی و گشودگی نسبت به همه‌ی احتمالات</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شیوه‌ی پرسش</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رویارویی، قطع انکار، پرسش‌های بسته</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پرسش‌های باز، دعوت به روایت آزاد، بررسی تناقض‌ها</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نقش فریب</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مجاز یا رایج (دلیل جعلی، حداقل‌سازی)</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ممنوع یا بسیار محدود</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خطر اعتراف کاذب</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بیشتر</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کمتر</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کیفیت اطلاعات</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گاه آلوده به تلقین بازجو</w:t>
            </w:r>
          </w:p>
        </w:tc>
        <w:tc>
          <w:tcPr>
            <w:tcW w:type="dxa" w:w="3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مستقل‌تر و قابل‌تأییدتر</w:t>
            </w:r>
          </w:p>
        </w:tc>
      </w:tr>
    </w:tbl>
    <w:p>
      <w:pPr>
        <w:bidi/>
        <w:spacing w:after="160"/>
      </w:pPr>
      <w:r>
        <w:rPr>
          <w:rFonts w:ascii="Times New Roman" w:cs="Times New Roman" w:eastAsia="Times New Roman" w:hAnsi="Times New Roman"/>
          <w:i/>
          <w:iCs/>
          <w:sz w:val="20"/>
          <w:szCs w:val="20"/>
          <w:rtl/>
        </w:rPr>
        <w:t xml:space="preserve">منبع: تحلیل نویسنده بر اساس میسنر و همکاران (۲۰۱۴) و میلن و بول (۱۹۹۹)</w:t>
      </w:r>
    </w:p>
    <w:p>
      <w:pPr>
        <w:pStyle w:val="Heading1"/>
        <w:bidi/>
        <w:spacing w:after="160" w:before="360"/>
      </w:pPr>
      <w:r>
        <w:rPr>
          <w:rFonts w:ascii="Times New Roman" w:cs="Times New Roman" w:eastAsia="Times New Roman" w:hAnsi="Times New Roman"/>
          <w:b/>
          <w:bCs/>
          <w:sz w:val="28"/>
          <w:szCs w:val="28"/>
          <w:rtl/>
        </w:rPr>
        <w:t xml:space="preserve">۸. چالش‌ها و موانع اجرایی</w:t>
      </w:r>
    </w:p>
    <w:p>
      <w:pPr>
        <w:bidi/>
        <w:spacing w:after="120" w:line="360"/>
        <w:ind w:firstLine="360"/>
        <w:jc w:val="both"/>
      </w:pPr>
      <w:r>
        <w:rPr>
          <w:rFonts w:ascii="Times New Roman" w:cs="Times New Roman" w:eastAsia="Times New Roman" w:hAnsi="Times New Roman"/>
          <w:sz w:val="24"/>
          <w:szCs w:val="24"/>
          <w:rtl/>
        </w:rPr>
        <w:t xml:space="preserve">اجرای مدل پیشنهادی و اصلاح رویه با چالش‌هایی روبه‌رو است که باید با واقع‌بینی در نظر گرفته شود.</w:t>
      </w:r>
    </w:p>
    <w:p>
      <w:pPr>
        <w:pStyle w:val="Heading2"/>
        <w:bidi/>
        <w:spacing w:after="120" w:before="240"/>
      </w:pPr>
      <w:r>
        <w:rPr>
          <w:rFonts w:ascii="Times New Roman" w:cs="Times New Roman" w:eastAsia="Times New Roman" w:hAnsi="Times New Roman"/>
          <w:b/>
          <w:bCs/>
          <w:sz w:val="25"/>
          <w:szCs w:val="25"/>
          <w:rtl/>
        </w:rPr>
        <w:t xml:space="preserve">۸.۱ فشار برای کشف جرم</w:t>
      </w:r>
    </w:p>
    <w:p>
      <w:pPr>
        <w:bidi/>
        <w:spacing w:after="120" w:line="360"/>
        <w:ind w:firstLine="360"/>
        <w:jc w:val="both"/>
      </w:pPr>
      <w:r>
        <w:rPr>
          <w:rFonts w:ascii="Times New Roman" w:cs="Times New Roman" w:eastAsia="Times New Roman" w:hAnsi="Times New Roman"/>
          <w:sz w:val="24"/>
          <w:szCs w:val="24"/>
          <w:rtl/>
        </w:rPr>
        <w:t xml:space="preserve">نهادهای تحقیق در برابر انتظار جامعه برای کشف سریع جرایم، به‌ویژه جرایم سنگین و پرحساسیت، قرار دارند. این فشار انگیزه‌ی اتکا به اعتراف را بالا می‌برد، زیرا اعتراف سریع‌ترین راه حل پرونده است. اگر مأموران برای کشف جرم از ابزارهای علمی و تحقیقی (مانند ادله‌ی دیجیتال، علوم جرم‌شناسی و تحلیل‌های داده) کمتر بهره ببرند، اعتراف را جایگزین آن می‌کنند. بنابراین تقویت توانایی‌های تحقیقی، پیش‌شرط کاهش اتکا به اعتراف است.</w:t>
      </w:r>
    </w:p>
    <w:p>
      <w:pPr>
        <w:pStyle w:val="Heading2"/>
        <w:bidi/>
        <w:spacing w:after="120" w:before="240"/>
      </w:pPr>
      <w:r>
        <w:rPr>
          <w:rFonts w:ascii="Times New Roman" w:cs="Times New Roman" w:eastAsia="Times New Roman" w:hAnsi="Times New Roman"/>
          <w:b/>
          <w:bCs/>
          <w:sz w:val="25"/>
          <w:szCs w:val="25"/>
          <w:rtl/>
        </w:rPr>
        <w:t xml:space="preserve">۸.۲ آموزش و فرهنگ سازمانی</w:t>
      </w:r>
    </w:p>
    <w:p>
      <w:pPr>
        <w:bidi/>
        <w:spacing w:after="120" w:line="360"/>
        <w:ind w:firstLine="360"/>
        <w:jc w:val="both"/>
      </w:pPr>
      <w:r>
        <w:rPr>
          <w:rFonts w:ascii="Times New Roman" w:cs="Times New Roman" w:eastAsia="Times New Roman" w:hAnsi="Times New Roman"/>
          <w:sz w:val="24"/>
          <w:szCs w:val="24"/>
          <w:rtl/>
        </w:rPr>
        <w:t xml:space="preserve">بسیاری از مأموران تحقیق ممکن است باور داشته باشند که تدابیر روانی بخشی از «هنر بازجویی» است و آموزش رسمی درباره‌ی خطر اعتراف کاذب ندیده باشند. آموزش مبتنی بر شواهد، از جمله مدل PEACE، و اصلاح فرهنگ سازمانی که موفقیت را با «تعداد اعتراف‌ها» می‌سنجد، ضروری است. شاخص‌های ارزیابی عملکرد باید بر «کیفیت تحقیق» و «صحت نتایج» تکیه کنند و نه فقط بر اعتراف.</w:t>
      </w:r>
    </w:p>
    <w:p>
      <w:pPr>
        <w:pStyle w:val="Heading2"/>
        <w:bidi/>
        <w:spacing w:after="120" w:before="240"/>
      </w:pPr>
      <w:r>
        <w:rPr>
          <w:rFonts w:ascii="Times New Roman" w:cs="Times New Roman" w:eastAsia="Times New Roman" w:hAnsi="Times New Roman"/>
          <w:b/>
          <w:bCs/>
          <w:sz w:val="25"/>
          <w:szCs w:val="25"/>
          <w:rtl/>
        </w:rPr>
        <w:t xml:space="preserve">۸.۳ دشواری اثبات و محدودیت منابع</w:t>
      </w:r>
    </w:p>
    <w:p>
      <w:pPr>
        <w:bidi/>
        <w:spacing w:after="120" w:line="360"/>
        <w:ind w:firstLine="360"/>
        <w:jc w:val="both"/>
      </w:pPr>
      <w:r>
        <w:rPr>
          <w:rFonts w:ascii="Times New Roman" w:cs="Times New Roman" w:eastAsia="Times New Roman" w:hAnsi="Times New Roman"/>
          <w:sz w:val="24"/>
          <w:szCs w:val="24"/>
          <w:rtl/>
        </w:rPr>
        <w:t xml:space="preserve">ضبط کامل بازجویی، آموزش مأموران و ارزیابی کارشناسی به منابع مالی و انسانی نیاز دارد. در جرایم امنیتی و مواردی که محرمانگی مطرح است، ممکن است محدودیت‌های اضافی وجود داشته باشد. با این حال، هزینه‌ی خطای قضایی و اثر آن بر اعتماد عمومی، از هزینه‌ی این اصلاحات بیشتر است. تجربه‌ی بسیاری از کشورها نشان داده است که ضبط بازجویی نه تنها از متهم، بلکه از مأموران نیز در برابر ادعاهای نادرست حمایت می‌کند.</w:t>
      </w:r>
    </w:p>
    <w:p>
      <w:pPr>
        <w:pStyle w:val="Heading2"/>
        <w:bidi/>
        <w:spacing w:after="120" w:before="240"/>
      </w:pPr>
      <w:r>
        <w:rPr>
          <w:rFonts w:ascii="Times New Roman" w:cs="Times New Roman" w:eastAsia="Times New Roman" w:hAnsi="Times New Roman"/>
          <w:b/>
          <w:bCs/>
          <w:sz w:val="25"/>
          <w:szCs w:val="25"/>
          <w:rtl/>
        </w:rPr>
        <w:t xml:space="preserve">۸.۴ تعادل میان کارایی و حقوق</w:t>
      </w:r>
    </w:p>
    <w:p>
      <w:pPr>
        <w:bidi/>
        <w:spacing w:after="120" w:line="360"/>
        <w:ind w:firstLine="360"/>
        <w:jc w:val="both"/>
      </w:pPr>
      <w:r>
        <w:rPr>
          <w:rFonts w:ascii="Times New Roman" w:cs="Times New Roman" w:eastAsia="Times New Roman" w:hAnsi="Times New Roman"/>
          <w:sz w:val="24"/>
          <w:szCs w:val="24"/>
          <w:rtl/>
        </w:rPr>
        <w:t xml:space="preserve">یک نگرانی مشروع این است که محدودکردن تدابیر بازجویی، کشف جرم را دشوار کند. پاسخ این است که پژوهش‌ها نشان می‌دهند روش‌های اطلاع‌جویانه، اعتراف‌های صادقانه را کاهش نمی‌دهند و حتی ممکن است افزایش دهند (میسنر و همکاران، ۲۰۱۴). از این منظر، اصلاح روش‌ها نه تضعیف تحقیق بلکه ارتقای کیفیت آن است. البته در موارد خاص، مانند ربودن و تهدید فوری جان انسان‌ها، دشواری‌های اخلاقی و حقوقی ویژه‌ای (چنان‌که در Gäfgen دیده می‌شود) پدید می‌آید و قانون‌گذار باید با ضوابط روشن و استثناهای محدود با آنها مواجه شود، بی‌آنکه ممنوعیت شکنجه نقض شود.</w:t>
      </w:r>
    </w:p>
    <w:p>
      <w:pPr>
        <w:pStyle w:val="Heading2"/>
        <w:bidi/>
        <w:spacing w:after="120" w:before="240"/>
      </w:pPr>
      <w:r>
        <w:rPr>
          <w:rFonts w:ascii="Times New Roman" w:cs="Times New Roman" w:eastAsia="Times New Roman" w:hAnsi="Times New Roman"/>
          <w:b/>
          <w:bCs/>
          <w:sz w:val="25"/>
          <w:szCs w:val="25"/>
          <w:rtl/>
        </w:rPr>
        <w:t xml:space="preserve">۸.۵ ملاحظات اخلاقی درباره‌ی فریب</w:t>
      </w:r>
    </w:p>
    <w:p>
      <w:pPr>
        <w:bidi/>
        <w:spacing w:after="120" w:line="360"/>
        <w:ind w:firstLine="360"/>
        <w:jc w:val="both"/>
      </w:pPr>
      <w:r>
        <w:rPr>
          <w:rFonts w:ascii="Times New Roman" w:cs="Times New Roman" w:eastAsia="Times New Roman" w:hAnsi="Times New Roman"/>
          <w:sz w:val="24"/>
          <w:szCs w:val="24"/>
          <w:rtl/>
        </w:rPr>
        <w:t xml:space="preserve">اسکولنیک و لئو (۱۹۹۲) استدلال می‌کنند که فریب در بازجویی حتی اگر قانونی باشد، از نظر اخلاقی محل پرسش است، زیرا اعتماد عمومی به دستگاه عدالت را تضعیف می‌کند و به‌ویژه افراد آسیب‌پذیر را هدف می‌گیرد. در سنت اخلاقی اسلامی نیز «غش» و «خدعه» با اصل صدق و عدالت ناسازگار است. البته فقها در جهاد و دفاع، تدبیر و «الحرب خدعة» را مجاز دانسته‌اند، اما این استثنا مربوط به رویارویی با دشمن محارب است و نمی‌توان آن را به رابطه‌ی دولت با متهمی که اصل برائت درباره‌ی او جاری است تعمیم داد. این تمایز اخلاقی و فقهی از دلایل مهم محدودکردن فریب در بازجویی است.</w:t>
      </w:r>
    </w:p>
    <w:p>
      <w:pPr>
        <w:pStyle w:val="Heading1"/>
        <w:bidi/>
        <w:spacing w:after="160" w:before="360"/>
      </w:pPr>
      <w:r>
        <w:rPr>
          <w:rFonts w:ascii="Times New Roman" w:cs="Times New Roman" w:eastAsia="Times New Roman" w:hAnsi="Times New Roman"/>
          <w:b/>
          <w:bCs/>
          <w:sz w:val="28"/>
          <w:szCs w:val="28"/>
          <w:rtl/>
        </w:rPr>
        <w:t xml:space="preserve">۹. راهبردها و پیشنهادها</w:t>
      </w:r>
    </w:p>
    <w:p>
      <w:pPr>
        <w:bidi/>
        <w:spacing w:after="120" w:line="360"/>
        <w:ind w:firstLine="360"/>
        <w:jc w:val="both"/>
      </w:pPr>
      <w:r>
        <w:rPr>
          <w:rFonts w:ascii="Times New Roman" w:cs="Times New Roman" w:eastAsia="Times New Roman" w:hAnsi="Times New Roman"/>
          <w:sz w:val="24"/>
          <w:szCs w:val="24"/>
          <w:rtl/>
        </w:rPr>
        <w:t xml:space="preserve">بر پایه‌ی تحلیل‌های پیش‌گفته، پیشنهادها در چهار سطح قانونی، اجرایی، آموزشی و پژوهشی ارائه می‌شود. جدول ۶ خلاصه‌ی آن‌ها را نشان می‌دهد.</w:t>
      </w:r>
    </w:p>
    <w:p>
      <w:pPr>
        <w:keepNext/>
        <w:bidi/>
        <w:spacing w:after="80" w:before="160"/>
        <w:jc w:val="center"/>
      </w:pPr>
      <w:r>
        <w:rPr>
          <w:rFonts w:ascii="Times New Roman" w:cs="Times New Roman" w:eastAsia="Times New Roman" w:hAnsi="Times New Roman"/>
          <w:b/>
          <w:bCs/>
          <w:sz w:val="22"/>
          <w:szCs w:val="22"/>
          <w:rtl/>
        </w:rPr>
        <w:t xml:space="preserve">جدول ۶. خلاصه‌ی پیشنهادها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سطح</w:t>
            </w:r>
          </w:p>
        </w:tc>
        <w:tc>
          <w:tcPr>
            <w:tcW w:type="dxa" w:w="4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پیشنهاد</w:t>
            </w:r>
          </w:p>
        </w:tc>
        <w:tc>
          <w:tcPr>
            <w:tcW w:type="dxa" w:w="33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هدف</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قانونی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تعریف قانونی روش‌های ممنوع (اکراه، فریب مؤثر، وعده‌ی خلاف قانون)؛ تصریح به بطلان اقرار ناشی از آنها؛ تعیین بار اثبات بر دستگاه تحقیق پس از ادعای موجه</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رفع ابهام و تقویت ضمانت اجرا</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قانونی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الزام به ضبط صوتی و تصویری کامل بازجویی؛ حضور وکیل از نخستین مرحله‌ی بازجویی؛ محدودکردن استثناها</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شفافیت و حق دفاع</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اجرایی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نظارت مستقل بر بازجویی‌ها؛ سازوکار شکایت و بازرسی؛ پاسخ‌گویی انضباطی و کیفری مأموران متخلف</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پیشگیری و پاسخ‌گویی</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آموزشی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آموزش مبتنی بر شواهد؛ بازجویی اطلاع‌جویانه (PEACE)؛ آگاهی از اعتراف کاذب و آسیب‌پذیری‌ها</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ارتقای مهارت و تغییر فرهنگ</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قضایی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راهنمای ارزیابی اعتبار اقرار؛ ارجاع به کارشناس روان‌شناسی؛ لزوم تأیید مستقل اقرار در موارد مشکوک و جرایم سنگین</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یکنواختی و دقت رسیدگی</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پژوهشی</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مطالعات میدانی و تحلیل پرونده‌های منتشرشده؛ ارزیابی آثار سیاست‌ها</w:t>
            </w:r>
          </w:p>
        </w:tc>
        <w:tc>
          <w:tcPr>
            <w:tcW w:type="dxa" w:w="3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اتکا بر داده‌ی بومی</w:t>
            </w:r>
          </w:p>
        </w:tc>
      </w:tr>
    </w:tbl>
    <w:p>
      <w:pPr>
        <w:bidi/>
        <w:spacing w:after="160"/>
      </w:pPr>
      <w:r>
        <w:rPr>
          <w:rFonts w:ascii="Times New Roman" w:cs="Times New Roman" w:eastAsia="Times New Roman" w:hAnsi="Times New Roman"/>
          <w:i/>
          <w:iCs/>
          <w:sz w:val="20"/>
          <w:szCs w:val="20"/>
          <w:rtl/>
        </w:rPr>
        <w:t xml:space="preserve">منبع: تحلیل نویسنده</w:t>
      </w:r>
    </w:p>
    <w:p>
      <w:pPr>
        <w:pStyle w:val="Heading2"/>
        <w:bidi/>
        <w:spacing w:after="120" w:before="240"/>
      </w:pPr>
      <w:r>
        <w:rPr>
          <w:rFonts w:ascii="Times New Roman" w:cs="Times New Roman" w:eastAsia="Times New Roman" w:hAnsi="Times New Roman"/>
          <w:b/>
          <w:bCs/>
          <w:sz w:val="25"/>
          <w:szCs w:val="25"/>
          <w:rtl/>
        </w:rPr>
        <w:t xml:space="preserve">۹.۱ پیشنهادهای قانونی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تدوین ماده‌ی صریح در آیین دادرسی کیفری که «هرگونه اجبار، تهدید، فریب مؤثر، وعده‌ی خلاف واقع و فشار روانی ناروا» را در تحقیق از متهم ممنوع کند و اقرار ناشی از آن را فاقد اعتبار بداند؛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تصریح بر اصل پذیرش‌نشدن ادله‌ی تبعی ناشی از روش‌های ممنوع، با استثنای کشف مستقل؛</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پیش‌بینی الزام قانونی ضبط صوتی و تصویری کامل بازجویی‌ها و ضمانت اجرای عدم رعایت آن (مانند کاهش اعتبار اقرار یا لزوم ادله‌ی تأییدی)؛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تعیین بار اثبات رعایت موازین بر عهده‌ی دستگاه تحقیق پس از طرح ادعای موجه؛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گسترش دسترسی به وکیل در مرحله‌ی تحقیقات و محدودکردن استثناها به موارد ضروری با نظارت قضایی؛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الزام به تأیید مستقل اقرار در جرایم سنگین (حدود، قصاص و جرایم مستوجب مجازات‌های شدید).</w:t>
      </w:r>
    </w:p>
    <w:p>
      <w:pPr>
        <w:pStyle w:val="Heading2"/>
        <w:bidi/>
        <w:spacing w:after="120" w:before="240"/>
      </w:pPr>
      <w:r>
        <w:rPr>
          <w:rFonts w:ascii="Times New Roman" w:cs="Times New Roman" w:eastAsia="Times New Roman" w:hAnsi="Times New Roman"/>
          <w:b/>
          <w:bCs/>
          <w:sz w:val="25"/>
          <w:szCs w:val="25"/>
          <w:rtl/>
        </w:rPr>
        <w:t xml:space="preserve">۹.۲ پیشنهادهای اجرایی و آموزشی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تدوین دستورالعمل ملی بازجویی بر پایه‌ی مدل اطلاع‌جویانه و اصول مندز؛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آموزش مستمر مأموران درباره‌ی روان‌شناسی اعتراف، تلقین‌پذیری و آسیب‌پذیری گروه‌های خاص (نوجوانان، افراد دارای ناتوانی ذهنی)؛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اصلاح شاخص‌های ارزیابی عملکرد از «تعداد اعتراف» به «کیفیت و صحت تحقیق»؛</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ایجاد سازوکار نظارت مستقل و قابل‌دسترس برای رسیدگی به شکایت از رفتار مأموران؛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بهره‌گیری از ادله‌ی علمی و فنی برای کاهش وابستگی به اعتراف.</w:t>
      </w:r>
    </w:p>
    <w:p>
      <w:pPr>
        <w:pStyle w:val="Heading2"/>
        <w:bidi/>
        <w:spacing w:after="120" w:before="240"/>
      </w:pPr>
      <w:r>
        <w:rPr>
          <w:rFonts w:ascii="Times New Roman" w:cs="Times New Roman" w:eastAsia="Times New Roman" w:hAnsi="Times New Roman"/>
          <w:b/>
          <w:bCs/>
          <w:sz w:val="25"/>
          <w:szCs w:val="25"/>
          <w:rtl/>
        </w:rPr>
        <w:t xml:space="preserve">۹.۳ پیشنهادهای قضایی و پژوهشی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تدوین راهنمای ارزیابی اقرار برای دادرسان بر اساس معیارهای جدول ۳ و آموزش قضات؛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ارجاع به کارشناس روان‌شناسی در موارد مشکوک؛</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انتشار آرای قضایی مرتبط با ادعای اقرار تحت فشار و تحلیل آنها؛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انجام پژوهش‌های میدانی و تجربی بومی درباره‌ی تجربه‌ی متهمان و مأموران، با رعایت اخلاق پژوهش.</w:t>
      </w:r>
    </w:p>
    <w:p>
      <w:pPr>
        <w:pStyle w:val="Heading1"/>
        <w:bidi/>
        <w:spacing w:after="160" w:before="360"/>
      </w:pPr>
      <w:r>
        <w:rPr>
          <w:rFonts w:ascii="Times New Roman" w:cs="Times New Roman" w:eastAsia="Times New Roman" w:hAnsi="Times New Roman"/>
          <w:b/>
          <w:bCs/>
          <w:sz w:val="28"/>
          <w:szCs w:val="28"/>
          <w:rtl/>
        </w:rPr>
        <w:t xml:space="preserve">۱۰. نتیجه‌گیری</w:t>
      </w:r>
    </w:p>
    <w:p>
      <w:pPr>
        <w:bidi/>
        <w:spacing w:after="120" w:line="360"/>
        <w:ind w:firstLine="360"/>
        <w:jc w:val="both"/>
      </w:pPr>
      <w:r>
        <w:rPr>
          <w:rFonts w:ascii="Times New Roman" w:cs="Times New Roman" w:eastAsia="Times New Roman" w:hAnsi="Times New Roman"/>
          <w:sz w:val="24"/>
          <w:szCs w:val="24"/>
          <w:rtl/>
        </w:rPr>
        <w:t xml:space="preserve">این مقاله نشان داد که اعتبار اقرار ناشی از فریب و عملیات روانی بازجویان، مسئله‌ای است که نه با پاسخ ساده‌ی «همه باطل» و نه با پاسخ «همه مجاز» حل می‌شود. برای پاسخ دقیق، لازم است میان اکراه، اغفال، تلقین و ترغیب مشروع تفکیک شود و شدت و نوع تدابیر با ویژگی‌های متهم و شرایط بازجویی سنجیده شود. یافته‌های روان‌شناسی حقوقی نشان می‌دهد که برخی روش‌ها، مانند ارائه‌ی دلیل جعلی، حداقل‌سازی و وعده‌ی ضمنی تخفیف، می‌توانند احتمال اعتراف کاذب را افزایش دهند و این خطر در افراد آسیب‌پذیر چشمگیرتر است. این شواهد، فرض سنتی «انسان عاقل علیه خود دروغ نمی‌گوید» را نقض نمی‌کنند اما نشان می‌دهند این فرض بدون توجه به شرایط حصول اقرار مطلق نیست.</w:t>
      </w:r>
    </w:p>
    <w:p>
      <w:pPr>
        <w:bidi/>
        <w:spacing w:after="120" w:line="360"/>
        <w:ind w:firstLine="360"/>
        <w:jc w:val="both"/>
      </w:pPr>
      <w:r>
        <w:rPr>
          <w:rFonts w:ascii="Times New Roman" w:cs="Times New Roman" w:eastAsia="Times New Roman" w:hAnsi="Times New Roman"/>
          <w:sz w:val="24"/>
          <w:szCs w:val="24"/>
          <w:rtl/>
        </w:rPr>
        <w:t xml:space="preserve">در حقوق ایران، اصل ۳۸ قانون اساسی و قواعد فقهی اختیار و درء مبنای نیرومندی برای نفی اعتبار اقرار اکراهی فراهم می‌کنند، اما قانون‌گذار درباره‌ی فریب غیرشکنجه‌آمیز و عملیات روانی ساکت یا مبهم است. این ابهام، همراه با فقدان ضمانت اجرای روشن، الزام عمومی ضبط بازجویی و قاعده‌ی بار اثبات، رسیدگی قضایی را به قضاوت موردی و غیرقابل‌پیش‌بینی وامی‌گذارد. حقوق تطبیقی، از PACE انگلستان تا آرای دادگاه اروپایی حقوق بشر و اصول مندز، الگوهایی برای پر کردن این خلأ ارائه می‌کند که با ساختار حقوق ایران قابل‌تطبیق است.</w:t>
      </w:r>
    </w:p>
    <w:p>
      <w:pPr>
        <w:bidi/>
        <w:spacing w:after="120" w:line="360"/>
        <w:ind w:firstLine="360"/>
        <w:jc w:val="both"/>
      </w:pPr>
      <w:r>
        <w:rPr>
          <w:rFonts w:ascii="Times New Roman" w:cs="Times New Roman" w:eastAsia="Times New Roman" w:hAnsi="Times New Roman"/>
          <w:sz w:val="24"/>
          <w:szCs w:val="24"/>
          <w:rtl/>
        </w:rPr>
        <w:t xml:space="preserve">مدل سه‌منطقه‌ای (مجاز، مشکوک، ممنوع) و معیارهای چندعاملی پیشنهادی این مقاله، چارچوبی عملی برای ارزیابی ارائه می‌دهد: اقرار حاصل از اکراه و فریب شدید باطل است؛ اقرار حاصل از تدابیر مشکوک، اعتبار کاهش‌یافته دارد و به تأیید مستقل نیاز دارد؛ و اقرار حاصل از تدابیر صادقانه معتبر است، هرچند همیشه در کنار سایر ادله سنجیده می‌شود. اجرای این مدل مستلزم اصلاحات قانونی، آموزش مأموران، ضبط بازجویی، حضور وکیل و استفاده‌ی مناسب از کارشناسی روان‌شناختی است.</w:t>
      </w:r>
    </w:p>
    <w:p>
      <w:pPr>
        <w:bidi/>
        <w:spacing w:after="120" w:line="360"/>
        <w:ind w:firstLine="360"/>
        <w:jc w:val="both"/>
      </w:pPr>
      <w:r>
        <w:rPr>
          <w:rFonts w:ascii="Times New Roman" w:cs="Times New Roman" w:eastAsia="Times New Roman" w:hAnsi="Times New Roman"/>
          <w:sz w:val="24"/>
          <w:szCs w:val="24"/>
          <w:rtl/>
        </w:rPr>
        <w:t xml:space="preserve">محدودیت‌های پژوهش: این مقاله نظری است و داده‌ی میدانی یا آماری درباره‌ی وضعیت بازجویی در ایران ارائه نمی‌کند. همچنین بخش‌هایی از آن بر پژوهش‌های غربی تکیه دارد که اعتبار تعمیم آنها به بافت ایران نیازمند بررسی است. شماره‌ی مواد قانونی و رویه‌ها باید با آخرین متن قانون و منابع رسمی تطبیق داده شود. پژوهش‌های آینده می‌توانند با تحلیل رویه‌ی قضایی منتشرشده، مصاحبه با مأموران، قضات و وکلا، و مطالعات تجربی در محیط‌های اخلاقی کنترل‌شده، تصویر دقیق‌تری از این پدیده فراهم کنند.</w:t>
      </w:r>
    </w:p>
    <w:p>
      <w:pPr>
        <w:pStyle w:val="Heading1"/>
        <w:bidi/>
        <w:spacing w:after="160" w:before="360"/>
      </w:pPr>
      <w:r>
        <w:rPr>
          <w:rFonts w:ascii="Times New Roman" w:cs="Times New Roman" w:eastAsia="Times New Roman" w:hAnsi="Times New Roman"/>
          <w:b/>
          <w:bCs/>
          <w:sz w:val="28"/>
          <w:szCs w:val="28"/>
          <w:rtl/>
        </w:rPr>
        <w:t xml:space="preserve">منابع</w:t>
      </w:r>
    </w:p>
    <w:p>
      <w:pPr>
        <w:bidi/>
        <w:spacing w:after="120" w:line="360"/>
        <w:jc w:val="both"/>
      </w:pPr>
      <w:r>
        <w:rPr>
          <w:rFonts w:ascii="Times New Roman" w:cs="Times New Roman" w:eastAsia="Times New Roman" w:hAnsi="Times New Roman"/>
          <w:b/>
          <w:bCs/>
          <w:sz w:val="24"/>
          <w:szCs w:val="24"/>
          <w:rtl/>
        </w:rPr>
        <w:t xml:space="preserve">الف) منابع فارسی و عربی</w:t>
      </w:r>
    </w:p>
    <w:p>
      <w:pPr>
        <w:bidi/>
        <w:spacing w:after="100" w:line="320"/>
        <w:ind w:left="720" w:hanging="720"/>
        <w:jc w:val="start"/>
      </w:pPr>
      <w:r>
        <w:rPr>
          <w:rFonts w:ascii="Times New Roman" w:cs="Times New Roman" w:eastAsia="Times New Roman" w:hAnsi="Times New Roman"/>
          <w:sz w:val="22"/>
          <w:szCs w:val="22"/>
          <w:rtl/>
        </w:rPr>
        <w:t xml:space="preserve">آخوندی، محمود (ویراست‌های مختلف). آیین دادرسی کیفری. تهران: وزارت فرهنگ و ارشاد اسلامی / سازمان چاپ و انتشارات.</w:t>
      </w:r>
    </w:p>
    <w:p>
      <w:pPr>
        <w:bidi/>
        <w:spacing w:after="100" w:line="320"/>
        <w:ind w:left="720" w:hanging="720"/>
        <w:jc w:val="start"/>
      </w:pPr>
      <w:r>
        <w:rPr>
          <w:rFonts w:ascii="Times New Roman" w:cs="Times New Roman" w:eastAsia="Times New Roman" w:hAnsi="Times New Roman"/>
          <w:sz w:val="22"/>
          <w:szCs w:val="22"/>
          <w:rtl/>
        </w:rPr>
        <w:t xml:space="preserve">آشوری، محمد (ویراست‌های مختلف). آیین دادرسی کیفری (ج ۱ و ۲). تهران: سمت.</w:t>
      </w:r>
    </w:p>
    <w:p>
      <w:pPr>
        <w:bidi/>
        <w:spacing w:after="100" w:line="320"/>
        <w:ind w:left="720" w:hanging="720"/>
        <w:jc w:val="start"/>
      </w:pPr>
      <w:r>
        <w:rPr>
          <w:rFonts w:ascii="Times New Roman" w:cs="Times New Roman" w:eastAsia="Times New Roman" w:hAnsi="Times New Roman"/>
          <w:sz w:val="22"/>
          <w:szCs w:val="22"/>
          <w:rtl/>
        </w:rPr>
        <w:t xml:space="preserve">خالقی، علی (ویراست‌های مختلف). آیین دادرسی کیفری. تهران: مؤسسه‌ی مطالعات و پژوهش‌های حقوقی شهر دانش.</w:t>
      </w:r>
    </w:p>
    <w:p>
      <w:pPr>
        <w:bidi/>
        <w:spacing w:after="100" w:line="320"/>
        <w:ind w:left="720" w:hanging="720"/>
        <w:jc w:val="start"/>
      </w:pPr>
      <w:r>
        <w:rPr>
          <w:rFonts w:ascii="Times New Roman" w:cs="Times New Roman" w:eastAsia="Times New Roman" w:hAnsi="Times New Roman"/>
          <w:sz w:val="22"/>
          <w:szCs w:val="22"/>
          <w:rtl/>
        </w:rPr>
        <w:t xml:space="preserve">صدوق، محمد بن علی (بی‌تا). الخصال. قم: جامعه‌ی مدرسین.</w:t>
      </w:r>
    </w:p>
    <w:p>
      <w:pPr>
        <w:bidi/>
        <w:spacing w:after="100" w:line="320"/>
        <w:ind w:left="720" w:hanging="720"/>
        <w:jc w:val="start"/>
      </w:pPr>
      <w:r>
        <w:rPr>
          <w:rFonts w:ascii="Times New Roman" w:cs="Times New Roman" w:eastAsia="Times New Roman" w:hAnsi="Times New Roman"/>
          <w:sz w:val="22"/>
          <w:szCs w:val="22"/>
          <w:rtl/>
        </w:rPr>
        <w:t xml:space="preserve">کاتوزیان، ناصر (ویراست‌های مختلف). اثبات و دلیل اثبات. تهران: نشر میزان.</w:t>
      </w:r>
    </w:p>
    <w:p>
      <w:pPr>
        <w:bidi/>
        <w:spacing w:after="100" w:line="320"/>
        <w:ind w:left="720" w:hanging="720"/>
        <w:jc w:val="start"/>
      </w:pPr>
      <w:r>
        <w:rPr>
          <w:rFonts w:ascii="Times New Roman" w:cs="Times New Roman" w:eastAsia="Times New Roman" w:hAnsi="Times New Roman"/>
          <w:sz w:val="22"/>
          <w:szCs w:val="22"/>
          <w:rtl/>
        </w:rPr>
        <w:t xml:space="preserve">محقق حلی، جعفر بن حسن (بی‌تا). شرایع الاسلام فی مسائل الحلال والحرام. قم: مؤسسه‌ی اسماعیلیان.</w:t>
      </w:r>
    </w:p>
    <w:p>
      <w:pPr>
        <w:bidi/>
        <w:spacing w:after="100" w:line="320"/>
        <w:ind w:left="720" w:hanging="720"/>
        <w:jc w:val="start"/>
      </w:pPr>
      <w:r>
        <w:rPr>
          <w:rFonts w:ascii="Times New Roman" w:cs="Times New Roman" w:eastAsia="Times New Roman" w:hAnsi="Times New Roman"/>
          <w:sz w:val="22"/>
          <w:szCs w:val="22"/>
          <w:rtl/>
        </w:rPr>
        <w:t xml:space="preserve">نجفی، محمدحسن (بی‌تا). جواهر الکلام فی شرح شرائع الاسلام. بیروت: دار إحیاء التراث العربی.</w:t>
      </w:r>
    </w:p>
    <w:p>
      <w:pPr>
        <w:bidi/>
        <w:spacing w:after="100" w:line="320"/>
        <w:ind w:left="720" w:hanging="720"/>
        <w:jc w:val="start"/>
      </w:pPr>
      <w:r>
        <w:rPr>
          <w:rFonts w:ascii="Times New Roman" w:cs="Times New Roman" w:eastAsia="Times New Roman" w:hAnsi="Times New Roman"/>
          <w:sz w:val="22"/>
          <w:szCs w:val="22"/>
          <w:rtl/>
        </w:rPr>
        <w:t xml:space="preserve">قانون اساسی جمهوری اسلامی ایران (اصل ۳۸).</w:t>
      </w:r>
    </w:p>
    <w:p>
      <w:pPr>
        <w:bidi/>
        <w:spacing w:after="100" w:line="320"/>
        <w:ind w:left="720" w:hanging="720"/>
        <w:jc w:val="start"/>
      </w:pPr>
      <w:r>
        <w:rPr>
          <w:rFonts w:ascii="Times New Roman" w:cs="Times New Roman" w:eastAsia="Times New Roman" w:hAnsi="Times New Roman"/>
          <w:sz w:val="22"/>
          <w:szCs w:val="22"/>
          <w:rtl/>
        </w:rPr>
        <w:t xml:space="preserve">قانون مجازات اسلامی (۱۳۹۲) و کتاب پنجم، تعزیرات (۱۳۷۵).</w:t>
      </w:r>
    </w:p>
    <w:p>
      <w:pPr>
        <w:bidi/>
        <w:spacing w:after="100" w:line="320"/>
        <w:ind w:left="720" w:hanging="720"/>
        <w:jc w:val="start"/>
      </w:pPr>
      <w:r>
        <w:rPr>
          <w:rFonts w:ascii="Times New Roman" w:cs="Times New Roman" w:eastAsia="Times New Roman" w:hAnsi="Times New Roman"/>
          <w:sz w:val="22"/>
          <w:szCs w:val="22"/>
          <w:rtl/>
        </w:rPr>
        <w:t xml:space="preserve">قانون آیین دادرسی کیفری (۱۳۹۲).</w:t>
      </w:r>
    </w:p>
    <w:p>
      <w:pPr>
        <w:bidi/>
        <w:spacing w:after="100" w:line="320"/>
        <w:ind w:left="720" w:hanging="720"/>
        <w:jc w:val="start"/>
      </w:pPr>
      <w:r>
        <w:rPr>
          <w:rFonts w:ascii="Times New Roman" w:cs="Times New Roman" w:eastAsia="Times New Roman" w:hAnsi="Times New Roman"/>
          <w:sz w:val="22"/>
          <w:szCs w:val="22"/>
          <w:rtl/>
        </w:rPr>
        <w:t xml:space="preserve">قانون احترام به آزادی‌های مشروع و حفظ حقوق شهروندی (۱۳۸۳).</w:t>
      </w:r>
    </w:p>
    <w:p>
      <w:pPr>
        <w:bidi/>
        <w:spacing w:after="120" w:line="360"/>
        <w:jc w:val="both"/>
      </w:pPr>
      <w:r>
        <w:rPr>
          <w:rFonts w:ascii="Times New Roman" w:cs="Times New Roman" w:eastAsia="Times New Roman" w:hAnsi="Times New Roman"/>
          <w:b/>
          <w:bCs/>
          <w:sz w:val="24"/>
          <w:szCs w:val="24"/>
          <w:rtl/>
        </w:rPr>
        <w:t xml:space="preserve">ب) منابع لاتین و اسناد بین‌المللی</w:t>
      </w:r>
    </w:p>
    <w:p>
      <w:pPr>
        <w:spacing w:after="100" w:line="320"/>
        <w:ind w:left="720" w:hanging="720"/>
        <w:jc w:val="both"/>
      </w:pPr>
      <w:r>
        <w:rPr>
          <w:rFonts w:ascii="Times New Roman" w:cs="Times New Roman" w:eastAsia="Times New Roman" w:hAnsi="Times New Roman"/>
          <w:sz w:val="22"/>
          <w:szCs w:val="22"/>
        </w:rPr>
        <w:t xml:space="preserve">Allan v. United Kingdom, no. 48539/99, ECHR 2002-IX.</w:t>
      </w:r>
    </w:p>
    <w:p>
      <w:pPr>
        <w:spacing w:after="100" w:line="320"/>
        <w:ind w:left="720" w:hanging="720"/>
        <w:jc w:val="both"/>
      </w:pPr>
      <w:r>
        <w:rPr>
          <w:rFonts w:ascii="Times New Roman" w:cs="Times New Roman" w:eastAsia="Times New Roman" w:hAnsi="Times New Roman"/>
          <w:sz w:val="22"/>
          <w:szCs w:val="22"/>
        </w:rPr>
        <w:t xml:space="preserve">Arizona v. Fulminante, 499 U.S. 279 (1991).</w:t>
      </w:r>
    </w:p>
    <w:p>
      <w:pPr>
        <w:spacing w:after="100" w:line="320"/>
        <w:ind w:left="720" w:hanging="720"/>
        <w:jc w:val="both"/>
      </w:pPr>
      <w:r>
        <w:rPr>
          <w:rFonts w:ascii="Times New Roman" w:cs="Times New Roman" w:eastAsia="Times New Roman" w:hAnsi="Times New Roman"/>
          <w:sz w:val="22"/>
          <w:szCs w:val="22"/>
        </w:rPr>
        <w:t xml:space="preserve">Brown v. Mississippi, 297 U.S. 278 (1936).</w:t>
      </w:r>
    </w:p>
    <w:p>
      <w:pPr>
        <w:spacing w:after="100" w:line="320"/>
        <w:ind w:left="720" w:hanging="720"/>
        <w:jc w:val="both"/>
      </w:pPr>
      <w:r>
        <w:rPr>
          <w:rFonts w:ascii="Times New Roman" w:cs="Times New Roman" w:eastAsia="Times New Roman" w:hAnsi="Times New Roman"/>
          <w:sz w:val="22"/>
          <w:szCs w:val="22"/>
        </w:rPr>
        <w:t xml:space="preserve">Colorado v. Connelly, 479 U.S. 157 (1986).</w:t>
      </w:r>
    </w:p>
    <w:p>
      <w:pPr>
        <w:spacing w:after="100" w:line="320"/>
        <w:ind w:left="720" w:hanging="720"/>
        <w:jc w:val="both"/>
      </w:pPr>
      <w:r>
        <w:rPr>
          <w:rFonts w:ascii="Times New Roman" w:cs="Times New Roman" w:eastAsia="Times New Roman" w:hAnsi="Times New Roman"/>
          <w:sz w:val="22"/>
          <w:szCs w:val="22"/>
        </w:rPr>
        <w:t xml:space="preserve">Drizin, S. A., &amp; Leo, R. A. (2004). The problem of false confessions in the post-DNA world. North Carolina Law Review, 82, 891–1007.</w:t>
      </w:r>
    </w:p>
    <w:p>
      <w:pPr>
        <w:spacing w:after="100" w:line="320"/>
        <w:ind w:left="720" w:hanging="720"/>
        <w:jc w:val="both"/>
      </w:pPr>
      <w:r>
        <w:rPr>
          <w:rFonts w:ascii="Times New Roman" w:cs="Times New Roman" w:eastAsia="Times New Roman" w:hAnsi="Times New Roman"/>
          <w:sz w:val="22"/>
          <w:szCs w:val="22"/>
        </w:rPr>
        <w:t xml:space="preserve">Fisher, H. (1977). Report of an inquiry into the circumstances leading to the trial of three persons on charges arising out of the death of Maxwell Confait (HC 90). Her Majesty's Stationery Office.</w:t>
      </w:r>
    </w:p>
    <w:p>
      <w:pPr>
        <w:spacing w:after="100" w:line="320"/>
        <w:ind w:left="720" w:hanging="720"/>
        <w:jc w:val="both"/>
      </w:pPr>
      <w:r>
        <w:rPr>
          <w:rFonts w:ascii="Times New Roman" w:cs="Times New Roman" w:eastAsia="Times New Roman" w:hAnsi="Times New Roman"/>
          <w:sz w:val="22"/>
          <w:szCs w:val="22"/>
        </w:rPr>
        <w:t xml:space="preserve">Frazier v. Cupp, 394 U.S. 731 (1969).</w:t>
      </w:r>
    </w:p>
    <w:p>
      <w:pPr>
        <w:spacing w:after="100" w:line="320"/>
        <w:ind w:left="720" w:hanging="720"/>
        <w:jc w:val="both"/>
      </w:pPr>
      <w:r>
        <w:rPr>
          <w:rFonts w:ascii="Times New Roman" w:cs="Times New Roman" w:eastAsia="Times New Roman" w:hAnsi="Times New Roman"/>
          <w:sz w:val="22"/>
          <w:szCs w:val="22"/>
        </w:rPr>
        <w:t xml:space="preserve">Gäfgen v. Germany [GC], no. 22978/05, ECHR 2010.</w:t>
      </w:r>
    </w:p>
    <w:p>
      <w:pPr>
        <w:spacing w:after="100" w:line="320"/>
        <w:ind w:left="720" w:hanging="720"/>
        <w:jc w:val="both"/>
      </w:pPr>
      <w:r>
        <w:rPr>
          <w:rFonts w:ascii="Times New Roman" w:cs="Times New Roman" w:eastAsia="Times New Roman" w:hAnsi="Times New Roman"/>
          <w:sz w:val="22"/>
          <w:szCs w:val="22"/>
        </w:rPr>
        <w:t xml:space="preserve">Garrett, B. L. (2011). Convicting the innocent: Where criminal prosecutions go wrong. Harvard University Press.</w:t>
      </w:r>
    </w:p>
    <w:p>
      <w:pPr>
        <w:spacing w:after="100" w:line="320"/>
        <w:ind w:left="720" w:hanging="720"/>
        <w:jc w:val="both"/>
      </w:pPr>
      <w:r>
        <w:rPr>
          <w:rFonts w:ascii="Times New Roman" w:cs="Times New Roman" w:eastAsia="Times New Roman" w:hAnsi="Times New Roman"/>
          <w:sz w:val="22"/>
          <w:szCs w:val="22"/>
        </w:rPr>
        <w:t xml:space="preserve">Gudjonsson, G. H. (2003). The psychology of interrogations and confessions: A handbook. Wiley.</w:t>
      </w:r>
    </w:p>
    <w:p>
      <w:pPr>
        <w:spacing w:after="100" w:line="320"/>
        <w:ind w:left="720" w:hanging="720"/>
        <w:jc w:val="both"/>
      </w:pPr>
      <w:r>
        <w:rPr>
          <w:rFonts w:ascii="Times New Roman" w:cs="Times New Roman" w:eastAsia="Times New Roman" w:hAnsi="Times New Roman"/>
          <w:sz w:val="22"/>
          <w:szCs w:val="22"/>
        </w:rPr>
        <w:t xml:space="preserve">Ibrahim and Others v. United Kingdom [GC], nos. 50541/08 and others, 13 September 2016.</w:t>
      </w:r>
    </w:p>
    <w:p>
      <w:pPr>
        <w:spacing w:after="100" w:line="320"/>
        <w:ind w:left="720" w:hanging="720"/>
        <w:jc w:val="both"/>
      </w:pPr>
      <w:r>
        <w:rPr>
          <w:rFonts w:ascii="Times New Roman" w:cs="Times New Roman" w:eastAsia="Times New Roman" w:hAnsi="Times New Roman"/>
          <w:sz w:val="22"/>
          <w:szCs w:val="22"/>
        </w:rPr>
        <w:t xml:space="preserve">Inbau, F. E., Reid, J. E., Buckley, J. P., &amp; Jayne, B. C. (2013). Criminal interrogation and confessions (5th ed.). Jones &amp; Bartlett Learning.</w:t>
      </w:r>
    </w:p>
    <w:p>
      <w:pPr>
        <w:spacing w:after="100" w:line="320"/>
        <w:ind w:left="720" w:hanging="720"/>
        <w:jc w:val="both"/>
      </w:pPr>
      <w:r>
        <w:rPr>
          <w:rFonts w:ascii="Times New Roman" w:cs="Times New Roman" w:eastAsia="Times New Roman" w:hAnsi="Times New Roman"/>
          <w:sz w:val="22"/>
          <w:szCs w:val="22"/>
        </w:rPr>
        <w:t xml:space="preserve">International Covenant on Civil and Political Rights (1966), arts. 7 and 14(3)(g).</w:t>
      </w:r>
    </w:p>
    <w:p>
      <w:pPr>
        <w:spacing w:after="100" w:line="320"/>
        <w:ind w:left="720" w:hanging="720"/>
        <w:jc w:val="both"/>
      </w:pPr>
      <w:r>
        <w:rPr>
          <w:rFonts w:ascii="Times New Roman" w:cs="Times New Roman" w:eastAsia="Times New Roman" w:hAnsi="Times New Roman"/>
          <w:sz w:val="22"/>
          <w:szCs w:val="22"/>
        </w:rPr>
        <w:t xml:space="preserve">Jalloh v. Germany [GC], no. 54810/00, ECHR 2006-IX.</w:t>
      </w:r>
    </w:p>
    <w:p>
      <w:pPr>
        <w:spacing w:after="100" w:line="320"/>
        <w:ind w:left="720" w:hanging="720"/>
        <w:jc w:val="both"/>
      </w:pPr>
      <w:r>
        <w:rPr>
          <w:rFonts w:ascii="Times New Roman" w:cs="Times New Roman" w:eastAsia="Times New Roman" w:hAnsi="Times New Roman"/>
          <w:sz w:val="22"/>
          <w:szCs w:val="22"/>
        </w:rPr>
        <w:t xml:space="preserve">Kassin, S. M. (1997). The psychology of confession evidence. American Psychologist, 52(3), 221–233.</w:t>
      </w:r>
    </w:p>
    <w:p>
      <w:pPr>
        <w:spacing w:after="100" w:line="320"/>
        <w:ind w:left="720" w:hanging="720"/>
        <w:jc w:val="both"/>
      </w:pPr>
      <w:r>
        <w:rPr>
          <w:rFonts w:ascii="Times New Roman" w:cs="Times New Roman" w:eastAsia="Times New Roman" w:hAnsi="Times New Roman"/>
          <w:sz w:val="22"/>
          <w:szCs w:val="22"/>
        </w:rPr>
        <w:t xml:space="preserve">Kassin, S. M. (2005). On the psychology of confessions: Does innocence put innocents at risk? American Psychologist, 60(3), 215–228.</w:t>
      </w:r>
    </w:p>
    <w:p>
      <w:pPr>
        <w:spacing w:after="100" w:line="320"/>
        <w:ind w:left="720" w:hanging="720"/>
        <w:jc w:val="both"/>
      </w:pPr>
      <w:r>
        <w:rPr>
          <w:rFonts w:ascii="Times New Roman" w:cs="Times New Roman" w:eastAsia="Times New Roman" w:hAnsi="Times New Roman"/>
          <w:sz w:val="22"/>
          <w:szCs w:val="22"/>
        </w:rPr>
        <w:t xml:space="preserve">Kassin, S. M., Drizin, S. A., Grisso, T., Gudjonsson, G. H., Leo, R. A., &amp; Redlich, A. D. (2010). Police-induced confessions: Risk factors and recommendations. Law and Human Behavior, 34(1), 3–38.</w:t>
      </w:r>
    </w:p>
    <w:p>
      <w:pPr>
        <w:spacing w:after="100" w:line="320"/>
        <w:ind w:left="720" w:hanging="720"/>
        <w:jc w:val="both"/>
      </w:pPr>
      <w:r>
        <w:rPr>
          <w:rFonts w:ascii="Times New Roman" w:cs="Times New Roman" w:eastAsia="Times New Roman" w:hAnsi="Times New Roman"/>
          <w:sz w:val="22"/>
          <w:szCs w:val="22"/>
        </w:rPr>
        <w:t xml:space="preserve">Kassin, S. M., &amp; Gudjonsson, G. H. (2004). The psychology of confessions: A review of the literature and issues. Psychological Science in the Public Interest, 5(2), 33–67.</w:t>
      </w:r>
    </w:p>
    <w:p>
      <w:pPr>
        <w:spacing w:after="100" w:line="320"/>
        <w:ind w:left="720" w:hanging="720"/>
        <w:jc w:val="both"/>
      </w:pPr>
      <w:r>
        <w:rPr>
          <w:rFonts w:ascii="Times New Roman" w:cs="Times New Roman" w:eastAsia="Times New Roman" w:hAnsi="Times New Roman"/>
          <w:sz w:val="22"/>
          <w:szCs w:val="22"/>
        </w:rPr>
        <w:t xml:space="preserve">Kassin, S. M., &amp; Kiechel, K. L. (1996). The social psychology of false confessions: Compliance, internalization, and confabulation. Psychological Science, 7(3), 125–128.</w:t>
      </w:r>
    </w:p>
    <w:p>
      <w:pPr>
        <w:spacing w:after="100" w:line="320"/>
        <w:ind w:left="720" w:hanging="720"/>
        <w:jc w:val="both"/>
      </w:pPr>
      <w:r>
        <w:rPr>
          <w:rFonts w:ascii="Times New Roman" w:cs="Times New Roman" w:eastAsia="Times New Roman" w:hAnsi="Times New Roman"/>
          <w:sz w:val="22"/>
          <w:szCs w:val="22"/>
        </w:rPr>
        <w:t xml:space="preserve">Kassin, S. M., Leo, R. A., Meissner, C. A., Richman, K. D., Colwell, L. H., Leach, A.-M., &amp; La Fon, D. (2007). Police interviewing and interrogation: A self-report survey of police practices and beliefs. Law and Human Behavior, 31(4), 381–400.</w:t>
      </w:r>
    </w:p>
    <w:p>
      <w:pPr>
        <w:spacing w:after="100" w:line="320"/>
        <w:ind w:left="720" w:hanging="720"/>
        <w:jc w:val="both"/>
      </w:pPr>
      <w:r>
        <w:rPr>
          <w:rFonts w:ascii="Times New Roman" w:cs="Times New Roman" w:eastAsia="Times New Roman" w:hAnsi="Times New Roman"/>
          <w:sz w:val="22"/>
          <w:szCs w:val="22"/>
        </w:rPr>
        <w:t xml:space="preserve">Kassin, S. M., Meissner, C. A., &amp; Norwick, R. J. (2005). "I'd know a false confession if I saw one": A comparative study of college students and police investigators. Law and Human Behavior, 29(2), 211–227.</w:t>
      </w:r>
    </w:p>
    <w:p>
      <w:pPr>
        <w:spacing w:after="100" w:line="320"/>
        <w:ind w:left="720" w:hanging="720"/>
        <w:jc w:val="both"/>
      </w:pPr>
      <w:r>
        <w:rPr>
          <w:rFonts w:ascii="Times New Roman" w:cs="Times New Roman" w:eastAsia="Times New Roman" w:hAnsi="Times New Roman"/>
          <w:sz w:val="22"/>
          <w:szCs w:val="22"/>
        </w:rPr>
        <w:t xml:space="preserve">Kassin, S. M., &amp; Wrightsman, L. S. (1985). Confession evidence. In S. M. Kassin &amp; L. S. Wrightsman (Eds.), The psychology of evidence and trial procedure (pp. 67–94). Sage.</w:t>
      </w:r>
    </w:p>
    <w:p>
      <w:pPr>
        <w:spacing w:after="100" w:line="320"/>
        <w:ind w:left="720" w:hanging="720"/>
        <w:jc w:val="both"/>
      </w:pPr>
      <w:r>
        <w:rPr>
          <w:rFonts w:ascii="Times New Roman" w:cs="Times New Roman" w:eastAsia="Times New Roman" w:hAnsi="Times New Roman"/>
          <w:sz w:val="22"/>
          <w:szCs w:val="22"/>
        </w:rPr>
        <w:t xml:space="preserve">Leo, R. A. (2008). Police interrogation and American justice. Harvard University Press.</w:t>
      </w:r>
    </w:p>
    <w:p>
      <w:pPr>
        <w:spacing w:after="100" w:line="320"/>
        <w:ind w:left="720" w:hanging="720"/>
        <w:jc w:val="both"/>
      </w:pPr>
      <w:r>
        <w:rPr>
          <w:rFonts w:ascii="Times New Roman" w:cs="Times New Roman" w:eastAsia="Times New Roman" w:hAnsi="Times New Roman"/>
          <w:sz w:val="22"/>
          <w:szCs w:val="22"/>
        </w:rPr>
        <w:t xml:space="preserve">Leo, R. A., &amp; Ofshe, R. J. (1998). The consequences of false confessions: Deprivations of liberty and miscarriages of justice in the age of psychological interrogation. Journal of Criminal Law and Criminology, 88(2), 429–496.</w:t>
      </w:r>
    </w:p>
    <w:p>
      <w:pPr>
        <w:spacing w:after="100" w:line="320"/>
        <w:ind w:left="720" w:hanging="720"/>
        <w:jc w:val="both"/>
      </w:pPr>
      <w:r>
        <w:rPr>
          <w:rFonts w:ascii="Times New Roman" w:cs="Times New Roman" w:eastAsia="Times New Roman" w:hAnsi="Times New Roman"/>
          <w:sz w:val="22"/>
          <w:szCs w:val="22"/>
        </w:rPr>
        <w:t xml:space="preserve">Meissner, C. A., Redlich, A. D., Michael, S. W., Evans, J. R., Camilletti, C. R., Bhatt, S., &amp; Brandon, S. (2014). Accusatorial and information-gathering interrogation methods and their effects on true and false confessions: A meta-analytic review. Journal of Experimental Criminology, 10(4), 459–486.</w:t>
      </w:r>
    </w:p>
    <w:p>
      <w:pPr>
        <w:spacing w:after="100" w:line="320"/>
        <w:ind w:left="720" w:hanging="720"/>
        <w:jc w:val="both"/>
      </w:pPr>
      <w:r>
        <w:rPr>
          <w:rFonts w:ascii="Times New Roman" w:cs="Times New Roman" w:eastAsia="Times New Roman" w:hAnsi="Times New Roman"/>
          <w:sz w:val="22"/>
          <w:szCs w:val="22"/>
        </w:rPr>
        <w:t xml:space="preserve">Meissner, C. A., &amp; Kassin, S. M. (2002). "He's guilty!": Investigator bias in judgments of truth and deception. Law and Human Behavior, 26(5), 469–480.</w:t>
      </w:r>
    </w:p>
    <w:p>
      <w:pPr>
        <w:spacing w:after="100" w:line="320"/>
        <w:ind w:left="720" w:hanging="720"/>
        <w:jc w:val="both"/>
      </w:pPr>
      <w:r>
        <w:rPr>
          <w:rFonts w:ascii="Times New Roman" w:cs="Times New Roman" w:eastAsia="Times New Roman" w:hAnsi="Times New Roman"/>
          <w:sz w:val="22"/>
          <w:szCs w:val="22"/>
        </w:rPr>
        <w:t xml:space="preserve">Méndez, J. E. (2016). Report of the Special Rapporteur on torture and other cruel, inhuman or degrading treatment or punishment (A/71/298). United Nations General Assembly.</w:t>
      </w:r>
    </w:p>
    <w:p>
      <w:pPr>
        <w:spacing w:after="100" w:line="320"/>
        <w:ind w:left="720" w:hanging="720"/>
        <w:jc w:val="both"/>
      </w:pPr>
      <w:r>
        <w:rPr>
          <w:rFonts w:ascii="Times New Roman" w:cs="Times New Roman" w:eastAsia="Times New Roman" w:hAnsi="Times New Roman"/>
          <w:sz w:val="22"/>
          <w:szCs w:val="22"/>
        </w:rPr>
        <w:t xml:space="preserve">Milne, R., &amp; Bull, R. (1999). Investigative interviewing: Psychology and practice. Wiley.</w:t>
      </w:r>
    </w:p>
    <w:p>
      <w:pPr>
        <w:spacing w:after="100" w:line="320"/>
        <w:ind w:left="720" w:hanging="720"/>
        <w:jc w:val="both"/>
      </w:pPr>
      <w:r>
        <w:rPr>
          <w:rFonts w:ascii="Times New Roman" w:cs="Times New Roman" w:eastAsia="Times New Roman" w:hAnsi="Times New Roman"/>
          <w:sz w:val="22"/>
          <w:szCs w:val="22"/>
        </w:rPr>
        <w:t xml:space="preserve">Miranda v. Arizona, 384 U.S. 436 (1966).</w:t>
      </w:r>
    </w:p>
    <w:p>
      <w:pPr>
        <w:spacing w:after="100" w:line="320"/>
        <w:ind w:left="720" w:hanging="720"/>
        <w:jc w:val="both"/>
      </w:pPr>
      <w:r>
        <w:rPr>
          <w:rFonts w:ascii="Times New Roman" w:cs="Times New Roman" w:eastAsia="Times New Roman" w:hAnsi="Times New Roman"/>
          <w:sz w:val="22"/>
          <w:szCs w:val="22"/>
        </w:rPr>
        <w:t xml:space="preserve">Police and Criminal Evidence Act 1984 (UK), ss. 76 and 78.</w:t>
      </w:r>
    </w:p>
    <w:p>
      <w:pPr>
        <w:spacing w:after="100" w:line="320"/>
        <w:ind w:left="720" w:hanging="720"/>
        <w:jc w:val="both"/>
      </w:pPr>
      <w:r>
        <w:rPr>
          <w:rFonts w:ascii="Times New Roman" w:cs="Times New Roman" w:eastAsia="Times New Roman" w:hAnsi="Times New Roman"/>
          <w:sz w:val="22"/>
          <w:szCs w:val="22"/>
        </w:rPr>
        <w:t xml:space="preserve">Principles on Effective Interviewing for Investigations and Information Gathering (2021) [Méndez Principles].</w:t>
      </w:r>
    </w:p>
    <w:p>
      <w:pPr>
        <w:spacing w:after="100" w:line="320"/>
        <w:ind w:left="720" w:hanging="720"/>
        <w:jc w:val="both"/>
      </w:pPr>
      <w:r>
        <w:rPr>
          <w:rFonts w:ascii="Times New Roman" w:cs="Times New Roman" w:eastAsia="Times New Roman" w:hAnsi="Times New Roman"/>
          <w:sz w:val="22"/>
          <w:szCs w:val="22"/>
        </w:rPr>
        <w:t xml:space="preserve">R v Mushtaq [2005] UKHL 25.</w:t>
      </w:r>
    </w:p>
    <w:p>
      <w:pPr>
        <w:spacing w:after="100" w:line="320"/>
        <w:ind w:left="720" w:hanging="720"/>
        <w:jc w:val="both"/>
      </w:pPr>
      <w:r>
        <w:rPr>
          <w:rFonts w:ascii="Times New Roman" w:cs="Times New Roman" w:eastAsia="Times New Roman" w:hAnsi="Times New Roman"/>
          <w:sz w:val="22"/>
          <w:szCs w:val="22"/>
        </w:rPr>
        <w:t xml:space="preserve">R v Oickle, 2000 SCC 38.</w:t>
      </w:r>
    </w:p>
    <w:p>
      <w:pPr>
        <w:spacing w:after="100" w:line="320"/>
        <w:ind w:left="720" w:hanging="720"/>
        <w:jc w:val="both"/>
      </w:pPr>
      <w:r>
        <w:rPr>
          <w:rFonts w:ascii="Times New Roman" w:cs="Times New Roman" w:eastAsia="Times New Roman" w:hAnsi="Times New Roman"/>
          <w:sz w:val="22"/>
          <w:szCs w:val="22"/>
        </w:rPr>
        <w:t xml:space="preserve">Redlich, A. D., &amp; Goodman, G. S. (2003). Taking responsibility for an act not committed: The influence of age and suggestibility. Law and Human Behavior, 27(2), 141–156.</w:t>
      </w:r>
    </w:p>
    <w:p>
      <w:pPr>
        <w:spacing w:after="100" w:line="320"/>
        <w:ind w:left="720" w:hanging="720"/>
        <w:jc w:val="both"/>
      </w:pPr>
      <w:r>
        <w:rPr>
          <w:rFonts w:ascii="Times New Roman" w:cs="Times New Roman" w:eastAsia="Times New Roman" w:hAnsi="Times New Roman"/>
          <w:sz w:val="22"/>
          <w:szCs w:val="22"/>
        </w:rPr>
        <w:t xml:space="preserve">Russano, M. B., Meissner, C. A., Narchet, F. M., &amp; Kassin, S. M. (2005). Investigating true and false confessions within a novel experimental paradigm. Psychological Science, 16(6), 481–486.</w:t>
      </w:r>
    </w:p>
    <w:p>
      <w:pPr>
        <w:spacing w:after="100" w:line="320"/>
        <w:ind w:left="720" w:hanging="720"/>
        <w:jc w:val="both"/>
      </w:pPr>
      <w:r>
        <w:rPr>
          <w:rFonts w:ascii="Times New Roman" w:cs="Times New Roman" w:eastAsia="Times New Roman" w:hAnsi="Times New Roman"/>
          <w:sz w:val="22"/>
          <w:szCs w:val="22"/>
        </w:rPr>
        <w:t xml:space="preserve">Salduz v. Turkey [GC], no. 36391/02, 27 November 2008.</w:t>
      </w:r>
    </w:p>
    <w:p>
      <w:pPr>
        <w:spacing w:after="100" w:line="320"/>
        <w:ind w:left="720" w:hanging="720"/>
        <w:jc w:val="both"/>
      </w:pPr>
      <w:r>
        <w:rPr>
          <w:rFonts w:ascii="Times New Roman" w:cs="Times New Roman" w:eastAsia="Times New Roman" w:hAnsi="Times New Roman"/>
          <w:sz w:val="22"/>
          <w:szCs w:val="22"/>
        </w:rPr>
        <w:t xml:space="preserve">Saunders v. United Kingdom, 17 December 1996, Reports 1996-VI.</w:t>
      </w:r>
    </w:p>
    <w:p>
      <w:pPr>
        <w:spacing w:after="100" w:line="320"/>
        <w:ind w:left="720" w:hanging="720"/>
        <w:jc w:val="both"/>
      </w:pPr>
      <w:r>
        <w:rPr>
          <w:rFonts w:ascii="Times New Roman" w:cs="Times New Roman" w:eastAsia="Times New Roman" w:hAnsi="Times New Roman"/>
          <w:sz w:val="22"/>
          <w:szCs w:val="22"/>
        </w:rPr>
        <w:t xml:space="preserve">Skolnick, J. H., &amp; Leo, R. A. (1992). The ethics of deceptive interrogation. Criminal Justice Ethics, 11(1), 3–12.</w:t>
      </w:r>
    </w:p>
    <w:p>
      <w:pPr>
        <w:spacing w:after="100" w:line="320"/>
        <w:ind w:left="720" w:hanging="720"/>
        <w:jc w:val="both"/>
      </w:pPr>
      <w:r>
        <w:rPr>
          <w:rFonts w:ascii="Times New Roman" w:cs="Times New Roman" w:eastAsia="Times New Roman" w:hAnsi="Times New Roman"/>
          <w:sz w:val="22"/>
          <w:szCs w:val="22"/>
        </w:rPr>
        <w:t xml:space="preserve">Slobogin, C. (1997). Deceit, pretext, and trickery: Investigative lies by the police. Oregon Law Review, 76, 775–815.</w:t>
      </w:r>
    </w:p>
    <w:p>
      <w:pPr>
        <w:spacing w:after="100" w:line="320"/>
        <w:ind w:left="720" w:hanging="720"/>
        <w:jc w:val="both"/>
      </w:pPr>
      <w:r>
        <w:rPr>
          <w:rFonts w:ascii="Times New Roman" w:cs="Times New Roman" w:eastAsia="Times New Roman" w:hAnsi="Times New Roman"/>
          <w:sz w:val="22"/>
          <w:szCs w:val="22"/>
        </w:rPr>
        <w:t xml:space="preserve">United Nations Convention against Torture and Other Cruel, Inhuman or Degrading Treatment or Punishment (1984), art. 15.</w:t>
      </w:r>
    </w:p>
    <w:p>
      <w:pPr>
        <w:pageBreakBefore/>
        <w:spacing w:after="200"/>
        <w:jc w:val="center"/>
      </w:pPr>
      <w:r>
        <w:rPr>
          <w:rFonts w:ascii="Times New Roman" w:cs="Times New Roman" w:eastAsia="Times New Roman" w:hAnsi="Times New Roman"/>
          <w:b/>
          <w:bCs/>
          <w:sz w:val="28"/>
          <w:szCs w:val="28"/>
        </w:rPr>
        <w:t xml:space="preserve">The Validity of Confessions Obtained through Deception and Psychological Operations by Interrogators in Criminal Investigations</w:t>
      </w:r>
    </w:p>
    <w:p>
      <w:pPr>
        <w:spacing w:after="100" w:line="320"/>
        <w:jc w:val="both"/>
      </w:pPr>
      <w:r>
        <w:rPr>
          <w:rFonts w:ascii="Times New Roman" w:cs="Times New Roman" w:eastAsia="Times New Roman" w:hAnsi="Times New Roman"/>
          <w:b/>
          <w:bCs/>
          <w:sz w:val="24"/>
          <w:szCs w:val="24"/>
        </w:rPr>
        <w:t xml:space="preserve">Abstract</w:t>
      </w:r>
    </w:p>
    <w:p>
      <w:pPr>
        <w:spacing w:after="100" w:line="320"/>
        <w:jc w:val="both"/>
      </w:pPr>
      <w:r>
        <w:rPr>
          <w:rFonts w:ascii="Times New Roman" w:cs="Times New Roman" w:eastAsia="Times New Roman" w:hAnsi="Times New Roman"/>
          <w:sz w:val="22"/>
          <w:szCs w:val="22"/>
        </w:rPr>
        <w:t xml:space="preserve">Confession has long been regarded as one of the strongest forms of evidence in criminal proceedings, which gives investigators a strong incentive to obtain it. This article asks to what extent a confession is valid when it has been produced not by torture or overt threats but by deception, false claims about evidence, implied promises of leniency, and sustained psychological pressure. Using a descriptive-analytical method based on library research, it draws on the psychology of confessions, Islamic jurisprudential sources, Iranian statutory law, comparative law (the United States, England and Wales, Canada and the European Court of Human Rights), and international instruments. The findings suggest that deception and psychological pressure are best analysed along a spectrum rather than as a single category; that empirical research shows certain tactics, such as presenting false evidence, minimization and implied leniency, raise the risk of false confessions, especially among vulnerable suspects; and that although Article 38 of the Iranian Constitution and the jurisprudential doctrines of free will and the avoidance of doubt provide a strong basis for rejecting coerced confessions, Iranian law offers no clear treatment of non-violent deception and psychological operations. The article proposes a three-zone model (permissible, doubtful and prohibited tactics) together with a multi-factor framework for assessing the reliability and admissibility of confessions, and recommends legislative, institutional, training and research reforms, including complete audiovisual recording of interrogations, early access to counsel, an explicit rule on the exclusion of confessions obtained by prohibited methods, a shifting of the burden of proof after a plausible claim of undue pressure, and a requirement of independent corroboration in serious cases.</w:t>
      </w:r>
    </w:p>
    <w:p>
      <w:pPr>
        <w:spacing w:after="100" w:line="320"/>
        <w:jc w:val="both"/>
      </w:pPr>
      <w:r>
        <w:rPr>
          <w:rFonts w:ascii="Times New Roman" w:cs="Times New Roman" w:eastAsia="Times New Roman" w:hAnsi="Times New Roman"/>
          <w:i/>
          <w:iCs/>
          <w:sz w:val="22"/>
          <w:szCs w:val="22"/>
        </w:rPr>
        <w:t xml:space="preserve">Keywords: confession, interrogation, deception, psychological operations, false confession, coercion, exclusionary rule, criminal evidence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اعتبار اعترافات ناشی از فریب و عملیات روانی بازجویان</dc:title>
  <dc:creator>Claude</dc:creator>
  <cp:lastModifiedBy>Un-named</cp:lastModifiedBy>
  <cp:revision>1</cp:revision>
  <dcterms:created xsi:type="dcterms:W3CDTF">2026-10-25T09:52:39.107Z</dcterms:created>
  <dcterms:modified xsi:type="dcterms:W3CDTF">2026-10-25T09:52:39.108Z</dcterms:modified>
</cp:coreProperties>
</file>

<file path=docProps/custom.xml><?xml version="1.0" encoding="utf-8"?>
<Properties xmlns="http://schemas.openxmlformats.org/officeDocument/2006/custom-properties" xmlns:vt="http://schemas.openxmlformats.org/officeDocument/2006/docPropsVTypes"/>
</file>