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A355D" w14:textId="0E02DC9E" w:rsidR="006B24D8" w:rsidRDefault="0022525F" w:rsidP="0022525F">
      <w:pPr>
        <w:pStyle w:val="Heading1"/>
        <w:bidi/>
        <w:spacing w:before="5600"/>
        <w:jc w:val="center"/>
        <w:rPr>
          <w:rFonts w:cs="B Titr"/>
          <w:sz w:val="40"/>
          <w:szCs w:val="40"/>
          <w:rtl w:val="0"/>
        </w:rPr>
      </w:pPr>
      <w:r>
        <w:rPr>
          <w:rFonts w:cs="B Titr"/>
          <w:sz w:val="40"/>
          <w:szCs w:val="40"/>
        </w:rPr>
        <w:t>فصل اول: کلیات پژوهش</w:t>
      </w:r>
    </w:p>
    <w:p w14:paraId="1ED65113" w14:textId="77777777" w:rsidR="0022525F" w:rsidRDefault="0022525F" w:rsidP="0022525F">
      <w:pPr>
        <w:pStyle w:val="Heading1"/>
        <w:bidi/>
        <w:spacing w:before="5600"/>
        <w:rPr>
          <w:rFonts w:cs="B Titr"/>
          <w:sz w:val="40"/>
          <w:szCs w:val="40"/>
        </w:rPr>
      </w:pPr>
    </w:p>
    <w:p w14:paraId="3F3DE742" w14:textId="77777777" w:rsidR="006B24D8" w:rsidRDefault="006B24D8">
      <w:pPr>
        <w:bidi/>
        <w:jc w:val="both"/>
      </w:pPr>
    </w:p>
    <w:p>
      <w:pPr>
        <w:pStyle w:val="Heading2"/>
        <w:keepNext/>
        <w:bidi/>
        <w:spacing w:before="240" w:after="80"/>
        <w:rPr>
          <w:sz w:val="32"/>
          <w:szCs w:val="32"/>
        </w:rPr>
      </w:pPr>
      <w:r>
        <w:rPr>
          <w:sz w:val="32"/>
          <w:szCs w:val="32"/>
        </w:rPr>
        <w:t xml:space="preserve">مقدمه</w:t>
      </w:r>
    </w:p>
    <w:p w14:paraId="06EFC81C" w14:textId="77777777" w:rsidR="006B24D8" w:rsidRDefault="0022525F">
      <w:pPr>
        <w:bidi/>
        <w:spacing w:after="80"/>
        <w:ind w:firstLine="720"/>
        <w:jc w:val="both"/>
      </w:pPr>
      <w:r>
        <w:rPr>
          <w:rtl/>
        </w:rPr>
        <w:t xml:space="preserve">صنعت مواد غذایی یکی از ستون‌های اقتصاد کشور و بخش مهمی از اشتغال صنعتی است و ساختار آن بر بنگاه‌های کوچک و متوسط استوار است. در این میان، شرکت‌های تک‌محصولی که درآمدشان به یک محصول وابسته است، در برابر تغییرات بازار آسیب‌پذیرترند و امکان جبران افت فروش از </w:t>
      </w:r>
      <w:r>
        <w:rPr>
          <w:rtl/>
        </w:rPr>
        <w:t>محل سایر اقلام را ندارند. ادبیات داخلی، موانع فروش را بیشتر در سطح زنجیره تأمین مواد غذایی بررسی کرده و به این گروه ساختاری کمتر پرداخته است. این پژوهش با رویکردی اکتشافی و آمیخته، و با استفاده از روش دلفی، از طریق پانل هفت نفره‌ای از خبرگان که به روش نمون</w:t>
      </w:r>
      <w:r>
        <w:rPr>
          <w:rtl/>
        </w:rPr>
        <w:t>ه‌گیری هدفمند قضاوتی انتخاب شدند، چالش‌های فروش این بنگاه‌ها را شناسایی و در دورهای متوالی رتبه‌بندی و به اجماع می‌رساند.</w:t>
      </w:r>
    </w:p>
    <w:p>
      <w:pPr>
        <w:bidi/>
        <w:spacing w:after="80"/>
        <w:ind w:firstLine="720"/>
        <w:jc w:val="both"/>
      </w:pPr>
      <w:r>
        <w:rPr>
          <w:rtl/>
        </w:rPr>
        <w:t xml:space="preserve">سرتیترهای این فصل به ترتیب عبارت‌اند از: بیان مسئله (۱-۱)، اهمیت و ضرورت پژوهش (۱-۲)، اهداف پژوهش (۱-۳)، پرسش‌های پژوهش (۱-۴)، قلمروهای پژوهش (۱-۵) و تعاریف مفهومی و عملیاتی (۱-۶).</w:t>
      </w:r>
    </w:p>
    <w:p>
      <w:pPr>
        <w:pStyle w:val="Heading2"/>
        <w:keepNext/>
        <w:bidi/>
        <w:spacing w:before="240" w:after="80"/>
        <w:rPr>
          <w:sz w:val="32"/>
          <w:szCs w:val="32"/>
        </w:rPr>
      </w:pPr>
      <w:r>
        <w:rPr>
          <w:sz w:val="32"/>
          <w:szCs w:val="32"/>
        </w:rPr>
        <w:t xml:space="preserve">۱-۱ بیان مسئله</w:t>
      </w:r>
    </w:p>
    <w:p w14:paraId="55CDEF4A" w14:textId="77777777" w:rsidR="006B24D8" w:rsidRDefault="0022525F">
      <w:pPr>
        <w:bidi/>
        <w:spacing w:after="80"/>
        <w:ind w:firstLine="720"/>
        <w:jc w:val="both"/>
      </w:pPr>
      <w:r>
        <w:rPr>
          <w:rtl/>
        </w:rPr>
        <w:t>در زیست‌بوم رقابتی امروزی، پایداری سازمان‌ها مستلزم مدیریت هم‌زمان عملکرد فروش و تنوع سبد محصولات است. با این حال، سازمان‌ها همواره با دو چالش بنیادین روبه‌رو هستند؛ نخست،</w:t>
      </w:r>
      <w:r>
        <w:rPr>
          <w:rtl/>
        </w:rPr>
        <w:t xml:space="preserve"> چالش‌های عملیاتی در حوزه فروش که ناشی از عدم تطابق محصول با نیازهای متغیر بازار و پیچیدگی‌های چرخه تصمیم‌گیری مشتری است </w:t>
      </w:r>
      <w:r>
        <w:rPr>
          <w:rtl/>
        </w:rPr>
        <w:t xml:space="preserve">(کاتلر و همکاران، ۲۰۲۲)</w:t>
      </w:r>
      <w:r>
        <w:rPr>
          <w:rStyle w:val="FootnoteReference"/>
        </w:rPr>
        <w:footnoteReference w:id="1"/>
      </w:r>
      <w:r>
        <w:rPr>
          <w:rtl/>
        </w:rPr>
        <w:t xml:space="preserve">. دوم، ریسک‌های استراتژیک ناشی از تمرکز بر مدل‌های تک‌محصولی </w:t>
      </w:r>
      <w:r>
        <w:rPr>
          <w:rtl/>
        </w:rPr>
        <w:t xml:space="preserve">که سازمان را در برابر نوسانات محیطی آسیب‌پذیر می‌سازد، زیرا تنوع محصولی ریسک بنگاه را کاهش می‌دهد (مامن و همکاران، ۲۰۲۱)</w:t>
      </w:r>
      <w:r>
        <w:rPr>
          <w:rStyle w:val="FootnoteReference"/>
        </w:rPr>
        <w:footnoteReference w:id="2"/>
      </w:r>
      <w:r>
        <w:rPr>
          <w:rtl/>
        </w:rPr>
        <w:t>.</w:t>
      </w:r>
    </w:p>
    <w:p w14:paraId="55578468" w14:textId="77777777" w:rsidR="006B24D8" w:rsidRDefault="0022525F">
      <w:pPr>
        <w:bidi/>
        <w:spacing w:after="80"/>
        <w:ind w:firstLine="720"/>
        <w:jc w:val="both"/>
      </w:pPr>
      <w:r>
        <w:rPr>
          <w:rtl/>
        </w:rPr>
        <w:t xml:space="preserve">این ریسک ریشه‌ای ساختاری دارد </w:t>
      </w:r>
      <w:r>
        <w:rPr>
          <w:rtl/>
        </w:rPr>
        <w:t xml:space="preserve">و در بنگاه‌های تک‌محصولی، که از اثر کاهنده تنوع محصولی بر ریسک بی‌بهره‌اند، نمود می‌یابد (مامن و همکاران، ۲۰۲۱)</w:t>
      </w:r>
      <w:r>
        <w:rPr>
          <w:rStyle w:val="FootnoteReference"/>
        </w:rPr>
        <w:footnoteReference w:id="3"/>
      </w:r>
      <w:r>
        <w:rPr>
          <w:rtl/>
        </w:rPr>
        <w:t>.</w:t>
      </w:r>
    </w:p>
    <w:p w14:paraId="484E4EBA" w14:textId="77777777" w:rsidR="006B24D8" w:rsidRDefault="0022525F">
      <w:pPr>
        <w:bidi/>
        <w:spacing w:after="80"/>
        <w:ind w:firstLine="720"/>
        <w:jc w:val="both"/>
      </w:pPr>
      <w:r>
        <w:rPr>
          <w:rtl/>
        </w:rPr>
        <w:t>شرکت‌های تک‌محصولی، در هر صنعتی، وضعیتی خاص دارند. این بنگاه‌ها با تکیه بر یک محصول اصلی، تمام فعالیت‌های</w:t>
      </w:r>
      <w:r>
        <w:rPr>
          <w:rtl/>
        </w:rPr>
        <w:t xml:space="preserve"> تولیدی، مالی، بازاریابی و فروش خود را سامان داده‌اند. این تمرکز از یک سو مزایایی دارد؛ </w:t>
      </w:r>
      <w:r>
        <w:rPr>
          <w:rtl/>
        </w:rPr>
        <w:t>تخصص عمیق در تولید، شناخت دقیق بازار هدف و بهینه‌سازی فرایندها. اما از سوی دیگر، آسیب‌پذیری ساختاری به همراه می‌آورد که در بنگاه‌های چندمحصولی وجود ندارد.</w:t>
      </w:r>
    </w:p>
    <w:p w14:paraId="7F2F001F" w14:textId="77777777" w:rsidR="006B24D8" w:rsidRDefault="0022525F">
      <w:pPr>
        <w:bidi/>
        <w:spacing w:after="80"/>
        <w:ind w:firstLine="720"/>
        <w:jc w:val="both"/>
      </w:pPr>
      <w:r>
        <w:rPr>
          <w:rtl/>
        </w:rPr>
        <w:t>برای فهم دقیق</w:t>
      </w:r>
      <w:r>
        <w:rPr>
          <w:rtl/>
        </w:rPr>
        <w:t xml:space="preserve"> مسئله، باید میان سه سطح تفکیک قائل شد. در سطح ساختار، آنچه بنگاه تک‌محصولی را آسیب‌پذیر می‌کند، نبود سازوکار جبران درونی است. در بنگاه چندمحصولی، افت فروش یک قلم می‌تواند با رشد قلم دیگر خنثی شود؛ چنین سازوکاری در بنگاه تک‌محصولی وجود ندارد و هر تکانه، بد</w:t>
      </w:r>
      <w:r>
        <w:rPr>
          <w:rtl/>
        </w:rPr>
        <w:t>ون واسطه به کل سازمان منتقل می‌شود. مامن و همکاران (۲۰۲۱) نشان داده‌اند که تنوع محصولی ریسک بنگاه را کاهش می‌دهد، در حالی که تنوع جغرافیایی آن را افزایش می‌دهد</w:t>
      </w:r>
      <w:r>
        <w:rPr>
          <w:rStyle w:val="FootnoteReference"/>
        </w:rPr>
        <w:footnoteReference w:id="4"/>
      </w:r>
      <w:r>
        <w:rPr>
          <w:rtl/>
        </w:rPr>
        <w:t>.</w:t>
      </w:r>
    </w:p>
    <w:p w14:paraId="1C62C9C6" w14:textId="77777777" w:rsidR="006B24D8" w:rsidRDefault="0022525F">
      <w:pPr>
        <w:bidi/>
        <w:spacing w:after="80"/>
        <w:ind w:firstLine="720"/>
        <w:jc w:val="both"/>
      </w:pPr>
      <w:r>
        <w:rPr>
          <w:rtl/>
        </w:rPr>
        <w:t>در صنعت مواد غذایی، این آسیب‌پذیری شدت بیشتری می‌یابد. وابستگی مستقیم به محصولات کشاورزی و حس</w:t>
      </w:r>
      <w:r>
        <w:rPr>
          <w:rtl/>
        </w:rPr>
        <w:t xml:space="preserve">اسیت به شرایط اقلیمی و فصلی، ماندگاری محدود بسیاری از محصولات، الزامات بهداشتی و نظارتی سخت‌گیرانه، و حساسیت بالای مصرف‌کننده نسبت به قیمت و کیفیت، ویژگی‌هایی هستند که این صنعت را از سایر صنایع متمایز می‌کنند </w:t>
      </w:r>
      <w:r>
        <w:rPr>
          <w:rtl/>
        </w:rPr>
        <w:t xml:space="preserve">(برای الزامات نظارتی و ایمنی نک: مانگلا و همکاران، ۲۰۲۱)</w:t>
      </w:r>
      <w:r>
        <w:rPr>
          <w:rStyle w:val="FootnoteReference"/>
        </w:rPr>
        <w:footnoteReference w:id="5"/>
      </w:r>
      <w:r>
        <w:rPr>
          <w:rtl/>
        </w:rPr>
        <w:t>. از این رو، آسیب‌پذی</w:t>
      </w:r>
      <w:r>
        <w:rPr>
          <w:rtl/>
        </w:rPr>
        <w:t>ری ساختاری تک‌محصولی در این صنعت با فشارهای محیطی و عملیاتی ترکیب می‌شود و چالش فروش را پیچیده‌تر می‌کند.</w:t>
      </w:r>
    </w:p>
    <w:p w14:paraId="72F456ED" w14:textId="77777777" w:rsidR="006B24D8" w:rsidRDefault="0022525F">
      <w:pPr>
        <w:bidi/>
        <w:spacing w:after="80"/>
        <w:ind w:firstLine="720"/>
        <w:jc w:val="both"/>
      </w:pPr>
      <w:r>
        <w:rPr>
          <w:rtl/>
        </w:rPr>
        <w:t>در سطح محیط، بازار مواد غذایی ایران در سال‌های اخیر با مجموعه‌ای از فشارهای همزمان روبه‌رو بوده است: نوسان نرخ ارز و اثر آن بر بهای مواد اولیه و بسته‌</w:t>
      </w:r>
      <w:r>
        <w:rPr>
          <w:rtl/>
        </w:rPr>
        <w:t xml:space="preserve">بندی، محدودیت‌های مقطعی در تأمین و واردات، فشار بر قیمت‌گذاری، و کاهش قدرت خرید مصرف‌کننده. کریمی و همکاران (۱۴۰۳) در الگوی تحلیل اختلالات زنجیره تأمین مواد غذایی، </w:t>
      </w:r>
      <w:r>
        <w:rPr>
          <w:rtl/>
        </w:rPr>
        <w:t xml:space="preserve">اختلال‌ها (از جمله اختلال طبیعی و اقتصادی) را به تاب‌آوری این زنجیره و در نهایت به اعتماد و موقعیت بازاری آن مرتبط دانستند</w:t>
      </w:r>
      <w:r>
        <w:rPr>
          <w:rtl/>
        </w:rPr>
        <w:t xml:space="preserve">.</w:t>
      </w:r>
    </w:p>
    <w:p w14:paraId="22B7A4B5" w14:textId="77777777" w:rsidR="006B24D8" w:rsidRDefault="0022525F">
      <w:pPr>
        <w:bidi/>
        <w:spacing w:after="80"/>
        <w:ind w:firstLine="720"/>
        <w:jc w:val="both"/>
      </w:pPr>
      <w:r>
        <w:rPr>
          <w:rtl/>
        </w:rPr>
        <w:t>در سطح عمل</w:t>
      </w:r>
      <w:r>
        <w:rPr>
          <w:rtl/>
        </w:rPr>
        <w:t xml:space="preserve">یات، مسئله به شکل دیگری بروز می‌کند. اسکندری و همکاران (۱۴۰۴) در بررسی موانع حوزه فروش در زنجیره تأمین مواد غذایی ایران دریافتند که پیش‌بینی نادرست تقاضا و نبود اعتبار مالی از مهم‌ترین تهدیدهای فروش در این صنعت به شمار می‌روند. </w:t>
      </w:r>
      <w:r>
        <w:rPr>
          <w:rtl/>
        </w:rPr>
        <w:t xml:space="preserve">صفری و اسماعیل‌نژاد (۱۴۰۳) با روش بهترین-بدترین و تودیم فازی، موانع فروش محصولات سبز را، که با شکاف میان نگرش مثبت مصرف‌کننده و رفتار خرید واقعی او همراه است، اولویت‌بندی کرده‌اند</w:t>
      </w:r>
      <w:r>
        <w:rPr>
          <w:rtl/>
        </w:rPr>
        <w:t xml:space="preserve">. </w:t>
      </w:r>
      <w:r>
        <w:rPr>
          <w:rtl/>
        </w:rPr>
        <w:t xml:space="preserve">زین و همکاران (۲۰۲۴)</w:t>
      </w:r>
      <w:r>
        <w:rPr>
          <w:rStyle w:val="FootnoteReference"/>
        </w:rPr>
        <w:footnoteReference w:id="6"/>
      </w:r>
      <w:r>
        <w:rPr>
          <w:rtl/>
        </w:rPr>
        <w:t xml:space="preserve"> </w:t>
      </w:r>
      <w:r>
        <w:rPr>
          <w:rtl/>
        </w:rPr>
        <w:t xml:space="preserve">در مطالعه‌ای کیفی بر پنج بنگاه کوچک و متوسط غذایی و نوشیدنی مالزی، موانع و پیش‌برنده‌های اجرای مدیریت زنجیره تأمین سبز را بررسی کرده و کمبود دانش و ضعف اشتراک اطلاعات را از مهم‌ترین موانع گزارش کرده‌اند</w:t>
      </w:r>
      <w:r>
        <w:rPr>
          <w:rtl/>
        </w:rPr>
        <w:t xml:space="preserve">.</w:t>
      </w:r>
    </w:p>
    <w:p w14:paraId="145C9186" w14:textId="77777777" w:rsidR="006B24D8" w:rsidRDefault="0022525F">
      <w:pPr>
        <w:bidi/>
        <w:spacing w:after="80"/>
        <w:ind w:firstLine="720"/>
        <w:jc w:val="both"/>
      </w:pPr>
      <w:r>
        <w:rPr>
          <w:rtl/>
        </w:rPr>
        <w:t>نک</w:t>
      </w:r>
      <w:r>
        <w:rPr>
          <w:rtl/>
        </w:rPr>
        <w:t>ته کلیدی این است که این سه سطح مستقل از هم عمل نمی‌کنند. فشار محیطی، ضعف عملیاتی را آشکار می‌کند و ساختار متمرکز، هر دو را تشدید می‌نماید. این دو چالش زمانی با هم تلاقی می‌یابند که محدودیت‌های ساختاری مدل تک‌محصولی مانع از توانایی سازمان در پاسخگویی به چال</w:t>
      </w:r>
      <w:r>
        <w:rPr>
          <w:rtl/>
        </w:rPr>
        <w:t>ش‌های فروش شود. نتیجه، بن‌بستی استراتژیک است: سازمان نه قدرت بازاریابی برای محصولات فعلی را دارد و نه انعطاف‌پذیری لازم برای ورود به بازارهای جدید را. بنگاهی که هم‌زمان با نوسان تأمین، تغییر ذائقه مصرف‌کننده و ورود رقیب تازه روبه‌روست و تنها یک محصول دارد،</w:t>
      </w:r>
      <w:r>
        <w:rPr>
          <w:rtl/>
        </w:rPr>
        <w:t xml:space="preserve"> نه فرصت جبران دارد و نه فضای مانور. پیامد این بن‌بست، کاهش سهم بازار و افت نرخ رشد است؛ زیرا شرکت‌های تک‌محصولی در مواجهه با تغییرات بازار، فاقد ابزارهای بازاریابی متنوع برای جبران افت فروش محصول اصلی خود هستند. همین برهم‌کنش است که مسئله پژوهش حاضر را از</w:t>
      </w:r>
      <w:r>
        <w:rPr>
          <w:rtl/>
        </w:rPr>
        <w:t xml:space="preserve"> یک مسئله عمومی بازاریابی متمایز می‌کند.</w:t>
      </w:r>
    </w:p>
    <w:p>
      <w:pPr>
        <w:pStyle w:val="Heading2"/>
        <w:keepNext/>
        <w:bidi/>
        <w:spacing w:before="240" w:after="80"/>
        <w:rPr>
          <w:sz w:val="32"/>
          <w:szCs w:val="32"/>
        </w:rPr>
      </w:pPr>
      <w:r>
        <w:rPr>
          <w:sz w:val="32"/>
          <w:szCs w:val="32"/>
        </w:rPr>
        <w:t xml:space="preserve">۱-۲ اهمیت و ضرورت</w:t>
      </w:r>
    </w:p>
    <w:p w14:paraId="55805B8C" w14:textId="23586E30" w:rsidR="006B24D8" w:rsidRDefault="0022525F">
      <w:pPr>
        <w:bidi/>
        <w:spacing w:after="80"/>
        <w:ind w:firstLine="720"/>
        <w:jc w:val="both"/>
      </w:pPr>
      <w:r>
        <w:rPr>
          <w:rtl/>
        </w:rPr>
        <w:t xml:space="preserve">اهمیت پژوهش حاضر در تلاقی نیازهای علمی، مدیریتی و ساختاری صنعت مواد غذایی نهفته است. از منظر علمی، این مطالعه با تمرکز بر </w:t>
      </w:r>
      <w:r>
        <w:rPr>
          <w:rtl/>
        </w:rPr>
        <w:t>بنگاه‌های تک‌محصولی</w:t>
      </w:r>
      <w:r>
        <w:rPr>
          <w:rtl/>
        </w:rPr>
        <w:t xml:space="preserve"> به‌عنوان یک واحد تحلیل متمایز، شکاف موجود در ادبیات م</w:t>
      </w:r>
      <w:r>
        <w:rPr>
          <w:rtl/>
        </w:rPr>
        <w:t xml:space="preserve">دیریت فروش ایران را هدف قرار می‌دهد؛ چرا که این نوع بنگاه‌ها به‌دلیل ویژگی‌های ساختاری خاص، فراتر از مدل‌های عمومی مدیریت فروش قابل تحلیل هستند. برخلاف مطالعاتی که بر پایه </w:t>
      </w:r>
      <w:r>
        <w:rPr>
          <w:rtl/>
        </w:rPr>
        <w:t xml:space="preserve">مدل‌های کلی پیش‌ساخته</w:t>
      </w:r>
      <w:r>
        <w:rPr>
          <w:rtl/>
        </w:rPr>
        <w:t xml:space="preserve"> بنا شده‌اند، استخراج چالش‌ها از دل روایت‌های تجربی خبرگان، امکا</w:t>
      </w:r>
      <w:r>
        <w:rPr>
          <w:rtl/>
        </w:rPr>
        <w:t xml:space="preserve">ن شناسایی پدیده‌های نوظهور و دیده‌نشده‌ای را فراهم می‌آورد که در مدل‌های استاندارد لحاظ نشده‌اند. این رویکرد، در امتداد یافته‌هایی همچون پژوهش کنعانی (۱۳۹۴) که عوامل مؤثر بر بازاریابی و فروش محصول جدید در کسب‌وکارهای کوچک و متوسط حوزه زیست‌فناوری غذایی را </w:t>
      </w:r>
      <w:r>
        <w:rPr>
          <w:rtl/>
        </w:rPr>
        <w:t xml:space="preserve">اولویت‌بندی کرده است، </w:t>
      </w:r>
      <w:r>
        <w:rPr>
          <w:rtl/>
        </w:rPr>
        <w:t xml:space="preserve">به غنای دانش مدیریت فروش می‌افزاید. روش دلفی که این رویکرد بر آن استوار است، برای شناسایی و رتبه‌بندی مسائل مدیریتی به کار رفته است؛ اوکولی و پاولوفسکی (۲۰۰۴)</w:t>
      </w:r>
      <w:r>
        <w:rPr>
          <w:rStyle w:val="FootnoteReference"/>
        </w:rPr>
        <w:footnoteReference w:id="7"/>
      </w:r>
      <w:r>
        <w:rPr>
          <w:rtl/>
        </w:rPr>
        <w:t xml:space="preserve"> یادآور شدند که بسیاری از پژوهش‌های سامانه‌های اطلاعاتی، که این روش را به کار برده‌اند، فاقد روال نظام‌مند بوده‌اند؛ از این رو راهنمایی‌هایی برای انتخاب خبرگان و تصمیم‌های طراحی ارائه کرده‌اند</w:t>
      </w:r>
      <w:r>
        <w:rPr>
          <w:rtl/>
        </w:rPr>
        <w:t xml:space="preserve">.</w:t>
      </w:r>
    </w:p>
    <w:p w14:paraId="3844FA07" w14:textId="2CDBF911" w:rsidR="006B24D8" w:rsidRDefault="0022525F">
      <w:pPr>
        <w:bidi/>
        <w:spacing w:after="80"/>
        <w:ind w:firstLine="720"/>
        <w:jc w:val="both"/>
      </w:pPr>
      <w:r>
        <w:rPr>
          <w:rtl/>
        </w:rPr>
        <w:t>این ضرورت علمی، مستقیماً به نیازهای کاربردی مدیران این بنگاه‌ها پیوند می‌خورد. در محیط‌های تجاری با منابع محدود، مدیریت آگاهانه مستلزم آن است که چالش‌ها نه به‌صورت پراکنده، بلکه بر اساس اولویت و اثر</w:t>
      </w:r>
      <w:r>
        <w:rPr>
          <w:rtl/>
        </w:rPr>
        <w:t>گذاری شناسایی شوند. فهرست مرتب‌شده چالش‌ها در دو سطح گویه و مؤلفه، و تفکیک آن‌ها به درون‌سازمانی و برون‌سازمانی، ابزاری برای تخصیص آگاهانه منابع و انتخاب میان راهبرد اصلاح و راهبرد تاب‌آوری فراهم می‌کند، تا مدیران به‌جای مواجهه با مجموعه‌ای از مشکلات هم‌زم</w:t>
      </w:r>
      <w:r>
        <w:rPr>
          <w:rtl/>
        </w:rPr>
        <w:t xml:space="preserve">ان، بر </w:t>
      </w:r>
      <w:r>
        <w:rPr>
          <w:rtl/>
        </w:rPr>
        <w:t>گلوگاه‌های تعیین‌کننده</w:t>
      </w:r>
      <w:r>
        <w:t xml:space="preserve"> </w:t>
      </w:r>
      <w:r>
        <w:rPr>
          <w:rtl/>
        </w:rPr>
        <w:t>تمرکز کنند. این ضرورت در راستای مطالعاتی نظیر پژوهش محمدی و ثانی‌حیدری (۱۳۹۵) قرار می‌گیرد که در شهر مشهد عوامل مؤثر بر انتخاب نوع استراتژی بازاریابی محصولات صنایع غذایی را در مراحل رشد و معرفی محصول بررسی کرده است؛ موضوعی ک</w:t>
      </w:r>
      <w:r>
        <w:rPr>
          <w:rtl/>
        </w:rPr>
        <w:t>ه تناسب راهبرد بازاریابی با مرحله چرخه عمر محصول را در تصمیم‌ها مطرح می‌کند.</w:t>
      </w:r>
    </w:p>
    <w:p>
      <w:pPr>
        <w:bidi/>
        <w:spacing w:after="80"/>
        <w:ind w:firstLine="720"/>
        <w:jc w:val="both"/>
      </w:pPr>
      <w:r>
        <w:rPr>
          <w:rtl/>
        </w:rPr>
        <w:t xml:space="preserve">از منظر اقتصاد صنعتی نیز، تمرکز فروش بر یک محصول پیامد مشخصی دارد. برنارد و همکاران (۲۰۱۰)</w:t>
      </w:r>
      <w:r>
        <w:rPr>
          <w:rStyle w:val="FootnoteReference"/>
        </w:rPr>
        <w:footnoteReference w:id="8"/>
      </w:r>
      <w:r>
        <w:rPr>
          <w:rtl/>
        </w:rPr>
        <w:t xml:space="preserve"> نشان دادند که بنگاه‌های چندمحصولی به‌طور مداوم سبد محصولات خود را با افزودن و حذف اقلام تغییر می‌دهند؛ سازوکاری که بنگاه تک‌محصولی از آن بی‌بهره است. افزون بر این، گابیکس (۲۰۱۱)</w:t>
      </w:r>
      <w:r>
        <w:rPr>
          <w:rStyle w:val="FootnoteReference"/>
        </w:rPr>
        <w:footnoteReference w:id="9"/>
      </w:r>
      <w:r>
        <w:rPr>
          <w:rtl/>
        </w:rPr>
        <w:t xml:space="preserve"> نشان داده است که تکانه‌های خاص شماری از بنگاه‌های بزرگ می‌توانند بخشی از نوسان‌های کلان را توضیح دهند؛ از این منظر، آسیب‌پذیری بنگاه‌های متمرکز اهمیتی فراتر از سطح یک بنگاه دارد.</w:t>
      </w:r>
    </w:p>
    <w:p w14:paraId="4938B529" w14:textId="77777777" w:rsidR="006B24D8" w:rsidRDefault="0022525F">
      <w:pPr>
        <w:bidi/>
        <w:spacing w:after="80"/>
        <w:ind w:firstLine="720"/>
        <w:jc w:val="both"/>
      </w:pPr>
      <w:r>
        <w:rPr>
          <w:rtl/>
        </w:rPr>
        <w:t xml:space="preserve">در نهایت، اهمیت این پژوهش از ابعاد کلان نیز قابل چشم‌پوشی نیست؛ چرا که پایداری عملیاتی بنگاه‌های تک‌محصولی در صنعت مواد غذایی، مستقیماً با امنیت غذایی و ثبات زنجیره تأمین کشور گره خورده است. با توجه به نقش این بنگاه‌ها در اشتغال و زنجیره ارزش تولید، شناخت </w:t>
      </w:r>
      <w:r>
        <w:rPr>
          <w:rtl/>
        </w:rPr>
        <w:t>اولویت‌دار چالش‌های آن‌ها می‌تواند از آسیب‌های اقتصادی ناشی از شکست بنگاه‌های کوچک جلوگیری کند. همچنین، این شناخت زیربنای لازم را برای طراحی سیاست‌های حمایتی هدفمند فراهم می‌آورد؛ به‌گونه‌ای که مداخلات نهادهای حاکمیتی به‌جای صرف منابع در رفع مشکلات فرعی، ب</w:t>
      </w:r>
      <w:r>
        <w:rPr>
          <w:rtl/>
        </w:rPr>
        <w:t>ر پایداری ساختاری و اقتصادی این بنگاه‌ها متمرکز گردد. بر همین پایه، پژوهش حاضر اهداف زیر را دنبال می‌کند.</w:t>
      </w:r>
    </w:p>
    <w:p>
      <w:pPr>
        <w:pStyle w:val="Heading2"/>
        <w:keepNext/>
        <w:bidi/>
        <w:spacing w:before="240" w:after="80"/>
        <w:rPr>
          <w:sz w:val="32"/>
          <w:szCs w:val="32"/>
        </w:rPr>
      </w:pPr>
      <w:r>
        <w:rPr>
          <w:sz w:val="32"/>
          <w:szCs w:val="32"/>
        </w:rPr>
        <w:t xml:space="preserve">۱-۳ اهداف تحقیق</w:t>
      </w:r>
    </w:p>
    <w:p w14:paraId="28C7E286" w14:textId="77777777" w:rsidR="006B24D8" w:rsidRDefault="0022525F">
      <w:pPr>
        <w:pStyle w:val="ListParagraph"/>
        <w:numPr>
          <w:ilvl w:val="0"/>
          <w:numId w:val="1"/>
        </w:numPr>
        <w:bidi/>
        <w:spacing w:after="80"/>
        <w:jc w:val="both"/>
      </w:pPr>
      <w:r>
        <w:rPr>
          <w:rtl/>
        </w:rPr>
        <w:t>شناسایی چالش‌های فروش در شرکت‌های تک‌محصولی فعال در صنعت مواد غذایی.</w:t>
      </w:r>
    </w:p>
    <w:p w14:paraId="1749ECCC" w14:textId="77777777" w:rsidR="006B24D8" w:rsidRDefault="0022525F">
      <w:pPr>
        <w:pStyle w:val="ListParagraph"/>
        <w:numPr>
          <w:ilvl w:val="0"/>
          <w:numId w:val="1"/>
        </w:numPr>
        <w:bidi/>
        <w:spacing w:after="80"/>
        <w:jc w:val="both"/>
      </w:pPr>
      <w:r>
        <w:rPr>
          <w:rtl/>
        </w:rPr>
        <w:t>اولویت‌بندی چالش‌های فروش در شرکت‌های تک‌محصولی فعال در صنعت مواد</w:t>
      </w:r>
      <w:r>
        <w:rPr>
          <w:rtl/>
        </w:rPr>
        <w:t xml:space="preserve"> غذایی.</w:t>
      </w:r>
    </w:p>
    <w:p>
      <w:pPr>
        <w:pStyle w:val="Heading2"/>
        <w:keepNext/>
        <w:bidi/>
        <w:spacing w:before="240" w:after="80"/>
        <w:rPr>
          <w:sz w:val="32"/>
          <w:szCs w:val="32"/>
        </w:rPr>
      </w:pPr>
      <w:r>
        <w:rPr>
          <w:sz w:val="32"/>
          <w:szCs w:val="32"/>
        </w:rPr>
        <w:t xml:space="preserve">۱-۴ پرسش‌های تحقیق</w:t>
      </w:r>
    </w:p>
    <w:p w14:paraId="59B562C1" w14:textId="77777777" w:rsidR="006B24D8" w:rsidRDefault="0022525F">
      <w:pPr>
        <w:pStyle w:val="ListParagraph"/>
        <w:numPr>
          <w:ilvl w:val="0"/>
          <w:numId w:val="2"/>
        </w:numPr>
        <w:bidi/>
        <w:spacing w:after="80"/>
        <w:jc w:val="both"/>
      </w:pPr>
      <w:r>
        <w:rPr>
          <w:rtl/>
        </w:rPr>
        <w:t>چالش‌های فروش در شرکت‌های تک‌محصولی فعال در صنعت مواد غذایی کدام‌اند؟</w:t>
      </w:r>
    </w:p>
    <w:p w14:paraId="1E9A632D" w14:textId="77777777" w:rsidR="006B24D8" w:rsidRDefault="0022525F">
      <w:pPr>
        <w:pStyle w:val="ListParagraph"/>
        <w:numPr>
          <w:ilvl w:val="0"/>
          <w:numId w:val="2"/>
        </w:numPr>
        <w:bidi/>
        <w:spacing w:after="80"/>
        <w:jc w:val="both"/>
      </w:pPr>
      <w:r>
        <w:rPr>
          <w:rtl/>
        </w:rPr>
        <w:t>اولویت چالش‌های فروش در شرکت‌های تک‌محصولی فعال در صنعت مواد غذایی چگونه است؟</w:t>
      </w:r>
    </w:p>
    <w:p>
      <w:pPr>
        <w:pStyle w:val="Heading2"/>
        <w:keepNext/>
        <w:bidi/>
        <w:spacing w:before="240" w:after="80"/>
        <w:rPr>
          <w:sz w:val="32"/>
          <w:szCs w:val="32"/>
        </w:rPr>
      </w:pPr>
      <w:r>
        <w:rPr>
          <w:sz w:val="32"/>
          <w:szCs w:val="32"/>
        </w:rPr>
        <w:t xml:space="preserve">۱-۵ قلمروهای تحقیق</w:t>
      </w:r>
    </w:p>
    <w:p>
      <w:pPr>
        <w:pStyle w:val="Heading3"/>
        <w:keepNext/>
        <w:bidi/>
        <w:spacing w:before="180" w:after="80"/>
      </w:pPr>
      <w:r>
        <w:t xml:space="preserve">۱-۵-۱ قلمرو موضوعی</w:t>
      </w:r>
    </w:p>
    <w:p w14:paraId="38DF6743" w14:textId="77777777" w:rsidR="006B24D8" w:rsidRDefault="0022525F">
      <w:pPr>
        <w:bidi/>
        <w:spacing w:after="80"/>
        <w:ind w:firstLine="720"/>
        <w:jc w:val="both"/>
      </w:pPr>
      <w:r>
        <w:rPr>
          <w:rtl/>
        </w:rPr>
        <w:t>این پژوهش در حوزه مدیریت بازرگانی با گرایش مدیریت استراتژیک انجام شده و به‌طور مشخص بر شناسایی و اولویت‌بندی چالش‌های فروش متمرکز است.</w:t>
      </w:r>
    </w:p>
    <w:p>
      <w:pPr>
        <w:pStyle w:val="Heading3"/>
        <w:keepNext/>
        <w:bidi/>
        <w:spacing w:before="180" w:after="80"/>
      </w:pPr>
      <w:r>
        <w:t xml:space="preserve">۱-۵-۲ قلمرو مکانی</w:t>
      </w:r>
    </w:p>
    <w:p w14:paraId="43CCD621" w14:textId="77777777" w:rsidR="006B24D8" w:rsidRDefault="0022525F">
      <w:pPr>
        <w:bidi/>
        <w:spacing w:after="80"/>
        <w:ind w:firstLine="720"/>
        <w:jc w:val="both"/>
      </w:pPr>
      <w:r>
        <w:rPr>
          <w:rtl/>
        </w:rPr>
        <w:t>قلمرو مکانی پژوهش، شرکت‌های تک‌محصولی فعال در صنعت مواد غذایی استان‌های ایران از جمله خراسان رضوی است.</w:t>
      </w:r>
    </w:p>
    <w:p>
      <w:pPr>
        <w:pStyle w:val="Heading3"/>
        <w:keepNext/>
        <w:bidi/>
        <w:spacing w:before="180" w:after="80"/>
      </w:pPr>
      <w:r>
        <w:t xml:space="preserve">۱-۵-۳ قلمرو زمانی</w:t>
      </w:r>
    </w:p>
    <w:p w14:paraId="357D5158" w14:textId="77777777" w:rsidR="006B24D8" w:rsidRDefault="0022525F">
      <w:pPr>
        <w:bidi/>
        <w:spacing w:after="80"/>
        <w:ind w:firstLine="720"/>
        <w:jc w:val="both"/>
      </w:pPr>
      <w:r>
        <w:rPr>
          <w:rtl/>
        </w:rPr>
        <w:t>داده‌های میدانی این پژوهش در بازه زمانی اردیبهشت تا پایان شهریورماه سال ۱۴۰۵ گردآوری شد.</w:t>
      </w:r>
    </w:p>
    <w:p>
      <w:pPr>
        <w:pStyle w:val="Heading2"/>
        <w:keepNext/>
        <w:bidi/>
        <w:spacing w:before="240" w:after="80"/>
        <w:rPr>
          <w:sz w:val="32"/>
          <w:szCs w:val="32"/>
        </w:rPr>
      </w:pPr>
      <w:r>
        <w:rPr>
          <w:sz w:val="32"/>
          <w:szCs w:val="32"/>
        </w:rPr>
        <w:t xml:space="preserve">۱-۶ تعاریف مفهومی و عملیاتی</w:t>
      </w:r>
    </w:p>
    <w:p>
      <w:pPr>
        <w:pStyle w:val="Heading3"/>
        <w:keepNext/>
        <w:bidi/>
        <w:spacing w:before="180" w:after="80"/>
      </w:pPr>
      <w:r>
        <w:t xml:space="preserve">۱-۶-۱ فروش</w:t>
      </w:r>
    </w:p>
    <w:p>
      <w:pPr>
        <w:bidi/>
        <w:spacing w:after="80"/>
        <w:ind w:firstLine="720"/>
        <w:jc w:val="both"/>
      </w:pPr>
      <w:r>
        <w:rPr>
          <w:rtl/>
        </w:rPr>
        <w:t xml:space="preserve">تعریف مفهومی: فروش فرایندی است که در آن بنگاه اقتصادی از طریق ارتباط مستقیم یا غیرمستقیم با مشتری، محصول یا خدمت خود را در ازای دریافت ارزش، معمولاً پول، به او منتقل می‌کند. در تعریف گسترده‌تر، فروش پیامد هماهنگی آمیخته بازاریابی است (کاتلر و کلر، ۲۰۱۶)</w:t>
      </w:r>
      <w:r>
        <w:rPr>
          <w:rStyle w:val="FootnoteReference"/>
        </w:rPr>
        <w:footnoteReference w:id="10"/>
      </w:r>
      <w:r>
        <w:rPr>
          <w:rtl/>
        </w:rPr>
        <w:t xml:space="preserve">.</w:t>
      </w:r>
    </w:p>
    <w:p>
      <w:pPr>
        <w:pStyle w:val="Heading3"/>
        <w:keepNext/>
        <w:bidi/>
        <w:spacing w:before="180" w:after="80"/>
      </w:pPr>
      <w:r>
        <w:t xml:space="preserve">۱-۶-۲ شرکت تک‌محصولی</w:t>
      </w:r>
    </w:p>
    <w:p>
      <w:pPr>
        <w:bidi/>
        <w:spacing w:after="80"/>
        <w:ind w:firstLine="720"/>
        <w:jc w:val="both"/>
      </w:pPr>
      <w:r>
        <w:rPr>
          <w:rtl/>
        </w:rPr>
        <w:t xml:space="preserve">تعریف مفهومی: شرکت تک‌محصولی بنگاهی است که دامنه فعالیت تولیدی و درآمدی آن بر یک محصول اصلی متمرکز است. ویژگی تعیین‌کننده چنین بنگاهی، نبود سازوکار جبران درونی در برابر افت فروش آن محصول است. رابطه تنوع‌یابی با عملکرد بنگاه در ادبیات مدیریت استراتژیک سال‌هاست موضوع پژوهش بوده است (شومر و همکاران، ۲۰۱۹)</w:t>
      </w:r>
      <w:r>
        <w:rPr>
          <w:rStyle w:val="FootnoteReference"/>
        </w:rPr>
        <w:footnoteReference w:id="11"/>
      </w:r>
      <w:r>
        <w:rPr>
          <w:rtl/>
        </w:rPr>
        <w:t xml:space="preserve">.</w:t>
      </w:r>
    </w:p>
    <w:p w14:paraId="3BB8F88F" w14:textId="77777777" w:rsidR="00EF16F2" w:rsidRDefault="00EF16F2"/>
    <w:sectPr w:rsidR="00EF16F2">
      <w:pgSz w:w="11906" w:h="16838"/>
      <w:pgMar w:top="1701" w:right="1701"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1E4F1" w14:textId="77777777" w:rsidR="00860071" w:rsidRDefault="00860071" w:rsidP="00C137EF">
      <w:pPr>
        <w:spacing w:line="240" w:lineRule="auto"/>
      </w:pPr>
      <w:r>
        <w:separator/>
      </w:r>
    </w:p>
  </w:endnote>
  <w:endnote w:type="continuationSeparator" w:id="0">
    <w:p w14:paraId="2CE4AF42" w14:textId="77777777" w:rsidR="00860071" w:rsidRDefault="00860071" w:rsidP="00C137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E40FA" w14:textId="77777777" w:rsidR="000C76BC" w:rsidRDefault="0022525F" w:rsidP="00760CDA">
      <w:pPr>
        <w:spacing w:line="240" w:lineRule="auto"/>
      </w:pPr>
      <w:r>
        <w:separator/>
      </w:r>
    </w:p>
  </w:footnote>
  <w:footnote w:type="continuationSeparator" w:id="0">
    <w:p w14:paraId="01BFD269" w14:textId="77777777" w:rsidR="000C76BC" w:rsidRDefault="0022525F" w:rsidP="00760CDA">
      <w:pPr>
        <w:spacing w:line="240" w:lineRule="auto"/>
      </w:pPr>
      <w:r>
        <w:continuationSeparator/>
      </w:r>
    </w:p>
  </w:footnote>
  <w:footnote w:id="1">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Kotler et al., 2022</w:t>
      </w:r>
    </w:p>
  </w:footnote>
  <w:footnote w:id="2">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Mammen et al., 2021</w:t>
      </w:r>
    </w:p>
  </w:footnote>
  <w:footnote w:id="3">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Mammen et al., 2021</w:t>
      </w:r>
    </w:p>
  </w:footnote>
  <w:footnote w:id="4">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Mammen et al., 2021</w:t>
      </w:r>
    </w:p>
  </w:footnote>
  <w:footnote w:id="5">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Mangla et al., 2021</w:t>
      </w:r>
    </w:p>
  </w:footnote>
  <w:footnote w:id="6">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Zain et al., 2024</w:t>
      </w:r>
    </w:p>
  </w:footnote>
  <w:footnote w:id="7">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Okoli &amp; Pawlowski, 2004. The Delphi method as a research tool: An example, design considerations and applications.</w:t>
      </w:r>
    </w:p>
  </w:footnote>
  <w:footnote w:id="8">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Bernard et al., 2010. Multiple-product firms and product switching.</w:t>
      </w:r>
    </w:p>
  </w:footnote>
  <w:footnote w:id="9">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Gabaix, 2011. The granular origins of aggregate fluctuations.</w:t>
      </w:r>
    </w:p>
  </w:footnote>
  <w:footnote w:id="10">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Kotler &amp; Keller, 2016. Marketing management (15th ed.).</w:t>
      </w:r>
    </w:p>
  </w:footnote>
  <w:footnote w:id="11">
    <w:p w14:paraId="75E98515" w14:textId="77777777" w:rsidR="006B24D8" w:rsidRDefault="0022525F">
      <w:r>
        <w:rPr>
          <w:rStyle w:val="FootnoteReference"/>
        </w:rPr>
        <w:footnoteRef/>
      </w:r>
      <w:r>
        <w:rPr>
          <w:rFonts w:ascii="Times New Roman" w:eastAsia="Times New Roman" w:hAnsi="Times New Roman" w:cs="Times New Roman"/>
          <w:sz w:val="20"/>
          <w:szCs w:val="20"/>
        </w:rPr>
        <w:t xml:space="preserve"> Schommer et al.,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003"/>
    <w:multiLevelType w:val="hybridMultilevel"/>
    <w:tmpl w:val="6366B5DA"/>
    <w:lvl w:ilvl="0" w:tplc="07FA4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890230"/>
    <w:multiLevelType w:val="hybridMultilevel"/>
    <w:tmpl w:val="D4E60EFC"/>
    <w:lvl w:ilvl="0" w:tplc="141CD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6B6941"/>
    <w:multiLevelType w:val="multilevel"/>
    <w:tmpl w:val="572C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EF"/>
    <w:rsid w:val="0022525F"/>
    <w:rsid w:val="00255A2E"/>
    <w:rsid w:val="0048646F"/>
    <w:rsid w:val="005D21AC"/>
    <w:rsid w:val="006B24D8"/>
    <w:rsid w:val="00723EBE"/>
    <w:rsid w:val="00860071"/>
    <w:rsid w:val="008E6D8F"/>
    <w:rsid w:val="00AF356D"/>
    <w:rsid w:val="00B3422D"/>
    <w:rsid w:val="00C137EF"/>
    <w:rsid w:val="00C612D5"/>
    <w:rsid w:val="00C92BFB"/>
    <w:rsid w:val="00E51E8F"/>
    <w:rsid w:val="00EE6052"/>
    <w:rsid w:val="00EE6165"/>
    <w:rsid w:val="00EF16F2"/>
    <w:rsid w:val="00F33EF9"/>
    <w:rsid w:val="00FF04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AE2AD"/>
  <w15:chartTrackingRefBased/>
  <w15:docId w15:val="{49AA0347-1581-403A-9A92-B63F58CC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7EF"/>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C137EF"/>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C137EF"/>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C137EF"/>
    <w:pPr>
      <w:spacing w:after="0" w:line="240" w:lineRule="auto"/>
      <w:outlineLvl w:val="2"/>
    </w:pPr>
    <w:rPr>
      <w:rFonts w:ascii="B Nazanin" w:eastAsia="B Nazanin" w:hAnsi="B Nazanin" w:cs="B Nazanin"/>
      <w:b/>
      <w:bCs/>
      <w:color w:val="000000"/>
      <w:sz w:val="28"/>
      <w:szCs w:val="28"/>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7EF"/>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C137EF"/>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C137EF"/>
    <w:rPr>
      <w:rFonts w:ascii="B Nazanin" w:eastAsia="B Nazanin" w:hAnsi="B Nazanin" w:cs="B Nazanin"/>
      <w:b/>
      <w:bCs/>
      <w:color w:val="000000"/>
      <w:sz w:val="28"/>
      <w:szCs w:val="28"/>
      <w:lang w:bidi="fa-IR"/>
    </w:rPr>
  </w:style>
  <w:style w:type="paragraph" w:styleId="ListParagraph">
    <w:name w:val="List Paragraph"/>
    <w:qFormat/>
    <w:rsid w:val="00C137EF"/>
    <w:pPr>
      <w:spacing w:after="0" w:line="276" w:lineRule="auto"/>
    </w:pPr>
    <w:rPr>
      <w:rFonts w:ascii="B Nazanin" w:eastAsia="B Nazanin" w:hAnsi="B Nazanin" w:cs="B Nazanin"/>
      <w:sz w:val="28"/>
      <w:szCs w:val="28"/>
      <w:lang w:bidi="fa-IR"/>
    </w:rPr>
  </w:style>
  <w:style w:type="character" w:styleId="FootnoteReference">
    <w:name w:val="footnote reference"/>
    <w:uiPriority w:val="99"/>
    <w:semiHidden/>
    <w:unhideWhenUsed/>
    <w:rsid w:val="00C137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1590</Words>
  <Characters>9068</Characters>
  <Application>Microsoft Office Word</Application>
  <DocSecurity>0</DocSecurity>
  <Lines>75</Lines>
  <Paragraphs>21</Paragraphs>
  <ScaleCrop>false</ScaleCrop>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abdollahi</dc:creator>
  <cp:keywords/>
  <dc:description/>
  <cp:lastModifiedBy>taha abdollahi</cp:lastModifiedBy>
  <cp:revision>8</cp:revision>
  <dcterms:created xsi:type="dcterms:W3CDTF">2026-10-19T07:40:00Z</dcterms:created>
  <dcterms:modified xsi:type="dcterms:W3CDTF">2026-10-20T20:16:00Z</dcterms:modified>
</cp:coreProperties>
</file>