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و با روش AHP وزن‌دهی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۴۴</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۴۸</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۴۹</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۵۲</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۵۳</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۵۳</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۵۴</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۵۴</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۵۴</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۵۴</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۵۴</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۵۵</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۵۶</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۵۶</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۵۸</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۶۱</w:t>
        </w:r>
        <w:r>
          <w:rPr>
            <w:noProof/>
            <w:rtl/>
          </w:rPr>
          <w:fldChar w:fldCharType="end"/>
        </w:r>
      </w:hyperlink>
    </w:p>
    <w:p>
      <w:pPr>
        <w:pStyle w:val="TOC2"/>
        <w:bidi/>
      </w:pPr>
      <w:hyperlink w:anchor="_Toc200000057"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۶۵</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۶۸</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۷۰</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2"/>
        <w:bidi/>
      </w:pPr>
      <w:hyperlink w:anchor="_Toc200000068"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۷۴</w:t>
        </w:r>
        <w:r>
          <w:rPr>
            <w:noProof/>
            <w:rtl/>
          </w:rPr>
          <w:fldChar w:fldCharType="end"/>
        </w:r>
      </w:hyperlink>
    </w:p>
    <w:p>
      <w:pPr>
        <w:pStyle w:val="TOC3"/>
        <w:bidi/>
      </w:pPr>
      <w:hyperlink w:anchor="_Toc200000072" w:history="1">
        <w:r>
          <w:rPr>
            <w:noProof/>
            <w:rtl/>
          </w:rPr>
          <w:t xml:space="preserve">۴ـ۶ـ۱ وزن‌دهی و رتبه‌بندی به روش AHP</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۷۹</w:t>
        </w:r>
        <w:r>
          <w:rPr>
            <w:noProof/>
            <w:rtl/>
          </w:rPr>
          <w:fldChar w:fldCharType="end"/>
        </w:r>
      </w:hyperlink>
    </w:p>
    <w:p>
      <w:pPr>
        <w:pStyle w:val="TOC2"/>
        <w:bidi/>
      </w:pPr>
      <w:hyperlink w:anchor="_Toc200000075" w:history="1">
        <w:r>
          <w:rPr>
            <w:noProof/>
            <w:rtl/>
          </w:rPr>
          <w:t xml:space="preserve">۴ـ۷ جمع‌بندی فصل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۸۱</w:t>
        </w:r>
        <w:r>
          <w:rPr>
            <w:noProof/>
            <w:rtl/>
          </w:rPr>
          <w:fldChar w:fldCharType="end"/>
        </w:r>
      </w:hyperlink>
    </w:p>
    <w:p>
      <w:pPr>
        <w:pStyle w:val="TOC1"/>
        <w:bidi/>
      </w:pPr>
      <w:hyperlink w:anchor="_Toc200000076" w:history="1">
        <w:r>
          <w:rPr>
            <w:noProof/>
            <w:rtl/>
          </w:rPr>
          <w:t xml:space="preserve">فصل پنجم: بحث و نتیجه‌گیری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۸۳</w:t>
        </w:r>
        <w:r>
          <w:rPr>
            <w:noProof/>
            <w:rtl/>
          </w:rPr>
          <w:fldChar w:fldCharType="end"/>
        </w:r>
      </w:hyperlink>
    </w:p>
    <w:p>
      <w:pPr>
        <w:pStyle w:val="TOC2"/>
        <w:bidi/>
      </w:pPr>
      <w:hyperlink w:anchor="_Toc200000077" w:history="1">
        <w:r>
          <w:rPr>
            <w:noProof/>
            <w:rtl/>
          </w:rPr>
          <w:t xml:space="preserve">۵ـ۱ مقدمه</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۸۴</w:t>
        </w:r>
        <w:r>
          <w:rPr>
            <w:noProof/>
            <w:rtl/>
          </w:rPr>
          <w:fldChar w:fldCharType="end"/>
        </w:r>
      </w:hyperlink>
    </w:p>
    <w:p>
      <w:pPr>
        <w:pStyle w:val="TOC2"/>
        <w:bidi/>
      </w:pPr>
      <w:hyperlink w:anchor="_Toc200000078" w:history="1">
        <w:r>
          <w:rPr>
            <w:noProof/>
            <w:rtl/>
          </w:rPr>
          <w:t xml:space="preserve">۵ـ۲ مروری بر خلاصه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۸۴</w:t>
        </w:r>
        <w:r>
          <w:rPr>
            <w:noProof/>
            <w:rtl/>
          </w:rPr>
          <w:fldChar w:fldCharType="end"/>
        </w:r>
      </w:hyperlink>
    </w:p>
    <w:p>
      <w:pPr>
        <w:pStyle w:val="TOC2"/>
        <w:bidi/>
      </w:pPr>
      <w:hyperlink w:anchor="_Toc200000079" w:history="1">
        <w:r>
          <w:rPr>
            <w:noProof/>
            <w:rtl/>
          </w:rPr>
          <w:t xml:space="preserve">۵ـ۳ بحث و نتیجه‌گیری</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۸۵</w:t>
        </w:r>
        <w:r>
          <w:rPr>
            <w:noProof/>
            <w:rtl/>
          </w:rPr>
          <w:fldChar w:fldCharType="end"/>
        </w:r>
      </w:hyperlink>
    </w:p>
    <w:p>
      <w:pPr>
        <w:pStyle w:val="TOC3"/>
        <w:bidi/>
      </w:pPr>
      <w:hyperlink w:anchor="_Toc200000080"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۸۵</w:t>
        </w:r>
        <w:r>
          <w:rPr>
            <w:noProof/>
            <w:rtl/>
          </w:rPr>
          <w:fldChar w:fldCharType="end"/>
        </w:r>
      </w:hyperlink>
    </w:p>
    <w:p>
      <w:pPr>
        <w:pStyle w:val="TOC3"/>
        <w:bidi/>
      </w:pPr>
      <w:hyperlink w:anchor="_Toc200000082"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۹۰</w:t>
        </w:r>
        <w:r>
          <w:rPr>
            <w:noProof/>
            <w:rtl/>
          </w:rPr>
          <w:fldChar w:fldCharType="end"/>
        </w:r>
      </w:hyperlink>
    </w:p>
    <w:p>
      <w:pPr>
        <w:pStyle w:val="TOC2"/>
        <w:bidi/>
      </w:pPr>
      <w:hyperlink w:anchor="_Toc200000083" w:history="1">
        <w:r>
          <w:rPr>
            <w:noProof/>
            <w:rtl/>
          </w:rPr>
          <w:t xml:space="preserve">۵ـ۴ پیشنهادات تحقیق</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۹۳</w:t>
        </w:r>
        <w:r>
          <w:rPr>
            <w:noProof/>
            <w:rtl/>
          </w:rPr>
          <w:fldChar w:fldCharType="end"/>
        </w:r>
      </w:hyperlink>
    </w:p>
    <w:p>
      <w:pPr>
        <w:pStyle w:val="TOC2"/>
        <w:bidi/>
      </w:pPr>
      <w:hyperlink w:anchor="_Toc200000084" w:history="1">
        <w:r>
          <w:rPr>
            <w:noProof/>
            <w:rtl/>
          </w:rPr>
          <w:t xml:space="preserve">۵ـ۵ محدودیت‌های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۹۵</w:t>
        </w:r>
        <w:r>
          <w:rPr>
            <w:noProof/>
            <w:rtl/>
          </w:rPr>
          <w:fldChar w:fldCharType="end"/>
        </w:r>
      </w:hyperlink>
    </w:p>
    <w:p>
      <w:pPr>
        <w:pStyle w:val="TOC2"/>
        <w:bidi/>
      </w:pPr>
      <w:hyperlink w:anchor="_Toc200000085"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۹۵</w:t>
        </w:r>
        <w:r>
          <w:rPr>
            <w:noProof/>
            <w:rtl/>
          </w:rPr>
          <w:fldChar w:fldCharType="end"/>
        </w:r>
      </w:hyperlink>
    </w:p>
    <w:p>
      <w:pPr>
        <w:pStyle w:val="TOC1"/>
        <w:bidi/>
      </w:pPr>
      <w:hyperlink w:anchor="_Toc200000086" w:history="1">
        <w:r>
          <w:rPr>
            <w:noProof/>
            <w:rtl/>
          </w:rPr>
          <w:t xml:space="preserve">منابع</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۹۷</w:t>
        </w:r>
        <w:r>
          <w:rPr>
            <w:noProof/>
            <w:rtl/>
          </w:rPr>
          <w:fldChar w:fldCharType="end"/>
        </w:r>
      </w:hyperlink>
    </w:p>
    <w:p>
      <w:pPr>
        <w:pStyle w:val="TOC2"/>
        <w:bidi/>
      </w:pPr>
      <w:hyperlink w:anchor="_Toc200000087" w:history="1">
        <w:r>
          <w:rPr>
            <w:noProof/>
            <w:rtl/>
          </w:rPr>
          <w:t xml:space="preserve">منابع داخلی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۹۸</w:t>
        </w:r>
        <w:r>
          <w:rPr>
            <w:noProof/>
            <w:rtl/>
          </w:rPr>
          <w:fldChar w:fldCharType="end"/>
        </w:r>
      </w:hyperlink>
    </w:p>
    <w:p>
      <w:pPr>
        <w:pStyle w:val="TOC2"/>
        <w:bidi/>
      </w:pPr>
      <w:hyperlink w:anchor="_Toc200000088" w:history="1">
        <w:r>
          <w:rPr>
            <w:noProof/>
            <w:rtl/>
          </w:rPr>
          <w:t xml:space="preserve">منابع خارجی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۹۹</w:t>
        </w:r>
        <w:r>
          <w:rPr>
            <w:noProof/>
            <w:rtl/>
          </w:rPr>
          <w:fldChar w:fldCharType="end"/>
        </w:r>
      </w:hyperlink>
    </w:p>
    <w:p>
      <w:pPr>
        <w:pStyle w:val="TOC1"/>
        <w:bidi/>
      </w:pPr>
      <w:hyperlink w:anchor="_Toc200000089" w:history="1">
        <w:r>
          <w:rPr>
            <w:noProof/>
            <w:rtl/>
          </w:rPr>
          <w:t xml:space="preserve">پیوست‌ها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۱۰۲</w:t>
        </w:r>
        <w:r>
          <w:rPr>
            <w:noProof/>
            <w:rtl/>
          </w:rPr>
          <w:fldChar w:fldCharType="end"/>
        </w:r>
      </w:hyperlink>
    </w:p>
    <w:p>
      <w:pPr>
        <w:pStyle w:val="TOC2"/>
        <w:bidi/>
      </w:pPr>
      <w:hyperlink w:anchor="_Toc200000090" w:history="1">
        <w:r>
          <w:rPr>
            <w:noProof/>
            <w:rtl/>
          </w:rPr>
          <w:t xml:space="preserve">پیوست الف: فرم خام پرسشنامه دور نخست دلفی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۱۰۳</w:t>
        </w:r>
        <w:r>
          <w:rPr>
            <w:noProof/>
            <w:rtl/>
          </w:rPr>
          <w:fldChar w:fldCharType="end"/>
        </w:r>
      </w:hyperlink>
    </w:p>
    <w:p>
      <w:pPr>
        <w:pStyle w:val="TOC2"/>
        <w:bidi/>
      </w:pPr>
      <w:hyperlink w:anchor="_Toc200000091" w:history="1">
        <w:r>
          <w:rPr>
            <w:noProof/>
            <w:rtl/>
          </w:rPr>
          <w:t xml:space="preserve">پیوست ب: فرم خام پرسشنامه دور دوم دلفی (رتبه‌بندی گویه‌ها)</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۱۰۶</w:t>
        </w:r>
        <w:r>
          <w:rPr>
            <w:noProof/>
            <w:rtl/>
          </w:rPr>
          <w:fldChar w:fldCharType="end"/>
        </w:r>
      </w:hyperlink>
    </w:p>
    <w:p>
      <w:pPr>
        <w:pStyle w:val="TOC2"/>
        <w:bidi/>
      </w:pPr>
      <w:hyperlink w:anchor="_Toc200000092" w:history="1">
        <w:r>
          <w:rPr>
            <w:noProof/>
            <w:rtl/>
          </w:rPr>
          <w:t xml:space="preserve">پیوست پ: فرم خام پرسشنامه دور سوم دلفی (بازنگری رتبه‌بندی با بازخورد گروهی)</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۱۰۹</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۴۹</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۶۲</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۶۳</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۶۴</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۶۶</w:t>
        </w:r>
        <w:r>
          <w:rPr>
            <w:noProof/>
            <w:rtl/>
          </w:rPr>
          <w:fldChar w:fldCharType="end"/>
        </w:r>
      </w:hyperlink>
    </w:p>
    <w:p>
      <w:pPr>
        <w:pStyle w:val="TOC4"/>
        <w:bidi/>
      </w:pPr>
      <w:hyperlink w:anchor="_Toc200000059"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۶۷</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۶۸</w:t>
        </w:r>
        <w:r>
          <w:rPr>
            <w:noProof/>
            <w:rtl/>
          </w:rPr>
          <w:fldChar w:fldCharType="end"/>
        </w:r>
      </w:hyperlink>
    </w:p>
    <w:p>
      <w:pPr>
        <w:pStyle w:val="TOC4"/>
        <w:bidi/>
      </w:pPr>
      <w:hyperlink w:anchor="_Toc200000063"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۷۱</w:t>
        </w:r>
        <w:r>
          <w:rPr>
            <w:noProof/>
            <w:rtl/>
          </w:rPr>
          <w:fldChar w:fldCharType="end"/>
        </w:r>
      </w:hyperlink>
    </w:p>
    <w:p>
      <w:pPr>
        <w:pStyle w:val="TOC4"/>
        <w:bidi/>
      </w:pPr>
      <w:hyperlink w:anchor="_Toc200000065"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۷۳</w:t>
        </w:r>
        <w:r>
          <w:rPr>
            <w:noProof/>
            <w:rtl/>
          </w:rPr>
          <w:fldChar w:fldCharType="end"/>
        </w:r>
      </w:hyperlink>
    </w:p>
    <w:p>
      <w:pPr>
        <w:pStyle w:val="TOC4"/>
        <w:bidi/>
      </w:pPr>
      <w:hyperlink w:anchor="_Toc200000067"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۷۴</w:t>
        </w:r>
        <w:r>
          <w:rPr>
            <w:noProof/>
            <w:rtl/>
          </w:rPr>
          <w:fldChar w:fldCharType="end"/>
        </w:r>
      </w:hyperlink>
    </w:p>
    <w:p>
      <w:pPr>
        <w:pStyle w:val="TOC4"/>
        <w:bidi/>
      </w:pPr>
      <w:hyperlink w:anchor="_Toc200000069"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۷۴</w:t>
        </w:r>
        <w:r>
          <w:rPr>
            <w:noProof/>
            <w:rtl/>
          </w:rPr>
          <w:fldChar w:fldCharType="end"/>
        </w:r>
      </w:hyperlink>
    </w:p>
    <w:p>
      <w:pPr>
        <w:pStyle w:val="TOC4"/>
        <w:bidi/>
      </w:pPr>
      <w:hyperlink w:anchor="_Toc200000070"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۷۶</w:t>
        </w:r>
        <w:r>
          <w:rPr>
            <w:noProof/>
            <w:rtl/>
          </w:rPr>
          <w:fldChar w:fldCharType="end"/>
        </w:r>
      </w:hyperlink>
    </w:p>
    <w:p>
      <w:pPr>
        <w:pStyle w:val="TOC4"/>
        <w:bidi/>
      </w:pPr>
      <w:hyperlink w:anchor="_Toc200000071"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۷۷</w:t>
        </w:r>
        <w:r>
          <w:rPr>
            <w:noProof/>
            <w:rtl/>
          </w:rPr>
          <w:fldChar w:fldCharType="end"/>
        </w:r>
      </w:hyperlink>
    </w:p>
    <w:p>
      <w:pPr>
        <w:pStyle w:val="TOC4"/>
        <w:bidi/>
      </w:pPr>
      <w:hyperlink w:anchor="_Toc200000073" w:history="1">
        <w:r>
          <w:rPr>
            <w:noProof/>
            <w:rtl/>
          </w:rPr>
          <w:t xml:space="preserve">جدول ۴-۱۵ وزن AHP و رتبه‌بندی مؤلفه‌های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۷۹</w:t>
        </w:r>
        <w:r>
          <w:rPr>
            <w:noProof/>
            <w:rtl/>
          </w:rPr>
          <w:fldChar w:fldCharType="end"/>
        </w:r>
      </w:hyperlink>
    </w:p>
    <w:p>
      <w:pPr>
        <w:pStyle w:val="TOC4"/>
        <w:bidi/>
      </w:pPr>
      <w:hyperlink w:anchor="_Toc200000074" w:history="1">
        <w:r>
          <w:rPr>
            <w:noProof/>
            <w:rtl/>
          </w:rPr>
          <w:t xml:space="preserve">جدول ۴-۱۶ وزن AHP سراسری و رتبه‌بندی گویه‌های چالش فروش</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۸۰</w:t>
        </w:r>
        <w:r>
          <w:rPr>
            <w:noProof/>
            <w:rtl/>
          </w:rPr>
          <w:fldChar w:fldCharType="end"/>
        </w:r>
      </w:hyperlink>
    </w:p>
    <w:p>
      <w:pPr>
        <w:pStyle w:val="TOC4"/>
        <w:bidi/>
      </w:pPr>
      <w:hyperlink w:anchor="_Toc200000081"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۸۸</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پرسشنامه دلفی بود که در قالب دورهای متوالی طراحی و اجرا شد.</w:t>
      </w:r>
      <w:r>
        <w:rPr>
          <w:rtl/>
        </w:rPr>
        <w:t xml:space="preserve"> دور نخست، پرسشنامه‌ای باز با دو بخش بود: بخش نخست به مشخصات جمعیت‌شناختی عضو پانل اختصاص داشت و بخش دوم شامل پرسش باز اصلی پژوهش می‌شد.</w:t>
      </w:r>
      <w:r>
        <w:rPr>
          <w:rtl/>
        </w:rPr>
        <w:t xml:space="preserve"> فرم خام پرسشنامه دور نخست در پیوست الف، فرم خام پرسشنامه دور دوم در پیوست ب و فرم خام پرسشنامه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اعضای پانل، به دلیل حجم زیاد در متن پایان‌نامه نیامده‌اند و در صورت نیاز در اختیار داوران قرار می‌گیرند</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است و پاسخ‌های کامل‌شده اعضای پانل در اختیار داوران قرار دارد</w:t>
      </w:r>
      <w:r>
        <w:rPr>
          <w:rtl/>
        </w:rPr>
        <w:t xml:space="preserve">.</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7"/>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line="276" w:lineRule="auto"/>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w:t>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8"/>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9"/>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w:t>
      </w:r>
      <w:r>
        <w:rPr>
          <w:rFonts w:ascii="Times New Roman" w:hAnsi="Times New Roman" w:cs="Times New Roman" w:eastAsia="Times New Roman"/>
          <w:sz w:val="26"/>
          <w:szCs w:val="26"/>
        </w:rPr>
        <w:t xml:space="preserve">AHP</w:t>
      </w:r>
      <w:r>
        <w:rPr>
          <w:rtl/>
        </w:rPr>
        <w:t xml:space="preserve"> آن‌ها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 و مؤلفه‌ها</w:t>
      </w:r>
      <w:bookmarkEnd w:id="57"/>
    </w:p>
    <w:p>
      <w:pPr>
        <w:bidi/>
        <w:spacing w:after="80"/>
        <w:ind w:firstLine="720"/>
        <w:jc w:val="both"/>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10"/>
      </w:r>
      <w:r>
        <w:rPr>
          <w:rtl/>
        </w:rPr>
        <w:t xml:space="preserve"> و بر پایه فرایند پنج‌مرحله‌ای تحلیل داده کیفی (بینگهام، ۲۰۲۳)</w:t>
      </w:r>
      <w:r>
        <w:rPr>
          <w:rStyle w:val="FootnoteReference"/>
        </w:rPr>
        <w:footnoteReference w:id="111"/>
      </w:r>
      <w:r>
        <w:rPr>
          <w:rtl/>
        </w:rPr>
        <w:t xml:space="preserve"> کدگذاری شدند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رتبه‌بندی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9" w:name="_Toc200000059"/>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۴-۵).</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3" w:name="_Toc200000063"/>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5" w:name="_Toc200000065"/>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5"/>
      </w:r>
      <w:r>
        <w:rPr>
          <w:rtl/>
        </w:rPr>
        <w:t>.</w:t>
      </w:r>
    </w:p>
    <w:p>
      <w:pPr>
        <w:pStyle w:val="TableCaption"/>
        <w:keepNext/>
        <w:spacing w:before="160" w:after="80"/>
        <w:jc w:val="center"/>
        <w:rPr>
          <w:vanish/>
        </w:rPr>
      </w:pPr>
      <w:bookmarkStart w:id="67" w:name="_Toc200000067"/>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8" w:name="_Toc200000068"/>
      <w:r>
        <w:t xml:space="preserve">۴ـ۶ پاسخ به پرسش‌های پژوهش و رتبه‌بندی نهایی</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9" w:name="_Toc200000069"/>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70" w:name="_Toc200000070"/>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7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1" w:name="_Toc200000071"/>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pPr>
      <w:bookmarkStart w:id="72" w:name="_Toc200000072"/>
      <w:r>
        <w:t xml:space="preserve">۴ـ۶ـ۱ وزن‌دهی و رتبه‌بندی به روش AHP</w:t>
      </w:r>
      <w:bookmarkEnd w:id="72"/>
    </w:p>
    <w:p>
      <w:pPr>
        <w:bidi/>
        <w:spacing w:after="80"/>
        <w:ind w:firstLine="720"/>
        <w:jc w:val="both"/>
      </w:pPr>
      <w:r>
        <w:rPr>
          <w:rtl/>
        </w:rPr>
        <w:t xml:space="preserve">برای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(ساعتی، ۱۹۸۰)</w:t>
      </w:r>
      <w:r>
        <w:rPr>
          <w:rStyle w:val="FootnoteReference"/>
        </w:rPr>
        <w:footnoteReference w:id="116"/>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 جدول ۴-۱۵ وزن و رتبه مؤلفه‌ها و جدول ۴-۱۶ وزن سراسری گویه‌ها را نشان می‌دهد.</w:t>
      </w:r>
    </w:p>
    <w:p>
      <w:pPr>
        <w:pStyle w:val="TableCaption"/>
        <w:keepNext/>
        <w:spacing w:before="160" w:after="80"/>
        <w:jc w:val="center"/>
        <w:rPr>
          <w:vanish/>
        </w:rPr>
      </w:pPr>
      <w:bookmarkStart w:id="73" w:name="_Toc200000073"/>
      <w:r>
        <w:fldChar w:fldCharType="begin"/>
      </w:r>
      <w:r>
        <w:instrText xml:space="preserve"> TC "جدول ۴-۱۵ وزن AHP و رتبه‌بندی مؤلفه‌های چالش فروش" \f T \l 4 </w:instrText>
      </w:r>
      <w:r>
        <w:fldChar w:fldCharType="end"/>
      </w:r>
      <w:r>
        <w:t xml:space="preserve">جدول ۴-۱۵ وزن AHP و رتبه‌بندی مؤلفه‌های چالش فروش (منبع: یافته‌های پژوهش)</w:t>
      </w:r>
      <w:bookmarkEnd w:id="7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w:t>
            </w:r>
            <w:r>
              <w:rPr>
                <w:rFonts w:ascii="Times New Roman" w:hAnsi="Times New Roman" w:cs="Times New Roman" w:eastAsia="Times New Roman"/>
                <w:b/>
                <w:bCs/>
                <w:sz w:val="20"/>
                <w:szCs w:val="20"/>
              </w:rPr>
              <w:t xml:space="preserve">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ind w:firstLine="720"/>
        <w:jc w:val="both"/>
      </w:pPr>
      <w:r>
        <w:rPr>
          <w:rtl/>
        </w:rPr>
        <w:t xml:space="preserve">ترتیب مؤلفه‌ها بر پایه وزن </w:t>
      </w:r>
      <w:r>
        <w:rPr>
          <w:rFonts w:ascii="Times New Roman" w:hAnsi="Times New Roman" w:cs="Times New Roman" w:eastAsia="Times New Roman"/>
          <w:sz w:val="26"/>
          <w:szCs w:val="26"/>
        </w:rPr>
        <w:t xml:space="preserve">AHP</w:t>
      </w:r>
      <w:r>
        <w:rPr>
          <w:rtl/>
        </w:rPr>
        <w:t xml:space="preserve">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bookmarkStart w:id="74" w:name="_Toc200000074"/>
      <w:r>
        <w:fldChar w:fldCharType="begin"/>
      </w:r>
      <w:r>
        <w:instrText xml:space="preserve"> TC "جدول ۴-۱۶ وزن AHP سراسری و رتبه‌بندی گویه‌های چالش فروش" \f T \l 4 </w:instrText>
      </w:r>
      <w:r>
        <w:fldChar w:fldCharType="end"/>
      </w:r>
      <w:r>
        <w:t xml:space="preserve">جدول ۴-۱۶ وزن AHP سراسری و رتبه‌بندی گویه‌های چالش فروش (منبع: یافته‌های پژوهش)</w:t>
      </w:r>
      <w:bookmarkEnd w:id="7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ind w:firstLine="720"/>
        <w:jc w:val="both"/>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pPr>
      <w:bookmarkStart w:id="75" w:name="_Toc200000075"/>
      <w:r>
        <w:t xml:space="preserve">۴ـ۷ جمع‌بندی فصل</w:t>
      </w:r>
      <w:bookmarkEnd w:id="75"/>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6" w:name="_Toc200000076"/>
            <w:r>
              <w:rPr>
                <w:rtl/>
              </w:rPr>
              <w:t xml:space="preserve">فصل پنجم: بحث و نتیجه‌گیری</w:t>
            </w:r>
            <w:bookmarkEnd w:id="76"/>
          </w:p>
        </w:tc>
      </w:tr>
    </w:tbl>
    <w:p>
      <w:pPr>
        <w:pStyle w:val="Heading2"/>
        <w:keepNext/>
        <w:pageBreakBefore/>
        <w:bidi/>
        <w:spacing w:before="240" w:after="80"/>
      </w:pPr>
      <w:bookmarkStart w:id="77" w:name="_Toc200000077"/>
      <w:r>
        <w:t>۵ـ۱ مقدمه</w:t>
      </w:r>
      <w:bookmarkEnd w:id="77"/>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8" w:name="_Toc200000078"/>
      <w:r>
        <w:t>۵ـ۲ مروری بر خلاصه تحقیق</w:t>
      </w:r>
      <w:bookmarkEnd w:id="78"/>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w:t>
      </w:r>
      <w:r>
        <w:rPr>
          <w:rFonts w:ascii="Times New Roman" w:hAnsi="Times New Roman" w:cs="Times New Roman" w:eastAsia="Times New Roman"/>
          <w:sz w:val="26"/>
          <w:szCs w:val="26"/>
        </w:rPr>
        <w:t xml:space="preserve">AHP</w:t>
      </w:r>
      <w:r>
        <w:rPr>
          <w:rtl/>
        </w:rPr>
        <w:t xml:space="preserve"> (اندازه‌گیری مطلق) وزن‌دهی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9" w:name="_Toc200000079"/>
      <w:r>
        <w:t>۵ـ۳ بحث و نتیجه‌گیری</w:t>
      </w:r>
      <w:bookmarkEnd w:id="79"/>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80" w:name="_Toc200000080"/>
      <w:r>
        <w:t>۵ـ۳ـ۱ بحث و نتیجه‌گیری درباره پرسش اول پژوهش</w:t>
      </w:r>
      <w:bookmarkEnd w:id="80"/>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2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2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3"/>
      </w:r>
      <w:r>
        <w:rPr>
          <w:rtl/>
        </w:rPr>
        <w:t xml:space="preserve">، محدودیت دانش و مهارت منابع انسانی، از جمله کمبود نیروی فروش ماهر (تانئو و همکاران، ۲۰۲۲)</w:t>
      </w:r>
      <w:r>
        <w:rPr>
          <w:rStyle w:val="FootnoteReference"/>
        </w:rPr>
        <w:footnoteReference w:id="12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1" w:name="_Toc200000081"/>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8"/>
            </w:r>
            <w:r>
              <w:rPr>
                <w:sz w:val="22"/>
                <w:szCs w:val="22"/>
                <w:rtl/>
              </w:rPr>
              <w:t xml:space="preserve">؛ پانگارکار و پرابهوداسای (۲۰۲۴) درباره قدرت چانه‌زنی خریدار</w:t>
            </w:r>
            <w:r>
              <w:rPr>
                <w:rStyle w:val="FootnoteReference"/>
              </w:rPr>
              <w:footnoteReference w:id="12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3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2" w:name="_Toc200000082"/>
      <w:r>
        <w:t>۵ـ۳ـ۲ بحث و نتیجه‌گیری درباره پرسش دوم پژوهش</w:t>
      </w:r>
      <w:bookmarkEnd w:id="82"/>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31"/>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3"/>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4"/>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5"/>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6"/>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83" w:name="_Toc200000083"/>
      <w:r>
        <w:t>۵ـ۴ پیشنهادات تحقیق</w:t>
      </w:r>
      <w:bookmarkEnd w:id="83"/>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7"/>
      </w:r>
      <w:r>
        <w:rPr>
          <w:rtl/>
        </w:rPr>
        <w:t xml:space="preserve"> و تنوع مرتبط ریسک بنگاه را می‌کاهد (مامن و همکاران، ۲۰۲۱)</w:t>
      </w:r>
      <w:r>
        <w:rPr>
          <w:rStyle w:val="FootnoteReference"/>
        </w:rPr>
        <w:footnoteReference w:id="13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4" w:name="_Toc200000084"/>
      <w:r>
        <w:t>۵ـ۵ محدودیت‌های پژوهش</w:t>
      </w:r>
      <w:bookmarkEnd w:id="84"/>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بر پایه امتیازهای مطلق دور سوم و بدون مقایسه زوجی خبرگان محاسبه شدند؛ از این رو بیانگر اهمیت نسبی امتیازها هستند، نه قضاوت‌های زوجی اعضای پانل.</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5" w:name="_Toc200000085"/>
      <w:r>
        <w:t>۵ـ۶ پیشنهادهایی برای پژوهش‌های آتی</w:t>
      </w:r>
      <w:bookmarkEnd w:id="85"/>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6" w:name="_Toc200000086"/>
            <w:r>
              <w:rPr>
                <w:rtl/>
              </w:rPr>
              <w:t xml:space="preserve">منابع</w:t>
            </w:r>
            <w:bookmarkEnd w:id="86"/>
          </w:p>
        </w:tc>
      </w:tr>
    </w:tbl>
    <w:p>
      <w:pPr>
        <w:pStyle w:val="Heading2"/>
        <w:keepNext/>
        <w:pageBreakBefore/>
        <w:bidi/>
        <w:spacing w:before="0" w:after="80"/>
      </w:pPr>
      <w:bookmarkStart w:id="87" w:name="_Toc200000087"/>
      <w:r>
        <w:t>منابع داخلی</w:t>
      </w:r>
      <w:bookmarkEnd w:id="87"/>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8" w:name="_Toc200000088"/>
      <w:r>
        <w:t>منابع خارجی</w:t>
      </w:r>
      <w:bookmarkEnd w:id="88"/>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9" w:name="_Toc200000089"/>
            <w:r>
              <w:rPr>
                <w:rtl/>
              </w:rPr>
              <w:t xml:space="preserve">پیوست‌ها</w:t>
            </w:r>
            <w:bookmarkEnd w:id="89"/>
          </w:p>
        </w:tc>
      </w:tr>
    </w:tbl>
    <w:p>
      <w:pPr>
        <w:pStyle w:val="Heading2"/>
        <w:keepNext/>
        <w:pageBreakBefore/>
        <w:bidi/>
        <w:spacing w:before="0" w:after="80"/>
      </w:pPr>
      <w:bookmarkStart w:id="90" w:name="_Toc200000090"/>
      <w:r>
        <w:t>پیوست الف: فرم خام پرسشنامه دور نخست دلفی</w:t>
      </w:r>
      <w:bookmarkEnd w:id="90"/>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91" w:name="_Toc200000091"/>
      <w:r>
        <w:t>پیوست ب: فرم خام پرسشنامه دور دوم دلفی (رتبه‌بندی گویه‌ها)</w:t>
      </w:r>
      <w:bookmarkEnd w:id="91"/>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2" w:name="_Toc200000092"/>
      <w:r>
        <w:t>پیوست پ: فرم خام پرسشنامه دور سوم دلفی (بازنگری رتبه‌بندی با بازخورد گروهی)</w:t>
      </w:r>
      <w:bookmarkEnd w:id="92"/>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and the weights were derived with the analytic hierarchy process.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113</Pages>
  <Words>30683</Words>
  <Characters>142424</Characters>
  <Application>Microsoft Office Word</Application>
  <DocSecurity>0</DocSecurity>
  <Paragraphs>2239</Paragraphs>
  <ScaleCrop>false</ScaleCrop>
  <Company/>
  <LinksUpToDate>false</LinksUpToDate>
  <CharactersWithSpaces>173299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