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pPr>
        <w:bidi/>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pPr>
        <w:bidi/>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 استواری وزن‌های حاصل نیز با ماتریس‌های مقایسه زوجی برآوردی سنجیده شد (بخش ۳-۷-۴).</w:t>
      </w:r>
    </w:p>
    <w:p w14:paraId="2134E8DB" w14:textId="77777777" w:rsidR="00EB30A8" w:rsidRDefault="00A23C08">
      <w:pPr>
        <w:pStyle w:val="Heading3"/>
        <w:keepNext/>
        <w:bidi/>
        <w:spacing w:before="180" w:after="80"/>
        <w:jc w:val="lowKashida"/>
      </w:pPr>
      <w:r>
        <w:t>۳-۷-۱ گام نخست: تحلیل مضمون</w:t>
      </w:r>
    </w:p>
    <w:p>
      <w:pPr>
        <w:bidi/>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pPr>
        <w:bidi/>
        <w:jc w:val="both"/>
      </w:pPr>
      <w:r>
        <w:rPr>
          <w:rtl/>
        </w:rPr>
        <w:t xml:space="preserve">در مرحله سوم، شکل‌گیری گویه‌ها: کدهای دارای معنای مشترک در قالب گویه‌های واحد گرد آمدند.</w:t>
      </w:r>
      <w:r>
        <w:rPr>
          <w:rtl/>
        </w:rPr>
        <w:t xml:space="preserve">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w:t>
      </w:r>
      <w:r>
        <w:rPr>
          <w:rtl/>
        </w:rPr>
        <w:t xml:space="preserve"> در مرحله چهارم، بازبینی گویه‌ها: انسجام درونی هر گویه و تمایز آن از سایرین بررسی شد.</w:t>
      </w:r>
      <w:r>
        <w:rPr>
          <w:rtl/>
        </w:rPr>
        <w:t xml:space="preserve"> در مرحله پنجم، تعریف و نام‌گذاری گویه‌ها: برای هر گویه عنوانی کوتاه و روشن برگزیده شد.</w:t>
      </w:r>
      <w:r>
        <w:rPr>
          <w:rtl/>
        </w:rPr>
        <w:t xml:space="preserve">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w:t>
      </w:r>
      <w:r>
        <w:rPr>
          <w:rtl/>
        </w:rPr>
        <w:t xml:space="preserve"> گویه‌ها از کدهای پاسخ خبرگان ساخته شدند و هر گویه دست‌کم در پاسخ یک عضو پانل بازتاب داشت.</w:t>
      </w:r>
      <w:r>
        <w:rPr>
          <w:rtl/>
        </w:rPr>
        <w:t xml:space="preserve">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w:t>
      </w:r>
      <w:r>
        <w:rPr>
          <w:rtl/>
        </w:rPr>
        <w:t xml:space="preserve"> در مقابل، کدی که در ادبیات همتای روشنی نداشت، به‌دلیل بازتاب در پاسخ خبرگان در فهرست ماند.</w:t>
      </w:r>
      <w:r>
        <w:rPr>
          <w:rtl/>
        </w:rPr>
        <w:t xml:space="preserve"> حاصل این مرحله ۲۹ گویه بود؛ نتیجه سنجش هر گویه با جدول ۲-۱ در ستون «همتای ادبی» جدول ۴-۶ آمده است.</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pPr>
        <w:bidi/>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0"/>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jc w:val="both"/>
      </w:pPr>
      <w:r>
        <w:rPr>
          <w:rtl/>
        </w:rPr>
        <w:t xml:space="preserve">اولویت هر گویه در دورهای دلفی بر پایه میانگین امتیاز پانل سنجیده شد و میانگین دور پایانی، ورودی وزن‌دهی در گام سوم است (بخش ۳-۷-۳). فهرست ۲۹ گویه در هر دو دور امتیازدهی به‌صورت فهرستی ساده از گویه‌ها در اختیار پانل قرار گرفت؛ گروه‌بندی گویه‌ها در مؤلفه‌ها تنها در سلسله‌مراتب AHP انجام می‌شود.</w:t>
      </w:r>
    </w:p>
    <w:p>
      <w:pPr>
        <w:bidi/>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1"/>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در سطح گویه‌ها محاسبه شد و ملاک توقف دورها بود.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2"/>
      </w:r>
      <w:r>
        <w:rPr>
          <w:rtl/>
        </w:rPr>
        <w:t xml:space="preserve">.</w:t>
      </w:r>
      <w:r>
        <w:rPr>
          <w:rtl/>
        </w:rPr>
        <w:t xml:space="preserve"> در این روش امتیازها به وزن‌هایی تبدیل می‌شوند که مجموعشان یک است و وزن بیشتر یعنی اولویت بالاتر؛ مسئله در سه سطح چیده می‌شود: هدف، که اولویت‌بندی چالش‌های فروش است، مؤلفه‌ها و گویه‌ها. در این پژوهش وزن‌ها بدون محاسبه‌ی مقایسه‌های زوجی و مستقیماً از امتیازهای پرسشنامه به دست آمدند. نخست پرسشنامه‌ی دور سوم، که ۲۹ گویه را در بر داشت (پیوست پ)، میان هر هفت عضو پانل توزیع شد و هر عضو اهمیت هر گویه را بر طیف پنج‌درجه‌ای امتیاز داد. سپس میانگین امتیاز هر گویه محاسبه شد و وزن هر گویه، یعنی سهم آن از مجموع امتیازها، چنین به دست آمد:</w:t>
      </w:r>
    </w:p>
    <w:p>
      <w:pPr>
        <w:bidi/>
        <w:spacing w:before="80" w:after="140"/>
        <w:ind w:firstLine="0"/>
        <w:jc w:val="center"/>
      </w:pPr>
      <w:r>
        <w:rPr>
          <w:rtl/>
        </w:rPr>
        <w:t xml:space="preserve">وزن گویه = میانگین امتیاز گویه تقسیم بر مجموع میانگین امتیاز ۲۹ گویه</w:t>
      </w:r>
    </w:p>
    <w:p>
      <w:pPr>
        <w:bidi/>
        <w:jc w:val="both"/>
      </w:pPr>
      <w:r>
        <w:rPr>
          <w:rtl/>
        </w:rPr>
        <w:t xml:space="preserve">مجموع وزن گویه‌ها برابر یک است. پس از آن، گویه‌ها بر پایه شباهت مضمونی در نُه مؤلفه سازمان‌دهی شدند و وزن هر مؤلفه از وزن گویه‌های آن به دست آمد: میانگین وزن گویه‌های هر مؤلفه محاسبه و، برای آنکه مجموع وزن مؤلفه‌ها برابر یک شود، بر مجموع این میانگین‌ها در نُه مؤلفه تقسیم شد. چون وزن هر گویه با میانگین امتیاز آن متناسب است، همین وزن از رابطه زیر نیز به دست می‌آید:</w:t>
      </w:r>
    </w:p>
    <w:p>
      <w:pPr>
        <w:bidi/>
        <w:spacing w:before="80" w:after="140"/>
        <w:ind w:firstLine="0"/>
        <w:jc w:val="center"/>
      </w:pPr>
      <w:r>
        <w:rPr>
          <w:rtl/>
        </w:rPr>
        <w:t xml:space="preserve">وزن مؤلفه = میانگین امتیاز مؤلفه تقسیم بر مجموع میانگین‌های نُه مؤلفه</w:t>
      </w:r>
    </w:p>
    <w:p>
      <w:pPr>
        <w:bidi/>
        <w:jc w:val="both"/>
      </w:pPr>
      <w:r>
        <w:rPr>
          <w:rtl/>
        </w:rPr>
        <w:t xml:space="preserve">به‌کار بردن میانگین به‌جای مجموع از آن روست که شمار گویه‌های هر مؤلفه، که از شیوه‌ی دسته‌بندی ناشی می‌شود و نه از اهمیت چالش، بر وزن آن اثر نگذارد.</w:t>
      </w:r>
      <w:r>
        <w:rPr>
          <w:rtl/>
        </w:rPr>
        <w:t xml:space="preserve"> نتایج این وزن‌دهی در بخش ۴-۶-۲ گزارش شده است؛ شیوه سنجش استواری آن در بخش بعد می‌آید.</w:t>
      </w:r>
    </w:p>
    <w:p>
      <w:pPr>
        <w:pStyle w:val="Heading3"/>
        <w:keepNext/>
        <w:bidi/>
        <w:spacing w:before="180" w:after="80"/>
        <w:jc w:val="lowKashida"/>
      </w:pPr>
      <w:r>
        <w:t xml:space="preserve">۳-۷-۴ سنجش استواری وزن‌ها با ماتریس‌های مقایسه زوجی برآوردی</w:t>
      </w:r>
    </w:p>
    <w:p>
      <w:pPr>
        <w:bidi/>
        <w:jc w:val="both"/>
      </w:pPr>
      <w:r>
        <w:rPr>
          <w:rtl/>
        </w:rPr>
        <w:t xml:space="preserve">فرایند تحلیل سلسله‌مراتبی در شکل کامل خود وزن‌ها را از مقایسه‌های زوجی خبرگان می‌سازد. در پژوهش حاضر پاسخ مستقیم اعضای پانل به مقایسه‌های زوجی گردآوری نشد و وزن‌های اصلی، چنان‌که در بخش ۳-۷-۳ آمد، مستقیماً از امتیازهای دور سوم به دست آمد. برای آنکه روشن شود اولویت‌بندی به شیوه وزن‌دهی وابسته است یا نه، همان سلسله‌مراتب، یعنی هدف، نُه مؤلفه و ۲۹ گویه، بار دیگر با ماتریس‌های مقایسه زوجی‌ای وزن شد که از امتیازهای دور سوم هر خبره برآورد شده‌اند. این ماتریس‌ها پاسخ مستقیم خبرگان نیستند؛ از این رو این گام تحلیل استواری است و جایگزین وزن‌دهی اصلی نمی‌شود.</w:t>
      </w:r>
    </w:p>
    <w:p>
      <w:pPr>
        <w:bidi/>
        <w:jc w:val="both"/>
      </w:pPr>
      <w:r>
        <w:rPr>
          <w:rtl/>
        </w:rPr>
        <w:t xml:space="preserve">برای هر خبره یک ماتریس ۹×۹ برای مقایسه مؤلفه‌ها و نُه ماتریس برای مقایسه گویه‌های درون هر مؤلفه ساخته شد: ۳۶ مقایسه میان مؤلفه‌ها و ۳۴ مقایسه میان گویه‌های هم‌مؤلفه، یعنی ۷۰ مقایسه برای هر خبره و ۴۹۰ مقایسه برای پانل. مقایسه دو به دوی همه ۲۹ گویه ۴۰۶ مقایسه برای هر خبره می‌طلبید؛ سلسله‌مراتب این شمار را کاهش می‌دهد.</w:t>
      </w:r>
    </w:p>
    <w:p>
      <w:pPr>
        <w:bidi/>
        <w:jc w:val="both"/>
      </w:pPr>
      <w:r>
        <w:rPr>
          <w:rtl/>
        </w:rPr>
        <w:t xml:space="preserve">برآورد ماتریس‌ها با قاعده‌ای صریح انجام شد. امتیاز هر گویه برای هر خبره، امتیاز او در دور سوم و امتیاز هر مؤلفه، میانگین امتیازهای دور سوم او به گویه‌های آن مؤلفه گرفته شد. برای هر دو موردی که با هم مقایسه می‌شوند، اختلاف این امتیازها محاسبه شد. اگر قدرمطلق اختلاف کمتر از نیم امتیاز بود، دو مورد برابر (عدد ۱) شمرده شد؛ در غیر این صورت شدت برتری مورد دارای امتیاز بیشتر، بر مقیاس ۱ تا ۹ ساعتی (۱۹۸۰)</w:t>
      </w:r>
      <w:r>
        <w:rPr>
          <w:rStyle w:val="FootnoteReference"/>
        </w:rPr>
        <w:footnoteReference w:id="13"/>
      </w:r>
      <w:r>
        <w:rPr>
          <w:rtl/>
        </w:rPr>
        <w:t xml:space="preserve">، چنین تعیین شد:</w:t>
      </w:r>
    </w:p>
    <w:p>
      <w:pPr>
        <w:bidi/>
        <w:spacing w:before="80" w:after="140"/>
        <w:ind w:firstLine="0"/>
        <w:jc w:val="center"/>
      </w:pPr>
      <w:r>
        <w:rPr>
          <w:rtl/>
        </w:rPr>
        <w:t xml:space="preserve">شدت برتری = ۱ + کوچک‌ترین عدد صحیح بزرگ‌تر یا برابر با قدرمطلق اختلاف امتیاز</w:t>
      </w:r>
    </w:p>
    <w:p>
      <w:pPr>
        <w:bidi/>
        <w:jc w:val="both"/>
      </w:pPr>
      <w:r>
        <w:rPr>
          <w:rtl/>
        </w:rPr>
        <w:t xml:space="preserve">یعنی اختلاف از نیم تا یک امتیاز عدد ۲، بیش از یک تا دو امتیاز عدد ۳ و به همین ترتیب. مقایسه معکوس، وارون این عدد است. برای نمونه، اگر خبره‌ای به یک گویه امتیاز ۵ و به گویه‌ای دیگر امتیاز ۴ داده باشد، گویه نخست دو برابر مهم‌تر از گویه دوم ثبت می‌شود و اگر هر دو را ۴ داده باشد، دو گویه برابر شمرده می‌شوند.</w:t>
      </w:r>
    </w:p>
    <w:p>
      <w:pPr>
        <w:bidi/>
        <w:jc w:val="both"/>
      </w:pPr>
      <w:r>
        <w:rPr>
          <w:rtl/>
        </w:rPr>
        <w:t xml:space="preserve">ماتریس‌های هفت خبره با میانگین هندسی هر مقایسه ترکیب شدند؛ این شیوه برای ترکیب قضاوت‌های نسبی در AHP پذیرفته شده است، زیرا وارونگی ماتریس را حفظ می‌کند (آتسل و ساعتی، ۱۹۸۳)</w:t>
      </w:r>
      <w:r>
        <w:rPr>
          <w:rStyle w:val="FootnoteReference"/>
        </w:rPr>
        <w:footnoteReference w:id="14"/>
      </w:r>
      <w:r>
        <w:rPr>
          <w:rtl/>
        </w:rPr>
        <w:t xml:space="preserve">. وزن هر ماتریس از میانگین هندسی عددهای هر سطر و نرمال‌سازی آن‌ها به دست آمد (کرافورد و ویلیامز، ۱۹۸۵)</w:t>
      </w:r>
      <w:r>
        <w:rPr>
          <w:rStyle w:val="FootnoteReference"/>
        </w:rPr>
        <w:footnoteReference w:id="15"/>
      </w:r>
      <w:r>
        <w:rPr>
          <w:rtl/>
        </w:rPr>
        <w:t xml:space="preserve">. نرخ ناسازگاری (CR) نسبت شاخص ناسازگاری به شاخص تصادفی است. شاخص ناسازگاری از اختلاف بزرگ‌ترین مقدار ویژه ماتریس و شمار گزینه‌های آن، تقسیم بر شمار گزینه‌ها منهای یک، به دست آمد؛ بزرگ‌ترین مقدار ویژه از مجموع حاصل‌ضرب مجموع هر ستون در وزن همان ستون برآورد شد. شاخص تصادفی از جدول ساعتی (۱۹۸۰)</w:t>
      </w:r>
      <w:r>
        <w:rPr>
          <w:rStyle w:val="FootnoteReference"/>
        </w:rPr>
        <w:footnoteReference w:id="16"/>
      </w:r>
      <w:r>
        <w:rPr>
          <w:rtl/>
        </w:rPr>
        <w:t xml:space="preserve"> گرفته شد. نرخ ناسازگاری کمتر از ۰٫۱۰ سازگار شمرده می‌شود. وزن کلی هر گویه حاصل‌ضرب وزن مؤلفه آن در وزن محلی گویه در ماتریس همان مؤلفه است.</w:t>
      </w:r>
    </w:p>
    <w:p>
      <w:pPr>
        <w:bidi/>
        <w:jc w:val="both"/>
      </w:pPr>
      <w:r>
        <w:rPr>
          <w:rtl/>
        </w:rPr>
        <w:t xml:space="preserve">وزن‌های حاصل، هم به‌صورت مقدار و هم به‌صورت رتبه، با وزن‌های بخش ۳-۷-۳ مقایسه شدند؛ همبستگی رتبه‌ای با ضریب اسپیرمن، و برای مقادیر برابر با میانگین رتبه‌ها، سنجیده شد. باید توجه داشت که چون ماتریس‌ها از یک بردار امتیاز ساخته می‌شوند، نرخ ناسازگاری آن‌ها فقط سازگاری درونی قاعده تبدیل را نشان می‌دهد و ملاک اعتبار قضاوت خبرگان نیست؛ همچنین قاعده تبدیل اطلاعاتی فراتر از امتیازهای دور سوم به ماتریس‌ها نمی‌افزاید. ماتریس‌های برآوردی هر هفت خبره و محاسبه‌های این گام در فایلی جداگانه در اختیار داوران قرار دارد.</w:t>
      </w:r>
    </w:p>
    <w:p>
      <w:pPr>
        <w:pStyle w:val="Heading3"/>
        <w:keepNext/>
        <w:bidi/>
        <w:spacing w:before="180" w:after="80"/>
        <w:jc w:val="lowKashida"/>
      </w:pPr>
      <w:r>
        <w:t xml:space="preserve">۳-۷-۵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7"/>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8"/>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pPr>
        <w:bidi/>
        <w:spacing w:after="80"/>
        <w:jc w:val="lowKashida"/>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Aczél &amp; Saaty, 1983</w:t>
      </w:r>
    </w:p>
  </w:footnote>
  <w:footnote w:id="1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Crawford &amp; Williams, 1985</w:t>
      </w:r>
    </w:p>
  </w:footnote>
  <w:footnote w:id="1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