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7CA2B" w14:textId="77777777" w:rsidR="00414E0E" w:rsidRDefault="00414E0E" w:rsidP="00414E0E">
      <w:pPr>
        <w:pStyle w:val="Heading1"/>
        <w:bidi/>
        <w:spacing w:before="5600"/>
        <w:jc w:val="center"/>
      </w:pPr>
      <w:r>
        <w:t>فصل پنجم: بحث و نتیجه‌گیری</w:t>
      </w:r>
    </w:p>
    <w:p w14:paraId="4CD3BD7F" w14:textId="77777777" w:rsidR="00414E0E" w:rsidRDefault="00414E0E" w:rsidP="00414E0E">
      <w:pPr>
        <w:bidi/>
        <w:jc w:val="lowKashida"/>
      </w:pPr>
      <w:r>
        <w:br w:type="page"/>
      </w:r>
    </w:p>
    <w:p>
      <w:pPr>
        <w:pStyle w:val="Heading2"/>
        <w:keepNext/>
        <w:bidi/>
        <w:spacing w:before="240" w:after="80"/>
        <w:jc w:val="lowKashida"/>
      </w:pPr>
      <w:r>
        <w:t>۵-۱ مقدمه</w:t>
      </w:r>
    </w:p>
    <w:p>
      <w:pPr>
        <w:bidi/>
        <w:spacing w:after="80"/>
        <w:jc w:val="lowKashida"/>
      </w:pPr>
      <w:r>
        <w:rPr>
          <w:rtl/>
        </w:rPr>
        <w:t xml:space="preserve">پژوهش حاضر با هدف شناسایی و اولویت‌بندی چالش‌های فروش در شرکت‌های تک‌محصولی فعال در صنعت مواد غذایی، به روش دلفی و با پانل هفت‌نفره خبرگان اجرا شد. یافته‌های فصل چهارم تنها زمانی معنا می‌یابند که در برابر ادبیات موجود قرار گیرند و روشن شود کجا آن را تأیید می‌کنند، کجا از آن فاصله می‌گیرند و کجا چیزی بر آن می‌افزایند. این فصل با همین هدف تدوین شده است: نخست خلاصه‌ای از مسیر پژوهش مرور می‌شود؛ سپس یافته‌های مربوط به هر یک از دو پرسش پژوهش، </w:t>
      </w:r>
      <w:r>
        <w:rPr>
          <w:rtl/>
        </w:rPr>
        <w:t xml:space="preserve">همراه با شاخص‌های ثبات اجماع</w:t>
      </w:r>
      <w:r>
        <w:rPr>
          <w:rtl/>
        </w:rPr>
        <w:t xml:space="preserve">، تفسیر و با ادبیات فصل دوم مقایسه می‌گردد؛ و در پایان پیشنهادهای کاربردی، محدودیت‌های پژوهش و پیشنهادهایی برای پژوهش‌های آتی ارائه می‌شود.</w:t>
      </w:r>
    </w:p>
    <w:p>
      <w:pPr>
        <w:bidi/>
        <w:spacing w:after="80"/>
        <w:jc w:val="lowKashida"/>
      </w:pPr>
      <w:r>
        <w:rPr>
          <w:rtl/>
        </w:rPr>
        <w:t xml:space="preserve">سرتیترهای این فصل به ترتیب عبارت‌اند از: مروری بر خلاصه تحقیق (۵-۲)، بحث و نتیجه‌گیری (۵-۳) شامل بحث و نتیجه‌گیری درباره پرسش اول پژوهش (۵-۳-۱) و پرسش دوم پژوهش (۵-۳-۲)، پیشنهادات تحقیق (۵-۴)، محدودیت‌های پژوهش (۵-۵) و پیشنهادهایی برای پژوهش‌های آتی (۵-۶).</w:t>
      </w:r>
    </w:p>
    <w:p>
      <w:pPr>
        <w:pStyle w:val="Heading2"/>
        <w:keepNext/>
        <w:bidi/>
        <w:spacing w:before="240" w:after="80"/>
        <w:jc w:val="lowKashida"/>
      </w:pPr>
      <w:r>
        <w:t>۵-۲ مروری بر خلاصه تحقیق</w:t>
      </w:r>
    </w:p>
    <w:p>
      <w:pPr>
        <w:bidi/>
        <w:spacing w:after="80"/>
        <w:jc w:val="lowKashida"/>
      </w:pPr>
      <w:r>
        <w:rPr>
          <w:rtl/>
        </w:rPr>
        <w:t xml:space="preserve">مسئله‌ای که این پژوهش از آن آغاز شد، وضعیت خاص بنگاه‌هایی است که تمام درآمد خود را از یک محصول به دست می‌آورند. چنین بنگاهی، برخلاف رقیب چندمحصولی خود، سپری در برابر افت فروش ندارد و هر تکانه‌ای در بازار بدون واسطه به کل سازمان منتقل می‌شود. با وجود این حساسیت، مرور ادبیات نشان داد که چالش‌های فروش این دسته از بنگاه‌ها در صنعت مواد غذایی ایران به طور اختصاصی مطالعه نشده است.</w:t>
      </w:r>
    </w:p>
    <w:p>
      <w:pPr>
        <w:bidi/>
        <w:spacing w:after="80"/>
        <w:jc w:val="lowKashida"/>
      </w:pPr>
      <w:r>
        <w:rPr>
          <w:rtl/>
        </w:rPr>
        <w:t xml:space="preserve">برای پاسخ به این خلأ، پژوهشی اکتشافی با رویکرد آمیخته و به روش دلفی طراحی شد.</w:t>
      </w:r>
      <w:r>
        <w:rPr>
          <w:rtl/>
        </w:rPr>
        <w:t xml:space="preserve"> پانل پژوهش را هفت خبره تشکیل می‌دادند، شامل یک عضو هیئت علمی، دو مدیر فروش، سه کارشناس فروش و یک مدیر برنامه‌ریزی تولید، که به روش نمونه‌گیری هدفمند قضاوتی انتخاب شدند.</w:t>
      </w:r>
      <w:r>
        <w:rPr>
          <w:rtl/>
        </w:rPr>
        <w:t xml:space="preserve"> فرایند دلفی در سه دور اجرا شد.</w:t>
      </w:r>
      <w:r>
        <w:rPr>
          <w:rtl/>
        </w:rPr>
        <w:t xml:space="preserve"> در دور نخست، از اعضا پرسشی باز درباره چالش‌های فروش بنگاه تک‌محصولی پرسیده شد.</w:t>
      </w:r>
      <w:r>
        <w:rPr>
          <w:rtl/>
        </w:rPr>
        <w:t xml:space="preserve"> در دور دوم و سوم، هر عضو اهمیت گویه‌های برآمده از دور نخست را بر طیفی پنج‌درجه‌ای امتیاز داد و در دور سوم، بازخورد ناشناس دور دوم را در اختیار داشت.</w:t>
      </w:r>
    </w:p>
    <w:p>
      <w:pPr>
        <w:bidi/>
        <w:spacing w:after="80"/>
        <w:jc w:val="lowKashida"/>
      </w:pPr>
      <w:r>
        <w:rPr>
          <w:rtl/>
        </w:rPr>
        <w:t xml:space="preserve">پاسخ‌های دور نخست به روش تحلیل مضمون کدگذاری شد و پس از ترکیب با چالش‌های برگرفته از ادبیات، به بیست‌ونه گویه انجامید.</w:t>
      </w:r>
      <w:r>
        <w:rPr>
          <w:rtl/>
        </w:rPr>
        <w:t xml:space="preserve"> وزن‌دهی نهایی با روش AHP، بدون محاسبه‌ی مقایسه‌های زوجی، به ترتیب زیر انجام شد: پرسشنامه دور سوم میان اعضای پانل توزیع شد و وزن هر گویه از میانگین امتیاز آن به دست آمد؛ سپس گویه‌ها در نُه مؤلفه (پنج مؤلفه درون‌سازمانی با هجده گویه و چهار مؤلفه برون‌سازمانی با یازده گویه) سازمان یافتند و وزن هر مؤلفه از وزن گویه‌های آن محاسبه شد. برای سنجش استواری، همین سلسله‌مراتب با ماتریس‌های مقایسه زوجی برآوردی از امتیازهای دور سوم نیز وزن شد.</w:t>
      </w:r>
    </w:p>
    <w:p>
      <w:pPr>
        <w:bidi/>
        <w:spacing w:after="80"/>
        <w:jc w:val="lowKashida"/>
      </w:pPr>
      <w:r>
        <w:rPr>
          <w:rtl/>
        </w:rPr>
        <w:t xml:space="preserve">ضریب هماهنگی کندال از ۰٫۲۲۴ در دور دوم، که توافقی ضعیف را نشان می‌داد، به ۰٫۷۵۶ در دور سوم، که توافقی قوی است، رسید و در هر دو دور از نظر آماری معنادار بود.</w:t>
      </w:r>
      <w:r>
        <w:rPr>
          <w:rtl/>
        </w:rPr>
        <w:t xml:space="preserve"> میانگین انحراف معیار گویه‌ها نیز از ۰٫۷۳ به ۰٫۱۷ کاهش یافت.</w:t>
      </w:r>
      <w:r>
        <w:rPr>
          <w:rtl/>
        </w:rPr>
        <w:t xml:space="preserve"> ضریب همبستگی رتبه‌ای اسپیرمن میان دو دور پایانی ۰٫۸۴۷ به دست آمد.</w:t>
      </w:r>
      <w:r>
        <w:rPr>
          <w:rtl/>
        </w:rPr>
        <w:t xml:space="preserve"> بر این پایه، توافق معنادار اعضای پانل در دور نهایی تأیید شد و رتبه‌بندی میان دور دوم و سوم به ثبات رسیده بود.</w:t>
      </w:r>
    </w:p>
    <w:p>
      <w:pPr>
        <w:bidi/>
        <w:spacing w:after="80"/>
        <w:jc w:val="lowKashida"/>
      </w:pPr>
      <w:r>
        <w:rPr>
          <w:rtl/>
        </w:rPr>
        <w:t xml:space="preserve">در وزن‌دهی نهایی، در سطح گویه، «ورود رقبای جدید و افزایش شدت رقابت» و «افزایش بهای تمام‌شده و فشار بر حاشیه سود» هر دو با میانگین ۵٫۰۰ و وزن ۰٫۰۴۲۴ در صدر جای گرفتند. در سطح مؤلفه، «فشارهای اقتصاد کلان و کاهش قدرت خرید» با وزن ۰٫۱۲۲ در رتبه نخست قرار گرفت و مؤلفه‌های «تغییر ذائقه مصرف‌کننده و محدودیت بازار هدف» (۰٫۱۲۰) و «شدت رقابت و فشار قیمتی بازار» (۰٫۱۱۷) در رتبه‌های دوم و سوم ایستادند. هر چهار مؤلفه برون‌سازمانی در پنج رتبه نخست بودند. این دو فهرست وزن‌دار، مبنای بحث این فصل‌اند.</w:t>
      </w:r>
    </w:p>
    <w:p>
      <w:pPr>
        <w:pStyle w:val="Heading2"/>
        <w:keepNext/>
        <w:bidi/>
        <w:spacing w:before="240" w:after="80"/>
        <w:jc w:val="lowKashida"/>
      </w:pPr>
      <w:r>
        <w:t>۵-۳ بحث و نتیجه‌گیری</w:t>
      </w:r>
    </w:p>
    <w:p>
      <w:pPr>
        <w:bidi/>
        <w:spacing w:after="80"/>
        <w:jc w:val="lowKashida"/>
      </w:pPr>
      <w:r>
        <w:rPr>
          <w:rtl/>
        </w:rPr>
        <w:t xml:space="preserve">در این بخش، یافته‌های فصل چهارم بر پایه دو پرسش پژوهش تفسیر می‌شود.</w:t>
      </w:r>
      <w:r>
        <w:rPr>
          <w:rtl/>
        </w:rPr>
        <w:t xml:space="preserve"> پرسش نخست درباره ماهیت چالش‌هاست و پاسخ آن در برابر فهرست چالش‌های برگرفته از ادبیات (جدول ۲-۱) سنجیده می‌شود.</w:t>
      </w:r>
      <w:r>
        <w:rPr>
          <w:rtl/>
        </w:rPr>
        <w:t xml:space="preserve"> پرسش دوم درباره اولویت چالش‌هاست و با تکیه بر وزن‌های AHP گویه‌ها و مؤلفه‌ها و شاخص‌های ثبات اجماع بحث می‌شود.</w:t>
      </w:r>
    </w:p>
    <w:p>
      <w:pPr>
        <w:pStyle w:val="Heading3"/>
        <w:keepNext/>
        <w:bidi/>
        <w:spacing w:before="180" w:after="80"/>
        <w:jc w:val="lowKashida"/>
      </w:pPr>
      <w:r>
        <w:t>۵-۳-۱ بحث و نتیجه‌گیری درباره پرسش اول پژوهش</w:t>
      </w:r>
    </w:p>
    <w:p>
      <w:pPr>
        <w:bidi/>
        <w:spacing w:after="80"/>
        <w:jc w:val="lowKashida"/>
      </w:pPr>
      <w:r>
        <w:rPr>
          <w:rtl/>
        </w:rPr>
        <w:t xml:space="preserve">پرسش نخست پژوهش این بود که چالش‌های فروش در شرکت‌های تک‌محصولی فعال در صنعت مواد غذایی کدام‌اند.</w:t>
      </w:r>
      <w:r>
        <w:rPr>
          <w:rtl/>
        </w:rPr>
        <w:t xml:space="preserve"> پاسخ فصل چهارم، فهرستی از بیست‌ونه گویه بود (جدول ۴-۶) که در سلسله‌مراتب AHP در نُه مؤلفه سازمان یافت (جدول ۴-۱۲).</w:t>
      </w:r>
      <w:r>
        <w:rPr>
          <w:rtl/>
        </w:rPr>
        <w:t xml:space="preserve"> برای روشن‌شدن جایگاه این فهرست، آن با دوازده عامل برگرفته از ادبیات در جدول ۲-۱ مقایسه می‌شود؛ مقایسه‌ای که در بخش ۲-۴-۱ برای این فصل پیش‌بینی شده بود.</w:t>
      </w:r>
      <w:r>
        <w:rPr>
          <w:rtl/>
        </w:rPr>
        <w:t xml:space="preserve"> این مقایسه سه وضعیت را آشکار می‌سازد: عواملی که ادبیات را تأیید می‌کنند، عواملی که در آن جدول همتای روشنی ندارند و می‌توان آن‌ها را سهم افزوده این پژوهش دانست، و عواملی که در ادبیات آمده‌اند اما اعضای پانل آن‌ها را مطرح نکردند.</w:t>
      </w:r>
    </w:p>
    <w:p>
      <w:pPr>
        <w:bidi/>
        <w:spacing w:after="80"/>
        <w:jc w:val="lowKashida"/>
      </w:pPr>
      <w:r>
        <w:rPr>
          <w:rtl/>
        </w:rPr>
        <w:t xml:space="preserve">در گروه نخست، بیشتر مؤلفه‌ها با ادبیات همخوان‌اند. مؤلفه آسیب‌پذیری ساختاری ناشی از تمرکز بر محصول واحد، یعنی وابستگی کامل درآمد به تقاضای یک محصول و نبود امکان جبران افت فروش از محل سایر اقلام، با یافته مامن و همکاران (۲۰۲۱)</w:t>
      </w:r>
      <w:r>
        <w:rPr>
          <w:rStyle w:val="FootnoteReference"/>
        </w:rPr>
        <w:footnoteReference w:id="1"/>
      </w:r>
      <w:r>
        <w:rPr>
          <w:rtl/>
        </w:rPr>
        <w:t xml:space="preserve"> هم‌سوست؛ </w:t>
      </w:r>
      <w:r>
        <w:rPr>
          <w:rtl/>
        </w:rPr>
        <w:t xml:space="preserve">آنان نشان دادند تنوع محصولی ریسک بنگاه را کاهش می‌دهد. تفاوت پژوهش حاضر در سطح تحلیل است: ادبیات تمرکز و تنوع، از جمله پژوهش‌هایی که شومر و همکاران (۲۰۱۹)</w:t>
      </w:r>
      <w:r>
        <w:rPr>
          <w:rStyle w:val="FootnoteReference"/>
        </w:rPr>
        <w:footnoteReference w:id="2"/>
      </w:r>
      <w:r>
        <w:rPr>
          <w:rtl/>
        </w:rPr>
        <w:t xml:space="preserve"> در فراتحلیل خود مرور کرده‌اند، رابطه ساختار سبد محصول را با عملکرد و ریسک عمدتاً با داده‌های مالی دنبال کرده بود</w:t>
      </w:r>
      <w:r>
        <w:rPr>
          <w:rtl/>
        </w:rPr>
        <w:t xml:space="preserve">، حال آنکه پانل همان سازوکار را در سطح عملیات فروش بازمی‌یابد و آن را به صورت نبود امکان جبران افت فروش از محل سایر اقلام سبد بیان می‌کند. سه گویه این مؤلفه، یعنی وابستگی کامل درآمد، نبود امکان جبران و کاهش انعطاف‌پذیری، در واقع سه صورت‌بندی از همان سازوکاری‌اند که </w:t>
      </w:r>
      <w:r>
        <w:rPr>
          <w:rtl/>
        </w:rPr>
        <w:t xml:space="preserve">ادبیات مالی با شاخص ریسک اندازه می‌گیرد</w:t>
      </w:r>
      <w:r>
        <w:rPr>
          <w:rtl/>
        </w:rPr>
        <w:t xml:space="preserve">.</w:t>
      </w:r>
    </w:p>
    <w:p>
      <w:pPr>
        <w:bidi/>
        <w:spacing w:after="80"/>
        <w:jc w:val="lowKashida"/>
      </w:pPr>
      <w:r>
        <w:rPr>
          <w:rtl/>
        </w:rPr>
        <w:t xml:space="preserve">مؤلفه ناپایداری تأمین و نوسان بهای مواد اولیه </w:t>
      </w:r>
      <w:r>
        <w:rPr>
          <w:rtl/>
        </w:rPr>
        <w:t xml:space="preserve">با الگوی کریمی و همکاران (۱۴۰۳) همخوان است که اختلال‌ها را به تاب‌آوری زنجیره تأمین مواد غذایی و موقعیت بازاری آن مرتبط می‌داند</w:t>
      </w:r>
      <w:r>
        <w:rPr>
          <w:rtl/>
        </w:rPr>
        <w:t xml:space="preserve">. گویه ضعف در پیش‌بینی دقیق تقاضا با یافته اسکندری و همکاران (۱۴۰۴) </w:t>
      </w:r>
      <w:r>
        <w:rPr>
          <w:rtl/>
        </w:rPr>
        <w:t xml:space="preserve">همخوانی دارد، و گویه محدودیت منابع مالی برای توزیع و ترویج محصول از منظر مالی با موانع مالی شناسایی‌شده در بنگاه‌های کوچک غذایی (زین و همکاران، ۲۰۲۳)</w:t>
      </w:r>
      <w:r>
        <w:rPr>
          <w:rStyle w:val="FootnoteReference"/>
        </w:rPr>
        <w:footnoteReference w:id="3"/>
      </w:r>
      <w:r>
        <w:rPr>
          <w:rtl/>
        </w:rPr>
        <w:t xml:space="preserve"> سازگار است، هرچند موضوع آن پژوهش مدیریت زنجیره تأمین سبز است</w:t>
      </w:r>
      <w:r>
        <w:rPr>
          <w:rtl/>
        </w:rPr>
        <w:t xml:space="preserve">. مؤلفه شدت رقابت و فشار قیمتی بازار نیز با چارچوب نیروهای پنج‌گانه رقابتی (پانگارکار و پرابهوداسای، ۲۰۲۴)</w:t>
      </w:r>
      <w:r>
        <w:rPr>
          <w:rStyle w:val="FootnoteReference"/>
        </w:rPr>
        <w:footnoteReference w:id="4"/>
      </w:r>
      <w:r>
        <w:rPr>
          <w:rtl/>
        </w:rPr>
        <w:t xml:space="preserve"> مطابقت دارد: ورود رقبای جدید، حضور محصولات جایگزین و برندهای رقیب دارای سبد متنوع، و رقابت قیمتی هر سه در فهرست پانل آمده‌اند، و گویه کاهش قدرت چانه‌زنی در برابر شبکه توزیع و خرده‌فروشی چندمحصولی نیروی چانه‌زنی خریدار را بازتاب می‌دهد. گویه هزینه بالای پخش و توزیع به ازای یک قلم کالا با استدلال فصل دوم درباره سرشکن‌شدن هزینه ثابت توزیع بر یک قلم، </w:t>
      </w:r>
      <w:r>
        <w:rPr>
          <w:rtl/>
        </w:rPr>
        <w:t xml:space="preserve">و با یافته سوریاتی و لوسیه (۲۰۲۲)</w:t>
      </w:r>
      <w:r>
        <w:rPr>
          <w:rStyle w:val="FootnoteReference"/>
        </w:rPr>
        <w:footnoteReference w:id="5"/>
      </w:r>
      <w:r>
        <w:rPr>
          <w:rtl/>
        </w:rPr>
        <w:t xml:space="preserve"> درباره اثر مستقیم کانال توزیع بر بهبود حجم فروش سازگار است</w:t>
      </w:r>
      <w:r>
        <w:rPr>
          <w:rtl/>
        </w:rPr>
        <w:t xml:space="preserve">. مؤلفه ضعف برندسازی و دشواری تمایز محصول نیز با یافته توماران و همکاران (۲۰۲۲)</w:t>
      </w:r>
      <w:r>
        <w:rPr>
          <w:rStyle w:val="FootnoteReference"/>
        </w:rPr>
        <w:footnoteReference w:id="6"/>
      </w:r>
      <w:r>
        <w:rPr>
          <w:rtl/>
        </w:rPr>
        <w:t xml:space="preserve"> </w:t>
      </w:r>
      <w:r>
        <w:rPr>
          <w:rtl/>
        </w:rPr>
        <w:t xml:space="preserve">درباره پیوند مزیت تمایز با نوآوری</w:t>
      </w:r>
      <w:r>
        <w:rPr>
          <w:rtl/>
        </w:rPr>
        <w:t xml:space="preserve"> و ریسک‌پذیری کارآفرینانه، </w:t>
      </w:r>
      <w:r>
        <w:rPr>
          <w:rtl/>
        </w:rPr>
        <w:t xml:space="preserve">و با یافته صفری و اسماعیل‌نژاد (۱۴۰۳) درباره جایگاه ضعف برندسازی در میان موانع فروش محصولات سبز همسو است. در مؤلفه تغییر ذائقه مصرف‌کننده، اما، آسیابانی و همکاران (۱۴۰۴) در بازار برنج ثبات ساختاری ترجیحات و تداوم وفاداری به برنج ایرانی را گزارش کرده‌اند که با اولویت بالای این مؤلفه در پانل هم‌جهت نیست؛ این تفاوت ممکن است ناشی از تفاوت محصول (برنج کالایی اساسی است) و تفاوت روش (ترجیح آشکارشده در برابر ادراک خبرگان) باشد. همپوشانی‌های یادشده نشان می‌دهد فهرست حاصل از دلفی پدیده‌ای محلی و منحصربه‌فرد نیست و ریشه در الگوهایی دارد که در بسترهای گوناگون تکرار می‌شوند</w:t>
      </w:r>
      <w:r>
        <w:rPr>
          <w:rtl/>
        </w:rPr>
        <w:t xml:space="preserve">.</w:t>
      </w:r>
    </w:p>
    <w:p>
      <w:pPr>
        <w:bidi/>
        <w:spacing w:after="80"/>
        <w:jc w:val="lowKashida"/>
      </w:pPr>
      <w:r>
        <w:rPr>
          <w:rtl/>
        </w:rPr>
        <w:t xml:space="preserve">در گروه دوم، گویه‌هایی قرار دارند که در جدول ۲-۱ همتای روشنی ندارند.</w:t>
      </w:r>
      <w:r>
        <w:rPr>
          <w:rtl/>
        </w:rPr>
        <w:t xml:space="preserve"> نخست، فشارهای اقتصاد کلان، یعنی افزایش بهای تمام‌شده و فشار بر حاشیه سود و نیز کاهش قدرت خرید و مشکلات اقتصادی مصرف‌کننده.</w:t>
      </w:r>
      <w:r>
        <w:rPr>
          <w:rtl/>
        </w:rPr>
        <w:t xml:space="preserve"> مبانی نظری فصل دوم نوسانات اقتصاد کلان را در شمار عوامل محیطی آورده بود، اما این عامل به فهرست دوازده‌گانه جدول ۲-۱ راه نیافت و پیشینه داخلی نیز نوسان قیمت مواد غذایی را بیشتر انگیزه پژوهش دانسته بود تا چالشی مستقل برای فروش (اسکندری و همکاران، ۱۴۰۴).</w:t>
      </w:r>
      <w:r>
        <w:rPr>
          <w:rtl/>
        </w:rPr>
        <w:t xml:space="preserve"> دوم، گویه‌هایی که به نظر می‌رسد پیامد مستقیم ساختار تک‌محصولی‌اند: محدود بودن بازار هدف به یک گروه خاص از مشتریان و افت ناگهانی تقاضا؛ تغییر سریع ذائقه و ترجیحات مصرف‌کننده نیز در جدول ۲-۱ همتای روشن ندارد.</w:t>
      </w:r>
      <w:r>
        <w:rPr>
          <w:rtl/>
        </w:rPr>
        <w:t xml:space="preserve"> سوم، دشواری جذب و حفظ مشتری، یعنی جذب مشتری جدید، وفاداری پایین و نبود پیشنهاد تازه برای حفظ و فعال‌سازی مجدد مشتریان فعلی؛ سازوکاری که در آن، نداشتن سبد محصول ابزار نگهداشت مشتری را نیز محدود می‌کند. چهارم، کم‌توجهی به تحقیقات بازار و مطالعه رفتار مصرف‌کننده، که از نظر موضوعی با شکاف نگرش و رفتار خرید مرتبط است، در جدول ۲-۱ همتای روشن ندارد.</w:t>
      </w:r>
    </w:p>
    <w:p>
      <w:pPr>
        <w:bidi/>
        <w:spacing w:after="80"/>
        <w:jc w:val="lowKashida"/>
      </w:pPr>
      <w:r>
        <w:rPr>
          <w:rtl/>
        </w:rPr>
        <w:t xml:space="preserve">گروه سوم عواملی‌اند که در ادبیات آمده، اما اعضای پانل در دور نخست آن‌ها را مطرح نکردند: الزامات نظارتی و ایمنی مواد غذایی (مانگلا و همکاران، ۲۰۲۱)</w:t>
      </w:r>
      <w:r>
        <w:rPr>
          <w:rStyle w:val="FootnoteReference"/>
        </w:rPr>
        <w:footnoteReference w:id="7"/>
      </w:r>
      <w:r>
        <w:rPr>
          <w:rtl/>
        </w:rPr>
        <w:t xml:space="preserve">، محدودیت دانش و مهارت منابع انسانی، از جمله کمبود نیروی فروش ماهر (تانئو و همکاران، ۲۰۲۲)</w:t>
      </w:r>
      <w:r>
        <w:rPr>
          <w:rStyle w:val="FootnoteReference"/>
        </w:rPr>
        <w:footnoteReference w:id="8"/>
      </w:r>
      <w:r>
        <w:rPr>
          <w:rtl/>
        </w:rPr>
        <w:t xml:space="preserve">، شکاف نگرش و رفتار خرید مصرف‌کننده (صفری و اسماعیل‌نژاد، ۱۴۰۳) و بُعد دیجیتال فروش که در بخش ۲-۴ به عنوان یکی از شکاف‌های ادبیات معرفی شد.</w:t>
      </w:r>
      <w:r>
        <w:rPr>
          <w:rtl/>
        </w:rPr>
        <w:t xml:space="preserve"> دو تفسیر برای این سکوت ممکن است: یا این عوامل در تجربه بنگاه‌های تک‌محصولی مورد مطالعه اهمیت کمتری دارند، یا به دلیل ماهیت باز پرسش دور نخست، که عمداً بدون فهرست پیشنهادی مطرح شد (بخش ۳-۵)، فرصت طرح نیافته‌اند.</w:t>
      </w:r>
      <w:r>
        <w:rPr>
          <w:rtl/>
        </w:rPr>
        <w:t xml:space="preserve"> فهرست گویه‌های دورهای رتبه‌بندی از پاسخ‌های دور نخست و ترکیب آن با چالش‌های برگرفته از ادبیات ساخته شد؛ بنابراین پانل این عوامل را رتبه‌بندی نکرد و داده‌های پژوهش برای تفکیک دو تفسیر کافی نیست.</w:t>
      </w:r>
      <w:r>
        <w:rPr>
          <w:rtl/>
        </w:rPr>
        <w:t xml:space="preserve"> این موضوع در بخش پیشنهادهای آتی آمده است.</w:t>
      </w:r>
    </w:p>
    <w:p>
      <w:pPr>
        <w:bidi/>
        <w:spacing w:after="80"/>
        <w:jc w:val="lowKashida"/>
      </w:pPr>
      <w:r>
        <w:rPr>
          <w:rtl/>
        </w:rPr>
        <w:t xml:space="preserve">برای آنکه تصویر مقایسه یکجا در دسترس باشد، جدول ۵-۱ نسبت هر مؤلفه شناسایی‌شده را با ادبیات پیشین نشان می‌دهد.</w:t>
      </w:r>
    </w:p>
    <w:p>
      <w:pPr>
        <w:pStyle w:val="TableCaption"/>
        <w:keepNext/>
        <w:spacing w:before="160" w:after="80"/>
        <w:jc w:val="center"/>
        <w:rPr>
          <w:vanish/>
        </w:rPr>
      </w:pPr>
      <w:r>
        <w:t xml:space="preserve">جدول ۵-۱ نسبت مؤلفه‌های شناسایی‌شده با یافته‌های پژوهش‌های پیشین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2538"/>
        <w:gridCol w:w="3007"/>
        <w:gridCol w:w="2538"/>
      </w:tblGrid>
      <w:tr w:rsidR="00414E0E" w14:paraId="2737253F" w14:textId="77777777" w:rsidTr="00824313">
        <w:trPr>
          <w:tblHeade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495C4" w14:textId="77777777" w:rsidR="00414E0E" w:rsidRDefault="00414E0E" w:rsidP="00414E0E">
            <w:pPr>
              <w:bidi/>
              <w:jc w:val="center"/>
            </w:pPr>
            <w:r>
              <w:rPr>
                <w:b/>
                <w:bCs/>
                <w:sz w:val="22"/>
                <w:szCs w:val="22"/>
                <w:rtl/>
              </w:rPr>
              <w:t xml:space="preserve">ردیف</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265A9" w14:textId="77777777" w:rsidR="00414E0E" w:rsidRDefault="00414E0E" w:rsidP="00414E0E">
            <w:pPr>
              <w:bidi/>
              <w:jc w:val="center"/>
            </w:pPr>
            <w:r>
              <w:rPr>
                <w:b/>
                <w:bCs/>
                <w:sz w:val="22"/>
                <w:szCs w:val="22"/>
                <w:rtl/>
              </w:rPr>
              <w:t xml:space="preserve">مؤلفه</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2B59F" w14:textId="77777777" w:rsidR="00414E0E" w:rsidRDefault="00414E0E" w:rsidP="00414E0E">
            <w:pPr>
              <w:bidi/>
              <w:jc w:val="center"/>
            </w:pPr>
            <w:r>
              <w:rPr>
                <w:b/>
                <w:bCs/>
                <w:sz w:val="22"/>
                <w:szCs w:val="22"/>
                <w:rtl/>
              </w:rPr>
              <w:t xml:space="preserve">پژوهش‌های پیشین مرتبط</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E7B90" w14:textId="77777777" w:rsidR="00414E0E" w:rsidRDefault="00414E0E" w:rsidP="00414E0E">
            <w:pPr>
              <w:bidi/>
              <w:jc w:val="center"/>
            </w:pPr>
            <w:r>
              <w:rPr>
                <w:b/>
                <w:bCs/>
                <w:sz w:val="22"/>
                <w:szCs w:val="22"/>
                <w:rtl/>
              </w:rPr>
              <w:t xml:space="preserve">نسبت با ادبیات</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۱</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آسیب‌پذیری ساختاری ناشی از تمرکز بر محصول واحد</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مامن و همکاران (۲۰۲۱)</w:t>
            </w:r>
            <w:r>
              <w:rPr>
                <w:rStyle w:val="FootnoteReference"/>
              </w:rPr>
              <w:footnoteReference w:id="9"/>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تأیید در سطح تازه: ادبیات این ریسک را با داده مالی نشان داده بود، این پژوهش آن را در سطح عملیات فروش بازمی‌یابد</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۲</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ضعف برندسازی و دشواری تمایز محصول</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توماران و همکاران (۲۰۲۲)</w:t>
            </w:r>
            <w:r>
              <w:rPr>
                <w:rStyle w:val="FootnoteReference"/>
              </w:rPr>
              <w:footnoteReference w:id="10"/>
            </w:r>
            <w:r>
              <w:rPr>
                <w:sz w:val="22"/>
                <w:szCs w:val="22"/>
                <w:rtl/>
              </w:rPr>
              <w:t xml:space="preserve">؛ قلی‌پور و همکاران (۱۴۰۳)؛ صفری و اسماعیل‌نژاد (۱۴۰۳)؛ میثمی‌آزاد و همکاران (۱۴۰۰)</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همسویی موضوعی (صفری و اسماعیل‌نژاد ضعف برندسازی را دومین مانع فروش محصولات سبز یافته‌اند)، اما در پایین‌ترین رتبه (نهم) رتبه‌بندی نهایی</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دشواری جذب و حفظ مشتری و وفاداری پایین</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صفری و اسماعیل‌نژاد (۱۴۰۳)؛ شاه</w:t>
            </w:r>
            <w:r>
              <w:rPr>
                <w:sz w:val="22"/>
                <w:szCs w:val="22"/>
                <w:rtl/>
              </w:rPr>
              <w:t xml:space="preserve"> و همکاران (۲۰۲۳)</w:t>
            </w:r>
            <w:r>
              <w:rPr>
                <w:rStyle w:val="FootnoteReference"/>
              </w:rPr>
              <w:footnoteReference w:id="11"/>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تأیید جزئی: ادبیات بر دشواری جلب مصرف‌کننده تأکید دارد؛ نبود پیشنهاد تازه برای مشتریان فعلی افزوده پانل است</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ضعف در برنامه‌ریزی، پیش‌بینی و مدیریت فروش</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اسکندری و همکاران (۱۴۰۴)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تأیید، اما با اولویتی پایین‌تر: دقت پیش‌بینی تقاضا در پژوهش اسکندری و همکاران از مهم‌ترین موانع فروش است، در این پژوهش مؤلفه رتبه هشتم را دارد</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۵</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ناکارآمدی و هزینه‌بری شبکه توزیع و فروش</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سوریاتی و لوسیه (۲۰۲۲)</w:t>
            </w:r>
            <w:r>
              <w:rPr>
                <w:rStyle w:val="FootnoteReference"/>
              </w:rPr>
              <w:footnoteReference w:id="12"/>
            </w:r>
            <w:r>
              <w:rPr>
                <w:sz w:val="22"/>
                <w:szCs w:val="22"/>
                <w:rtl/>
              </w:rPr>
              <w:t xml:space="preserve">؛ پانگارکار و پرابهوداسای (۲۰۲۴) درباره قدرت چانه‌زنی خریدار</w:t>
            </w:r>
            <w:r>
              <w:rPr>
                <w:rStyle w:val="FootnoteReference"/>
              </w:rPr>
              <w:footnoteReference w:id="13"/>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تأیید جزئی: اثر کانال توزیع بر فروش در ادبیات آمده بود؛ سرشکن‌نشدن هزینه ثابت پخش بر یک قلم کالا، که فصل دوم از استدلال نظری پیش‌بینی کرده بود، با میانگین ۴٫۴۳ تأیید شد</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۶</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شدت رقابت و فشار قیمتی بازار</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پانگارکار و پرابهوداسای (۲۰۲۴)</w:t>
            </w:r>
            <w:r>
              <w:rPr>
                <w:rStyle w:val="FootnoteReference"/>
              </w:rPr>
              <w:footnoteReference w:id="14"/>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همسویی با چارچوب نیروهای پنج‌گانه؛ گویه‌های آن</w:t>
            </w:r>
            <w:r>
              <w:rPr>
                <w:sz w:val="22"/>
                <w:szCs w:val="22"/>
                <w:rtl/>
              </w:rPr>
              <w:t xml:space="preserve"> با سه نیروی ورود رقیب، محصولات جایگزین و رقابت موجود متناظرند و «ورود رقبای جدید» بالاترین میانگین (۵٫۰۰) را دارد</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۷</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تغییر ذائقه مصرف‌کننده و محدودیت بازار هدف</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آسیابانی و همکاران (۱۴۰۴)؛ صفری و اسماعیل‌نژاد (۱۴۰۳)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ناهمسویی نسبی: آسیابانی و همکاران در بازار برنج ثبات ترجیحات را یافته‌اند؛ شکاف نگرش و رفتار (صفری و اسماعیل‌نژاد) از نظر موضوعی مرتبط است؛ محدود بودن بازار هدف و افت ناگهانی تقاضا در جدول ۲-۱ همتایی ندارد</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۸</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ناپایداری تأمین و نوسان بهای مواد اولیه</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کریمی و همکاران (۱۴۰۳)</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تأیید: اختلال‌های زنجیره تأمین در ادبیات آمده بود؛ نوسان بهای مواد اولیه در آن به‌صراحت نیامده است</w:t>
            </w:r>
          </w:p>
        </w:tc>
      </w:tr>
      <w:tr w:rsidR="00414E0E" w14:paraId="6770D001" w14:textId="77777777" w:rsidTr="00824313">
        <w:trPr>
          <w:cantSplit/>
        </w:trPr>
        <w:tc>
          <w:tcPr>
            <w:tcW w:w="7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CA4E0" w14:textId="77777777" w:rsidR="00414E0E" w:rsidRDefault="00414E0E" w:rsidP="00414E0E">
            <w:pPr>
              <w:bidi/>
              <w:jc w:val="center"/>
            </w:pPr>
            <w:r>
              <w:rPr>
                <w:sz w:val="22"/>
                <w:szCs w:val="22"/>
                <w:rtl/>
              </w:rPr>
              <w:t xml:space="preserve">۹</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DE7AF" w14:textId="77777777" w:rsidR="00414E0E" w:rsidRDefault="00414E0E" w:rsidP="00414E0E">
            <w:pPr>
              <w:bidi/>
              <w:jc w:val="center"/>
            </w:pPr>
            <w:r>
              <w:rPr>
                <w:sz w:val="22"/>
                <w:szCs w:val="22"/>
                <w:rtl/>
              </w:rPr>
              <w:t xml:space="preserve">فشارهای اقتصاد کلان و کاهش قدرت خرید</w:t>
            </w:r>
          </w:p>
        </w:tc>
        <w:tc>
          <w:tcPr>
            <w:tcW w:w="30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E1B42" w14:textId="77777777" w:rsidR="00414E0E" w:rsidRDefault="00414E0E" w:rsidP="00414E0E">
            <w:pPr>
              <w:bidi/>
              <w:jc w:val="center"/>
            </w:pPr>
            <w:r>
              <w:rPr>
                <w:sz w:val="22"/>
                <w:szCs w:val="22"/>
                <w:rtl/>
              </w:rPr>
              <w:t xml:space="preserve">مبانی نظری فصل دوم؛ اسکندری و همکاران (۱۴۰۴)</w:t>
            </w:r>
          </w:p>
        </w:tc>
        <w:tc>
          <w:tcPr>
            <w:tcW w:w="2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8A863" w14:textId="77777777" w:rsidR="00414E0E" w:rsidRDefault="00414E0E" w:rsidP="00414E0E">
            <w:pPr>
              <w:bidi/>
              <w:jc w:val="center"/>
            </w:pPr>
            <w:r>
              <w:rPr>
                <w:sz w:val="22"/>
                <w:szCs w:val="22"/>
                <w:rtl/>
              </w:rPr>
              <w:t xml:space="preserve">سهم افزوده: مبانی نظری فصل دوم آن را آورده بود، اما در جدول ۲-۱ جای نداشت؛ در رتبه‌بندی نهایی رتبه نخست را دارد</w:t>
            </w:r>
          </w:p>
        </w:tc>
      </w:tr>
    </w:tbl>
    <w:p>
      <w:pPr>
        <w:bidi/>
        <w:spacing w:after="60"/>
        <w:jc w:val="lowKashida"/>
      </w:pPr>
    </w:p>
    <w:p>
      <w:pPr>
        <w:bidi/>
        <w:spacing w:after="80"/>
        <w:jc w:val="lowKashida"/>
      </w:pPr>
      <w:r>
        <w:rPr>
          <w:rtl/>
        </w:rPr>
        <w:t xml:space="preserve">چنان‌که جدول ۵-۱ نشان می‌دهد، نسبت یافته‌ها با ادبیات یکدست نیست: </w:t>
      </w:r>
      <w:r>
        <w:rPr>
          <w:rtl/>
        </w:rPr>
        <w:t xml:space="preserve">هفت مؤلفه دست‌کم بخشی از ادبیات را تأیید می‌کنند یا با آن همسویی موضوعی دارند؛ در مؤلفه دشواری جذب و حفظ مشتری، نبود پیشنهاد تازه برای مشتریان فعلی افزوده پانل است؛ در مؤلفه تغییر ذائقه و محدودیت بازار هدف، یافته آسیابانی و همکاران (۱۴۰۴) درباره ثبات ترجیحات در بازار برنج با اولویت بالای این مؤلفه در پانل هم‌جهت نیست و محدود بودن بازار هدف و افت ناگهانی تقاضا نیز همتایی در جدول ۲-۱ ندارد؛ و مؤلفه فشارهای اقتصاد کلان همتای روشنی در جدول ۲-۱ ندارد</w:t>
      </w:r>
      <w:r>
        <w:rPr>
          <w:rtl/>
        </w:rPr>
        <w:t xml:space="preserve">. همین ناهمگونی نشان می‌دهد یافته‌ها صرفاً بازتولید ادبیات نیستند.</w:t>
      </w:r>
    </w:p>
    <w:p>
      <w:pPr>
        <w:bidi/>
        <w:spacing w:after="80"/>
        <w:jc w:val="lowKashida"/>
      </w:pPr>
      <w:r>
        <w:rPr>
          <w:rtl/>
        </w:rPr>
        <w:t xml:space="preserve">بر این پایه، پاسخ پرسش نخست را می‌توان چنین جمع‌بندی کرد: چالش‌های فروش بنگاه تک‌محصولی در صنعت مواد غذایی ایران در نُه مؤلفه، شامل پنج مؤلفه درون‌سازمانی و چهار مؤلفه برون‌سازمانی، سامان می‌یابد. هسته این فهرست، یعنی ریسک تمرکز، رقابت، تأمین و توزیع، با ادبیات هم‌سوست؛ اما دو ویژگی آن را از فهرست پیشینی جدول ۲-۱ متمایز می‌کند: حضور پررنگ فشارهای اقتصاد کلان، و نمود عملیاتی ریسک تمرکز در بازار هدف محدود، افت ناگهانی تقاضا و دشواری حفظ مشتری.</w:t>
      </w:r>
    </w:p>
    <w:p>
      <w:pPr>
        <w:pStyle w:val="Heading3"/>
        <w:keepNext/>
        <w:bidi/>
        <w:spacing w:before="180" w:after="80"/>
        <w:jc w:val="lowKashida"/>
      </w:pPr>
      <w:r>
        <w:t>۵-۳-۲ بحث و نتیجه‌گیری درباره پرسش دوم پژوهش</w:t>
      </w:r>
    </w:p>
    <w:p>
      <w:pPr>
        <w:bidi/>
        <w:spacing w:after="80"/>
        <w:jc w:val="lowKashida"/>
      </w:pPr>
      <w:r>
        <w:rPr>
          <w:rtl/>
        </w:rPr>
        <w:t xml:space="preserve">پرسش دوم پژوهش اولویت چالش‌های فروش را می‌پرسید و پاسخ فصل چهارم وزن‌دهی به روش AHP است که به ترتیب زیر انجام شد: پرسشنامه دور سوم، با ۲۹ گویه، میان هر هفت عضو پانل توزیع شد؛ وزن هر گویه از میانگین امتیاز آن به دست آمد (جدول ۴-۱۱)؛ سپس گویه‌ها در نُه مؤلفه سازمان یافتند و وزن هر مؤلفه از وزن گویه‌های آن محاسبه شد (جدول ۴-۱۲)؛ و جدول ۴-۱۷ وزن مؤلفه‌ها و گویه‌های هر مؤلفه را یکجا نشان می‌دهد.</w:t>
      </w:r>
      <w:r>
        <w:rPr>
          <w:rtl/>
        </w:rPr>
        <w:t xml:space="preserve"> بحث درباره این وزن‌ها نخست در سطح گویه‌ها و سپس در سطح مؤلفه‌ها انجام می‌شود و در پایان استواری آن‌ها نسبت به شیوه وزن‌دهی بررسی می‌شود.</w:t>
      </w:r>
    </w:p>
    <w:p>
      <w:pPr>
        <w:bidi/>
        <w:spacing w:after="80"/>
        <w:jc w:val="lowKashida"/>
      </w:pPr>
      <w:r>
        <w:rPr>
          <w:rtl/>
        </w:rPr>
        <w:t xml:space="preserve">نخستین نکته درخور بحث آن است که همه چالش‌ها اهمیت بالایی دارند: میانگین هیچ گویه‌ای کمتر از ۳٫۱۴ و میانگین هیچ مؤلفه‌ای کمتر از ۳٫۵۷ نیست، در حالی که نقطه میانی طیف ۳ است. به بیان دیگر، پانل هیچ‌یک از چالش‌های فهرست را کم‌اهمیت ندانسته و وزن‌دهی، چالش‌های مهم را از مهم‌تر جدا می‌کند.</w:t>
      </w:r>
    </w:p>
    <w:p>
      <w:pPr>
        <w:bidi/>
        <w:spacing w:after="80"/>
        <w:jc w:val="lowKashida"/>
      </w:pPr>
      <w:r>
        <w:rPr>
          <w:rtl/>
        </w:rPr>
        <w:t xml:space="preserve">نکته دوم، وزن گویه‌ها: وزن هر گویه از میانگین امتیاز آن در پرسشنامه دور سوم به دست آمد (جدول ۴-۱۱). بیشترین وزن (۰٫۰۴۲۴) به دو گویه «ورود رقبای جدید و افزایش شدت رقابت» و «افزایش بهای تمام‌شده و فشار بر حاشیه سود» تعلق دارد؛ پس از آن‌ها «تغییر سریع ذائقه و ترجیحات مصرف‌کننده در گذر زمان» (۰٫۰۴۰۰) و دو گویه «محدود بودن بازار هدف به یک گروه خاص از مشتریان» و «نوسان و کمبود در تأمین مواد اولیه» (هر دو ۰٫۰۳۸۷) قرار دارند. در پایین جدول، سه گویه «نبود نوآوری و توسعه محصول»، «کم‌توجهی به تحقیقات بازار و مطالعه رفتار مصرف‌کننده» و «ضعف در نظام برنامه‌ریزی و اطلاعات فروش» با وزن ۰٫۰۲۶۶ ایستاده‌اند. هفده گویه میانگین یکسان ۴٫۰۰ و در نتیجه وزن یکسان ۰٫۰۳۳۹ دارند و وزن‌دهی میان آن‌ها تمایزی ایجاد نمی‌کند؛ از این رو بالا و پایین جدول گویه‌ها آگاهی‌بخش‌تر از میانه آن است.</w:t>
      </w:r>
    </w:p>
    <w:p>
      <w:pPr>
        <w:bidi/>
        <w:spacing w:after="80"/>
        <w:jc w:val="lowKashida"/>
      </w:pPr>
      <w:r>
        <w:rPr>
          <w:rtl/>
        </w:rPr>
        <w:t xml:space="preserve">نکته سوم، وزن مؤلفه‌ها و ساختار پلکانی آن‌ها: وزن هر مؤلفه از وزن گویه‌های آن محاسبه شد (جدول ۴-۱۲) و وزن‌ها در سه دسته جای می‌گیرند. چهار مؤلفه نخست با اختلافی اندک از هم قرار دارند: فشارهای اقتصاد کلان (۰٫۱۲۲)، تغییر ذائقه و محدودیت بازار هدف (۰٫۱۲۰)، شدت رقابت و فشار قیمتی (۰٫۱۱۷) و آسیب‌پذیری ساختاری (۰٫۱۱۶). پس از آن‌ها ناپایداری تأمین (۰٫۱۱۳) و ناکارآمدی توزیع (۰٫۱۱۱) می‌آیند، و در پایین جدول، دشواری جذب و حفظ مشتری (۰٫۱۰۳)، ضعف برنامه‌ریزی و پیش‌بینی (۰٫۱۰۲) و ضعف برندسازی (۰٫۰۹۶) ایستاده‌اند. فاصله میان بالاترین و پایین‌ترین وزن مؤلفه‌ها اندک است (۰٫۱۲۲ در برابر ۰٫۰۹۶)؛ از این رو وزن‌دهی در تفکیک این سه دسته اطمینان بیشتری دارد تا در ترتیب دقیق مؤلفه‌های مجاور.</w:t>
      </w:r>
    </w:p>
    <w:p>
      <w:pPr>
        <w:bidi/>
        <w:spacing w:after="80"/>
        <w:jc w:val="lowKashida"/>
      </w:pPr>
      <w:r>
        <w:rPr>
          <w:rtl/>
        </w:rPr>
        <w:t xml:space="preserve">نکته چهارم، برتری چالش‌های برون‌سازمانی است؛ الگویی که فصل چهارم تفسیر آن را به این فصل واگذاشت.</w:t>
      </w:r>
      <w:r>
        <w:rPr>
          <w:rtl/>
        </w:rPr>
        <w:t xml:space="preserve"> هر چهار مؤلفه برون‌سازمانی در پنج رتبه نخست‌اند و میانگین آن‌ها (۴٫۳۶) از میانگین پنج مؤلفه درون‌سازمانی (۳٫۹۱) بیشتر است.</w:t>
      </w:r>
      <w:r>
        <w:rPr>
          <w:rtl/>
        </w:rPr>
        <w:t xml:space="preserve"> در سطح گویه نیز هر پنج گویه‌ای که میانگین آن‌ها دست‌کم ۴٫۵۷ است برون‌سازمانی‌اند و هر چهار گویه‌ای که میانگین آن‌ها کمتر از ۳٫۵ است درون‌سازمانی.</w:t>
      </w:r>
      <w:r>
        <w:rPr>
          <w:rtl/>
        </w:rPr>
        <w:t xml:space="preserve"> این الگو دست‌کم دو پشتوانه دارد.</w:t>
      </w:r>
      <w:r>
        <w:rPr>
          <w:rtl/>
        </w:rPr>
        <w:t xml:space="preserve"> نخست، بستر پژوهش: بازار مواد غذایی ایران، همان‌گونه که در بخش ۱-۲ آمد، در سال‌های اخیر با نوسان نرخ ارز، محدودیت تأمین و کاهش قدرت خرید روبه‌رو بوده است و اعضای پانل، که بیشترشان در حوزه فروش فعال‌اند، این فشارها را از نزدیک می‌شناسند.</w:t>
      </w:r>
      <w:r>
        <w:rPr>
          <w:rtl/>
        </w:rPr>
        <w:t xml:space="preserve"> دوم، ادبیات: میکلیان و هولشر (۲۰۲۲)</w:t>
      </w:r>
      <w:r>
        <w:rPr>
          <w:rStyle w:val="FootnoteReference"/>
        </w:rPr>
        <w:footnoteReference w:id="15"/>
      </w:r>
      <w:r>
        <w:rPr>
          <w:rtl/>
        </w:rPr>
        <w:t xml:space="preserve"> در مرور مفهومی خود بر ادبیات شوک‌های برون‌زا، تفاوت واکنش بنگاه‌های کوچک و بزرگ به این شوک‌ها را بررسی کردند، و مامن و همکاران (۲۰۲۱)</w:t>
      </w:r>
      <w:r>
        <w:rPr>
          <w:rStyle w:val="FootnoteReference"/>
        </w:rPr>
        <w:footnoteReference w:id="16"/>
      </w:r>
      <w:r>
        <w:rPr>
          <w:rtl/>
        </w:rPr>
        <w:t xml:space="preserve"> نشان دادند تنوع محصولی ریسک بنگاه را کاهش می‌دهد.</w:t>
      </w:r>
      <w:r>
        <w:rPr>
          <w:rtl/>
        </w:rPr>
        <w:t xml:space="preserve"> با کنار هم نهادن این دو، اولویت‌دادن پانل به عوامل بیرونی با منطق نظری سازگار است: هرچه محیط ناپایدارتر باشد، بنگاهی که تمام درآمدش به یک محصول بسته است، کمتر می‌تواند شوک‌ها را جذب کند.</w:t>
      </w:r>
      <w:r>
        <w:rPr>
          <w:rtl/>
        </w:rPr>
        <w:t xml:space="preserve"> این تفسیر بر ادراک اعضای پانل استوار است و درباره اثر عینی این عوامل بر فروش داوری نمی‌کند.</w:t>
      </w:r>
    </w:p>
    <w:p>
      <w:pPr>
        <w:bidi/>
        <w:spacing w:after="80"/>
        <w:jc w:val="lowKashida"/>
      </w:pPr>
      <w:r>
        <w:rPr>
          <w:rtl/>
        </w:rPr>
        <w:t xml:space="preserve">نکته پنجم، جایگاه مؤلفه آسیب‌پذیری ساختاری است که مفهوم محوری این پژوهش است.</w:t>
      </w:r>
      <w:r>
        <w:rPr>
          <w:rtl/>
        </w:rPr>
        <w:t xml:space="preserve"> این مؤلفه در رتبه چهارم (وزن ۰٫۱۱۶؛ میانگین ۴٫۲۹) قرار گرفته، اما هر سه گویه آن دست‌کم ۴٫۰۰ گرفته‌اند و دو گویه نخست آن، یعنی وابستگی کامل درآمد به تقاضای یک محصول و نبود امکان جبران افت فروش از محل سایر اقلام، با ۴٫۴۳ در میان هشت گویه برتر جای دارند.</w:t>
      </w:r>
      <w:r>
        <w:rPr>
          <w:rtl/>
        </w:rPr>
        <w:t xml:space="preserve"> بنابراین پانل ریسک تمرکز را مهم می‌داند، اما فوری‌ترین چالش‌ها را تکانه‌های بیرونی می‌شمارد.</w:t>
      </w:r>
      <w:r>
        <w:rPr>
          <w:rtl/>
        </w:rPr>
        <w:t xml:space="preserve"> این دو یافته مکمل یکدیگرند و با استدلال بخش ۱-۲ همخوان‌اند: فشار محیطی ضعف را آشکار می‌کند و ساختار متمرکز آن را تشدید می‌نماید.</w:t>
      </w:r>
      <w:r>
        <w:rPr>
          <w:rtl/>
        </w:rPr>
        <w:t xml:space="preserve"> به بیان دیگر، تک‌محصولی بودن در نگاه پانل بیش از آنکه خود مهم‌ترین چالش باشد، سازوکاری است که تکانه‌های بیرونی را بی‌واسطه به کل بنگاه منتقل می‌کند.</w:t>
      </w:r>
      <w:r>
        <w:rPr>
          <w:rtl/>
        </w:rPr>
        <w:t xml:space="preserve"> این یافته به ادبیات تمرکز و تنوع، که رابطه ساختار سبد محصول و ریسک را عمدتاً با داده‌های مالی دنبال کرده است، شاهدی از سطح عملیات فروش می‌افزاید.</w:t>
      </w:r>
    </w:p>
    <w:p>
      <w:pPr>
        <w:bidi/>
        <w:spacing w:after="80"/>
        <w:jc w:val="lowKashida"/>
      </w:pPr>
      <w:r>
        <w:rPr>
          <w:rtl/>
        </w:rPr>
        <w:t xml:space="preserve">نکته ششم، فاصله اولویت‌های پانل با اولویت‌های برخی مطالعات پیشین است.</w:t>
      </w:r>
      <w:r>
        <w:rPr>
          <w:rtl/>
        </w:rPr>
        <w:t xml:space="preserve"> اسکندری و همکاران (۱۴۰۴) پیش‌بینی نادرست تقاضا و نبود اعتبار مالی را از مهم‌ترین تهدیدهای فروش در زنجیره تأمین مواد غذایی دانسته‌اند؛ در پژوهش حاضر اما مؤلفه ضعف در برنامه‌ریزی، پیش‌بینی و مدیریت فروش در رتبه هشتم از نُه مؤلفه است و گویه ضعف در پیش‌بینی دقیق تقاضا (۴٫۰۰) در میانه جدول گویه‌ها جای دارد.</w:t>
      </w:r>
      <w:r>
        <w:rPr>
          <w:rtl/>
        </w:rPr>
        <w:t xml:space="preserve"> این فاصله را نباید ساده به تناقض تعبیر کرد: واحد تحلیل متفاوت است.</w:t>
      </w:r>
      <w:r>
        <w:rPr>
          <w:rtl/>
        </w:rPr>
        <w:t xml:space="preserve"> مطالعه یادشده زنجیره تأمین را در کل بررسی کرده و در سطح زنجیره، خطای پیش‌بینی اثری انباشتی دارد؛ پژوهش حاضر بنگاه تک‌محصولی را واحد تحلیل گرفته، بنگاهی که پیش از نگرانی درباره دقت پیش‌بینی، نگران آن است که اساساً بیش از یک محصول برای فروش ندارد.</w:t>
      </w:r>
      <w:r>
        <w:rPr>
          <w:rtl/>
        </w:rPr>
        <w:t xml:space="preserve"> افزون بر این، تنها دو عضو پانل (خ۲ و خ۶) در دور نخست خودجوش به پیش‌بینی تقاضا اشاره کرده بودند و در دور سوم همه اعضا به آن امتیاز ۴ دادند؛ یعنی آن را مهم، اما نه در ردیف فوری‌ترین چالش‌ها می‌دانند.</w:t>
      </w:r>
    </w:p>
    <w:p>
      <w:pPr>
        <w:bidi/>
        <w:spacing w:after="80"/>
        <w:jc w:val="lowKashida"/>
      </w:pPr>
      <w:r>
        <w:rPr>
          <w:rtl/>
        </w:rPr>
        <w:t xml:space="preserve">نکته هفتم، جایگاه پایین چالش‌هایی است که ادبیات برای آن‌ها اهمیت قائل است.</w:t>
      </w:r>
      <w:r>
        <w:rPr>
          <w:rtl/>
        </w:rPr>
        <w:t xml:space="preserve"> مؤلفه ضعف برندسازی و دشواری تمایز محصول، که توماران و همکاران (۲۰۲۲)</w:t>
      </w:r>
      <w:r>
        <w:rPr>
          <w:rStyle w:val="FootnoteReference"/>
        </w:rPr>
        <w:footnoteReference w:id="17"/>
      </w:r>
      <w:r>
        <w:rPr>
          <w:rtl/>
        </w:rPr>
        <w:t xml:space="preserve"> مزیت تمایز را با نوآوری، پیش‌قدمی و ریسک‌پذیری کارآفرینانه پیوند می‌دهند و صفری و اسماعیل‌نژاد (۱۴۰۳) ضعف برندسازی را دومین مانع فروش محصولات سبز یافته‌اند، پایین‌ترین رتبه (وزن ۰٫۰۹۶؛ میانگین ۳٫۵۷) را گرفته است؛ و دو گویه «نبود نوآوری و توسعه محصول» و «کم‌توجهی به تحقیقات بازار و مطالعه رفتار مصرف‌کننده»، همراه با گویه «ضعف در نظام برنامه‌ریزی و اطلاعات فروش»، با میانگین ۳٫۱۴ (وزن ۰٫۰۲۶۶) در پایین‌ترین رتبه گویه‌ها هستند.</w:t>
      </w:r>
      <w:r>
        <w:rPr>
          <w:rtl/>
        </w:rPr>
        <w:t xml:space="preserve"> دخیخ و النجری (۲۰۲۶)</w:t>
      </w:r>
      <w:r>
        <w:rPr>
          <w:rStyle w:val="FootnoteReference"/>
        </w:rPr>
        <w:footnoteReference w:id="18"/>
      </w:r>
      <w:r>
        <w:rPr>
          <w:rtl/>
        </w:rPr>
        <w:t xml:space="preserve"> نوآوری را میانجی رابطه قابلیت‌های پویا با مزیت رقابتی پایدار یافته‌اند؛ بر این پایه، ضعف ظرفیت نوآوری می‌تواند در بلندمدت به افت مزیت رقابتی بینجامد؛ پانل اما چنین چالش‌های توانمندی بلندمدت را در کنار فشارهای جاری فروش کم‌فوریت‌تر ارزیابی کرده است.</w:t>
      </w:r>
      <w:r>
        <w:rPr>
          <w:rtl/>
        </w:rPr>
        <w:t xml:space="preserve"> تفسیر دیگری نیز ممکن است: همان‌گونه که در بخش ۳-۷-۱ آمد، برخی اعضا برندسازی قوی را بیش از آنکه چالش بدانند راهکار می‌دانستند و از این رو ممکن است در امتیازدهی به آن به عنوان چالش، اهمیت کمتری قائل شده باشند.</w:t>
      </w:r>
    </w:p>
    <w:p>
      <w:pPr>
        <w:bidi/>
        <w:spacing w:after="80"/>
        <w:jc w:val="lowKashida"/>
      </w:pPr>
      <w:r>
        <w:rPr>
          <w:rtl/>
        </w:rPr>
        <w:t xml:space="preserve">نکته هشتم، استواری اولویت‌بندی نسبت به شیوه وزن‌دهی است. وزن‌دهی اصلی مستقیماً از میانگین امتیازها به دست آمد، در حالی که در AHP وزن‌ها معمولاً از مقایسه‌های زوجی ساخته می‌شوند. ماتریس‌های مقایسه زوجی برآوردی از امتیازهای دور سوم (بخش ۴-۶-۳) همان اولویت را بازتولید کردند: ترتیب نُه مؤلفه عیناً یکی بود، سه گویه برتر و چهار گویه پایانی تغییر نکردند و همبستگی رتبه‌ای گویه‌ها ۰٫۸۶۴ بود. این همسویی را نباید دو شاهد مستقل شمرد: هر دو شیوه از یک مجموعه امتیاز ساخته شده‌اند و ماتریس‌های برآوردی اطلاعاتی فراتر از آن‌ها ندارند؛ آنچه نشان داده می‌شود این است که نتیجه به انتخاب میان دو راه تبدیل امتیاز به وزن وابسته نیست. همین ماهیت، نرخ ناسازگاری ناچیز این ماتریس‌ها (۰٫۰۰۸۵ تا ۰٫۰۱۲۸ برای مؤلفه‌ها و صفر درون مؤلفه‌ها) را نیز توضیح می‌دهد: این نرخ‌ها سازگاری قاعده تبدیل را نشان می‌دهند، نه سازگاری قضاوت خبرگان. سنجش این سازگاری مستلزم پاسخ مستقیم اعضا به مقایسه‌های زوجی است (بخش ۵-۶). تفاوت وزن گویه‌ها میان دو شیوه، به‌ویژه در میانه جدول، بیشتر از ساختار سلسله‌مراتبی برمی‌خیزد، که سهم هر گویه را به شمار گویه‌های مؤلفه‌اش وابسته می‌کند، و نه از قضاوت درباره خود گویه‌ها.</w:t>
      </w:r>
    </w:p>
    <w:p>
      <w:pPr>
        <w:bidi/>
        <w:spacing w:after="80"/>
        <w:jc w:val="lowKashida"/>
      </w:pPr>
      <w:r>
        <w:rPr>
          <w:rtl/>
        </w:rPr>
        <w:t xml:space="preserve">نکته پایانی به اعتبار وزن‌دهی و ثبات اجماع مربوط می‌شود.</w:t>
      </w:r>
      <w:r>
        <w:rPr>
          <w:rtl/>
        </w:rPr>
        <w:t xml:space="preserve"> ضریب هماهنگی کندال از ۰٫۲۲۴ در دور دوم (توافق ضعیف؛ سطح معناداری ۰٫۰۲۸۶) به ۰٫۷۵۶ در دور سوم (توافق قوی؛ سطح معناداری کمتر از ۰٫۰۰۰۱) رسید و میانگین انحراف معیار گویه‌ها از ۰٫۷۳ به ۰٫۱۷ کاهش یافت؛ بنابراین توافق معنادار میان اعضای پانل در دور نهایی تأیید می‌شود.</w:t>
      </w:r>
      <w:r>
        <w:rPr>
          <w:rtl/>
        </w:rPr>
        <w:t xml:space="preserve"> ضریب اسپیرمن میان دور دوم و سوم (۰٫۸۴۷، معنادار) ثبات ترتیب گویه‌ها میان دو دور پایانی را نشان می‌دهد.</w:t>
      </w:r>
      <w:r>
        <w:rPr>
          <w:rtl/>
        </w:rPr>
        <w:t xml:space="preserve"> ناشناس‌ماندن پاسخ‌ها و بازخورد کنترل‌شده از ویژگی‌های بنیادین روش دلفی‌اند (ناسا و همکاران، ۲۰۲۱)</w:t>
      </w:r>
      <w:r>
        <w:rPr>
          <w:rStyle w:val="FootnoteReference"/>
        </w:rPr>
        <w:footnoteReference w:id="19"/>
      </w:r>
      <w:r>
        <w:rPr>
          <w:rtl/>
        </w:rPr>
        <w:t xml:space="preserve"> و نزدیک‌شدن دیدگاه‌ها پس از بازخورد، الگوی مورد انتظار این روش است؛ ضریب کندال نیز، که در دلفی‌های مبتنی بر رتبه‌بندی برای سنجش توافق به کار می‌رود (اشمیت، ۱۹۹۷)</w:t>
      </w:r>
      <w:r>
        <w:rPr>
          <w:rStyle w:val="FootnoteReference"/>
        </w:rPr>
        <w:footnoteReference w:id="20"/>
      </w:r>
      <w:r>
        <w:rPr>
          <w:rtl/>
        </w:rPr>
        <w:t xml:space="preserve">، معناداری آماری این توافق را می‌سنجد.</w:t>
      </w:r>
      <w:r>
        <w:rPr>
          <w:rtl/>
        </w:rPr>
        <w:t xml:space="preserve"> با این حال دو احتیاط لازم است.</w:t>
      </w:r>
      <w:r>
        <w:rPr>
          <w:rtl/>
        </w:rPr>
        <w:t xml:space="preserve"> نخست، بخشی از اجماع دور سوم ممکن است ناشی از نزدیک شدن اعضا به نظر گروه پس از دیدن بازخورد باشد، نه همگرایی ارزیابی‌های مستقل: در دور دوم برای هیچ گویه‌ای توافق کامل وجود نداشت، اما در دور سوم هر هفت عضو برای نوزده گویه امتیاز یکسانی دادند.</w:t>
      </w:r>
      <w:r>
        <w:rPr>
          <w:rtl/>
        </w:rPr>
        <w:t xml:space="preserve"> دوم، هفده گویه میانگین یکسان ۴٫۰۰ دارند و میان آن‌ها تمایز رتبه‌ای وجود ندارد؛ بنابراین وزن‌دهی در بالا و پایین جدول آگاهی‌بخش‌تر از میانه آن است.</w:t>
      </w:r>
    </w:p>
    <w:p>
      <w:pPr>
        <w:bidi/>
        <w:spacing w:after="80"/>
        <w:jc w:val="lowKashida"/>
      </w:pPr>
      <w:r>
        <w:rPr>
          <w:rtl/>
        </w:rPr>
        <w:t xml:space="preserve">بر این پایه، پاسخ پرسش دوم را می‌توان چنین جمع‌بندی کرد: پس از توزیع پرسشنامه دور سوم، وزن هر یک از ۲۹ گویه و سپس وزن هر یک از نُه مؤلفه محاسبه شد.</w:t>
      </w:r>
      <w:r>
        <w:rPr>
          <w:rtl/>
        </w:rPr>
        <w:t xml:space="preserve"> در سطح گویه، «ورود رقبای جدید و افزایش شدت رقابت» و «افزایش بهای تمام‌شده و فشار بر حاشیه سود» با وزن ۰٫۰۴۲۴ در صدرند.</w:t>
      </w:r>
      <w:r>
        <w:rPr>
          <w:rtl/>
        </w:rPr>
        <w:t xml:space="preserve"> در سطح مؤلفه، اولویت‌های فروش بنگاه تک‌محصولی در صنعت مواد غذایی ایران در سه دسته جای می‌گیرد: در صدر، چهار مؤلفه با اختلاف اندک، یعنی فشارهای اقتصاد کلان، تغییر ذائقه و محدودیت بازار هدف، شدت رقابت و آسیب‌پذیری ساختاری ناشی از تمرکز بر محصول واحد؛ در میانه، ناپایداری تأمین و هزینه‌بری توزیع؛ و در پایین، دشواری جذب و حفظ مشتری، ضعف برنامه‌ریزی و پیش‌بینی و ضعف برندسازی.</w:t>
      </w:r>
      <w:r>
        <w:rPr>
          <w:rtl/>
        </w:rPr>
        <w:t xml:space="preserve"> به این ترتیب، تکانه‌های بیرونی که هر بنگاهی با آن‌ها روبه‌روست، در بنگاه تک‌محصولی به دلیل نبود سازوکار جبران درونی، فوری‌ترین چالش‌های فروش شمرده می‌شوند.</w:t>
      </w:r>
      <w:r>
        <w:rPr>
          <w:rtl/>
        </w:rPr>
        <w:t xml:space="preserve"> اعتبار این وزن‌دهی با توافق معنادار و ثبات آماری دور سوم پشتیبانی می‌شود، هرچند میان هفده گویه هم‌وزن تمایزی وجود ندارد. این اولویت‌بندی نسبت به شیوه وزن‌دهی نیز استوار است: ترتیب مؤلفه‌ها با ماتریس‌های مقایسه زوجی برآوردی عیناً همان است؛ این ماتریس‌ها، چنان‌که گفته شد، پاسخ مستقیم خبرگان نیستند.</w:t>
      </w:r>
    </w:p>
    <w:p>
      <w:pPr>
        <w:pStyle w:val="Heading2"/>
        <w:keepNext/>
        <w:bidi/>
        <w:spacing w:before="240" w:after="80"/>
        <w:jc w:val="lowKashida"/>
      </w:pPr>
      <w:r>
        <w:t>۵-۴ پیشنهادات تحقیق</w:t>
      </w:r>
    </w:p>
    <w:p>
      <w:pPr>
        <w:bidi/>
        <w:spacing w:after="80"/>
        <w:jc w:val="lowKashida"/>
      </w:pPr>
      <w:r>
        <w:rPr>
          <w:rtl/>
        </w:rPr>
        <w:t xml:space="preserve">پیشنهادهای زیر برای مدیران شرکت‌های تک‌محصولی بر پایه ترتیب وزن مؤلفه‌ها در جدول ۴-۱۲ تنظیم شده‌اند.</w:t>
      </w:r>
      <w:r>
        <w:rPr>
          <w:rtl/>
        </w:rPr>
        <w:t xml:space="preserve"> بخشی از آن‌ها بر عبارت‌های راهکاری استوار است که اعضای پانل در دور نخست، به جای بیان چالش، مطرح کردند و از کدگذاری کنار گذاشته شد (بخش ۳-۷-۱).</w:t>
      </w:r>
      <w:r>
        <w:rPr>
          <w:rtl/>
        </w:rPr>
        <w:t xml:space="preserve"> این پیشنهادها بر پایه یافته‌های پژوهش تدوین شده‌اند و آزمون نشده‌اند.</w:t>
      </w:r>
    </w:p>
    <w:p>
      <w:pPr>
        <w:pStyle w:val="ListParagraph"/>
        <w:numPr>
          <w:ilvl w:val="0"/>
          <w:numId w:val="1"/>
        </w:numPr>
        <w:bidi/>
        <w:spacing w:after="60"/>
        <w:jc w:val="lowKashida"/>
      </w:pPr>
      <w:r>
        <w:rPr>
          <w:rtl/>
        </w:rPr>
        <w:t xml:space="preserve">کاهش فشار هزینه و قدرت خرید (مؤلفه رتبه نخست؛ «افزایش بهای تمام‌شده و فشار بر حاشیه سود» با میانگین ۵٫۰۰): عرضه بسته‌بندی‌های کوچک‌تر و کم‌قیمت‌تر می‌تواند دسترسی مصرف‌کننده را در برابر کاهش قدرت خرید حفظ کند، بی‌آنکه به فرسایش حاشیه سود بینجامد. تخصیص بخشی از سود دوره‌های رونق به ذخیره احتیاطی نیز جایگزین عملی سپر تنوع محصولی در دوره‌های افت است.</w:t>
      </w:r>
    </w:p>
    <w:p>
      <w:pPr>
        <w:pStyle w:val="ListParagraph"/>
        <w:numPr>
          <w:ilvl w:val="0"/>
          <w:numId w:val="1"/>
        </w:numPr>
        <w:bidi/>
        <w:spacing w:after="60"/>
        <w:jc w:val="lowKashida"/>
      </w:pPr>
      <w:r>
        <w:rPr>
          <w:rtl/>
        </w:rPr>
        <w:t xml:space="preserve">رصد سبک و مستمر ذائقه و بازار (مؤلفه رتبه دوم؛ «تغییر سریع ذائقه» با میانگین ۴٫۷۱): لازم نیست بنگاه‌های کوچک هزینه تحقیقات بازار گسترده را بپذیرند. دریافت بازخورد دوره‌ای از شبکه توزیع، گفت‌وگوی منظم با خرده‌فروشان و پایش رفتار رقبا، بخش عمده هشدارهای لازم را فراهم می‌آورد. گسترش کاربرد محصول به بخش‌های تازه بازار، مانند کانال‌های مصرف صنفی و حرفه‌ای، می‌تواند محدودیت بازار هدف را بدون تغییر در خط تولید تا حدی جبران کند.</w:t>
      </w:r>
    </w:p>
    <w:p>
      <w:pPr>
        <w:pStyle w:val="ListParagraph"/>
        <w:numPr>
          <w:ilvl w:val="0"/>
          <w:numId w:val="1"/>
        </w:numPr>
        <w:bidi/>
        <w:spacing w:after="60"/>
        <w:jc w:val="lowKashida"/>
      </w:pPr>
      <w:r>
        <w:rPr>
          <w:rtl/>
        </w:rPr>
        <w:t xml:space="preserve">پرهیز از رقابت قیمتی و تمرکز بر تمایز غیرقیمتی (مؤلفه رتبه سوم؛ «ورود رقبای جدید» با میانگین ۵٫۰۰ و «رقابت قیمتی» با ۴٫۰۰): بنگاه تک‌محصولی در جنگ قیمت وضعیت نامساعدی دارد، زیرا رقیب چندمحصولی می‌تواند زیان یک محصول را از محل سایر اقلام جبران کند. تمرکز بر کیفیت، ثبات عرضه و خدمات پس از فروش، مسیر رقابتی پایدارتری است.</w:t>
      </w:r>
    </w:p>
    <w:p>
      <w:pPr>
        <w:pStyle w:val="ListParagraph"/>
        <w:numPr>
          <w:ilvl w:val="0"/>
          <w:numId w:val="1"/>
        </w:numPr>
        <w:bidi/>
        <w:spacing w:after="60"/>
        <w:jc w:val="lowKashida"/>
      </w:pPr>
      <w:r>
        <w:rPr>
          <w:rtl/>
        </w:rPr>
        <w:t xml:space="preserve">کاهش تدریجی وابستگی به محصول واحد (مؤلفه رتبه چهارم): توسعه سبد محصول نه به معنای ورود به بازارهای تازه، بلکه به معنای افزودن گونه‌های جانبی از همان محصول اصلی توصیه می‌شود، مانند تنوع در بسته‌بندی، اندازه، درجه کیفی یا فرمولاسیون. </w:t>
      </w:r>
      <w:r>
        <w:rPr>
          <w:rtl/>
        </w:rPr>
        <w:t xml:space="preserve">ادبیات نیز نشان داده است که بنگاه‌های دارای تنوع محصولی مرتبط عملکرد بهتری از بنگاه‌های دارای تنوع نامرتبط دارند (آرته و لاریمو، ۲۰۲۲)</w:t>
      </w:r>
      <w:r>
        <w:rPr>
          <w:rStyle w:val="FootnoteReference"/>
        </w:rPr>
        <w:footnoteReference w:id="21"/>
      </w:r>
      <w:r>
        <w:rPr>
          <w:rtl/>
        </w:rPr>
        <w:t xml:space="preserve"> و تنوع مرتبط ریسک بنگاه را می‌کاهد (مامن و همکاران، ۲۰۲۱)</w:t>
      </w:r>
      <w:r>
        <w:rPr>
          <w:rStyle w:val="FootnoteReference"/>
        </w:rPr>
        <w:footnoteReference w:id="22"/>
      </w:r>
      <w:r>
        <w:rPr>
          <w:rtl/>
        </w:rPr>
        <w:t xml:space="preserve">؛ این مسیر بخش عمده مزیت تخصص‌گرایی را حفظ می‌کند.</w:t>
      </w:r>
    </w:p>
    <w:p>
      <w:pPr>
        <w:pStyle w:val="ListParagraph"/>
        <w:numPr>
          <w:ilvl w:val="0"/>
          <w:numId w:val="1"/>
        </w:numPr>
        <w:bidi/>
        <w:spacing w:after="60"/>
        <w:jc w:val="lowKashida"/>
      </w:pPr>
      <w:r>
        <w:rPr>
          <w:rtl/>
        </w:rPr>
        <w:t xml:space="preserve">چندمنبعی کردن تأمین مواد اولیه (مؤلفه رتبه پنجم؛ «نوسان و کمبود در تأمین مواد اولیه» با میانگین ۴٫۵۷): اتکا به یک تأمین‌کننده ریسک ساختاری بنگاه را دوچندان می‌کند. شناسایی تأمین‌کنندگان جایگزین و انعقاد قراردادهای بلندمدت، حتی با قیمتی اندکی بالاتر، بیمه‌ای در برابر توقف تولید و کسری محصول در بازار است.</w:t>
      </w:r>
    </w:p>
    <w:p>
      <w:pPr>
        <w:pStyle w:val="ListParagraph"/>
        <w:numPr>
          <w:ilvl w:val="0"/>
          <w:numId w:val="1"/>
        </w:numPr>
        <w:bidi/>
        <w:spacing w:after="60"/>
        <w:jc w:val="lowKashida"/>
      </w:pPr>
      <w:r>
        <w:rPr>
          <w:rtl/>
        </w:rPr>
        <w:t xml:space="preserve">توزیع مشارکتی برای کاهش هزینه پخش (مؤلفه رتبه ششم؛ «هزینه بالای پخش و توزیع به ازای یک قلم کالا» با میانگین ۴٫۴۳): همکاری با تولیدکنندگان مکمل و غیررقیب برای استفاده مشترک از مسیرهای توزیع، یا برون‌سپاری پخش به شرکت‌های توزیع چندمحصولی، هزینه ثابت هر مسیر را میان اقلام بیشتری سرشکن می‌کند و هم‌زمان پوشش شبکه فروش را گسترش می‌دهد.</w:t>
      </w:r>
    </w:p>
    <w:p>
      <w:pPr>
        <w:pStyle w:val="ListParagraph"/>
        <w:numPr>
          <w:ilvl w:val="0"/>
          <w:numId w:val="1"/>
        </w:numPr>
        <w:bidi/>
        <w:spacing w:after="60"/>
        <w:jc w:val="lowKashida"/>
      </w:pPr>
      <w:r>
        <w:rPr>
          <w:rtl/>
        </w:rPr>
        <w:t xml:space="preserve">استقرار سازوکار ساده مدیریت ارتباط با مشتری (مؤلفه رتبه هفتم): ثبت منظم اطلاعات مشتریان کلیدی و پیگیری دوره‌ای آنان، حتی در قالبی ساده و بدون نرم‌افزار تخصصی، به حفظ مشتریان فعلی و جبران نسبی نبود پیشنهاد تازه کمک می‌کند. تانئو و همکاران (۲۰۲۲)</w:t>
      </w:r>
      <w:r>
        <w:rPr>
          <w:rStyle w:val="FootnoteReference"/>
        </w:rPr>
        <w:footnoteReference w:id="23"/>
      </w:r>
      <w:r>
        <w:rPr>
          <w:rtl/>
        </w:rPr>
        <w:t xml:space="preserve"> </w:t>
      </w:r>
      <w:r>
        <w:rPr>
          <w:rtl/>
        </w:rPr>
        <w:t xml:space="preserve">نشان داده‌اند آموزش هدفمند می‌تواند دانش مدیریتی مدیران بنگاه‌های کوچک صنعت غذایی را به‌طور معناداری افزایش دهد؛ از این رو آموزش ساده مدیران و کارکنان فروش برای ثبت و پیگیری اطلاعات مشتریان نیز می‌تواند گامی عملی باشد</w:t>
      </w:r>
      <w:r>
        <w:rPr>
          <w:rtl/>
        </w:rPr>
        <w:t xml:space="preserve">.</w:t>
      </w:r>
    </w:p>
    <w:p>
      <w:pPr>
        <w:pStyle w:val="ListParagraph"/>
        <w:numPr>
          <w:ilvl w:val="0"/>
          <w:numId w:val="1"/>
        </w:numPr>
        <w:bidi/>
        <w:spacing w:after="60"/>
        <w:jc w:val="lowKashida"/>
      </w:pPr>
      <w:r>
        <w:rPr>
          <w:rtl/>
        </w:rPr>
        <w:t xml:space="preserve">تقویت برنامه‌ریزی و پیش‌بینی فروش (مؤلفه رتبه هشتم): ثبت منظم داده‌های فروش و استفاده از الگوهای فصلی گذشته، از انباشت موجودی و نیز از کسری محصول در بازار جلوگیری می‌کند.</w:t>
      </w:r>
    </w:p>
    <w:p>
      <w:pPr>
        <w:pStyle w:val="ListParagraph"/>
        <w:numPr>
          <w:ilvl w:val="0"/>
          <w:numId w:val="1"/>
        </w:numPr>
        <w:bidi/>
        <w:spacing w:after="60"/>
        <w:jc w:val="lowKashida"/>
      </w:pPr>
      <w:r>
        <w:rPr>
          <w:rtl/>
        </w:rPr>
        <w:t xml:space="preserve">سرمایه‌گذاری بلندمدت بر برندسازی و نوآوری (مؤلفه رتبه نهم): اگرچه این مؤلفه‌ها در رتبه‌های پایین جای دارند، برخی اعضای پانل برندسازی قوی را راهکار مهم بنگاه تک‌محصولی می‌دانستند (بخش ۳-۷-۱). اثر این سرمایه‌گذاری نه در کوتاه‌مدت، بلکه در مقاومت بنگاه در برابر ورود رقبا و فرسایش مزیت رقابتی آشکار می‌شود.</w:t>
      </w:r>
    </w:p>
    <w:p>
      <w:pPr>
        <w:pStyle w:val="Heading2"/>
        <w:keepNext/>
        <w:bidi/>
        <w:spacing w:before="240" w:after="80"/>
        <w:jc w:val="lowKashida"/>
      </w:pPr>
      <w:r>
        <w:t>۵-۵ محدودیت‌های پژوهش</w:t>
      </w:r>
    </w:p>
    <w:p w14:paraId="07868FC5" w14:textId="77777777" w:rsidR="00414E0E" w:rsidRDefault="00414E0E" w:rsidP="00414E0E">
      <w:pPr>
        <w:bidi/>
        <w:spacing w:after="80"/>
        <w:jc w:val="lowKashida"/>
      </w:pPr>
      <w:r>
        <w:rPr>
          <w:rtl/>
        </w:rPr>
        <w:t>هر پژوهشی در چارچوب محدودیت‌های خود معنا می‌یابد و بیان صریح این محدودیت‌ها، شرط تفسیر درست یافته‌هاست.</w:t>
      </w:r>
    </w:p>
    <w:p>
      <w:pPr>
        <w:pStyle w:val="ListParagraph"/>
        <w:numPr>
          <w:ilvl w:val="0"/>
          <w:numId w:val="1"/>
        </w:numPr>
        <w:bidi/>
        <w:spacing w:after="60"/>
        <w:jc w:val="lowKashida"/>
      </w:pPr>
      <w:r>
        <w:rPr>
          <w:rtl/>
        </w:rPr>
        <w:t xml:space="preserve">اندازه و شیوه انتخاب پانل: پانل هفت‌نفره با نمونه‌گیری هدفمند قضاوتی تشکیل شد و در نیمه پایین‌تر دامنه‌ای قرار دارد که ادبیات دلفی گزارش کرده است (بخش ۳-۴-۲). در چنین پانلی نظر هر عضو بر نتیجه نهایی اثر بیشتری دارد و یافته‌ها قابل تعمیم آماری به جامعه بنگاه‌های تک‌محصولی نیست؛ آن‌ها تصویری عمیق از دیدگاه گروهی خاص از خبرگان‌اند.</w:t>
      </w:r>
    </w:p>
    <w:p>
      <w:pPr>
        <w:pStyle w:val="ListParagraph"/>
        <w:numPr>
          <w:ilvl w:val="0"/>
          <w:numId w:val="1"/>
        </w:numPr>
        <w:bidi/>
        <w:spacing w:after="60"/>
        <w:jc w:val="lowKashida"/>
      </w:pPr>
      <w:r>
        <w:rPr>
          <w:rtl/>
        </w:rPr>
        <w:t xml:space="preserve">دامنه محصولی و زمانی: تجربه اعضا عمدتاً به فرآورده‌های لبنی، کره و حلوا ارده محدود بود (برای سه نفر نوع محصول ثبت نشد) و داده‌ها از اردیبهشت تا شهریور ۱۴۰۵ گردآوری شد. زیرصنایع دیگر مواد غذایی ممکن است چالش‌های خاص خود داشته باشند و، به ویژه با توجه به جایگاه نخست فشارهای اقتصاد کلان، رتبه‌بندی باید در بستر زمان گردآوری تفسیر شود.</w:t>
      </w:r>
    </w:p>
    <w:p>
      <w:pPr>
        <w:pStyle w:val="ListParagraph"/>
        <w:numPr>
          <w:ilvl w:val="0"/>
          <w:numId w:val="1"/>
        </w:numPr>
        <w:bidi/>
        <w:spacing w:after="60"/>
        <w:jc w:val="lowKashida"/>
      </w:pPr>
      <w:r>
        <w:rPr>
          <w:rtl/>
        </w:rPr>
        <w:t xml:space="preserve">ماهیت اجماع: فهرست دورهای امتیازدهی از کدهای دور نخست ساخته شد که با چالش‌های برگرفته از ادبیات ترکیب و بررسی شدند؛ از این رو عوامل مطرح‌نشده در آن دور رتبه‌بندی نشدند.</w:t>
      </w:r>
      <w:r>
        <w:rPr>
          <w:rtl/>
        </w:rPr>
        <w:t xml:space="preserve"> افزون بر این، بخشی از اجماع دور سوم ممکن است پیامد نزدیک شدن به نظر گروه پس از بازخورد باشد و هفده گویه با میانگین یکسان ۴٫۰۰ از هم تمایز رتبه‌ای ندارند.</w:t>
      </w:r>
    </w:p>
    <w:p>
      <w:pPr>
        <w:pStyle w:val="ListParagraph"/>
        <w:numPr>
          <w:ilvl w:val="0"/>
          <w:numId w:val="1"/>
        </w:numPr>
        <w:bidi/>
        <w:spacing w:after="60"/>
        <w:jc w:val="lowKashida"/>
      </w:pPr>
      <w:r>
        <w:rPr>
          <w:rtl/>
        </w:rPr>
        <w:t xml:space="preserve">وزن‌دهی اصلی بدون محاسبه‌ی مقایسه‌های زوجی و بر پایه میانگین امتیاز دور سوم انجام شد؛ از این رو وزن‌ها بیانگر اهمیت نسبی امتیازها هستند، نه قضاوت‌های زوجی اعضای پانل. تحلیل استواری نیز با ماتریس‌های مقایسه زوجی‌ای انجام شد که از همان امتیازها برآورد شده‌اند و پاسخ مستقیم اعضا نیستند؛ این ماتریس‌ها اطلاعاتی فراتر از امتیازهای دور سوم ندارند، تنها درجه‌های ۱ تا ۳ مقیاس را به کار می‌گیرند و نرخ ناسازگاری آن‌ها، که پیامد شیوه ساخت است، سازگاری قضاوت خبرگان را نشان نمی‌دهد. همچنین گروه‌بندی گویه‌ها در مؤلفه‌ها را پژوهشگر انجام داد و وزن مؤلفه‌ها به این گروه‌بندی وابسته است.</w:t>
      </w:r>
    </w:p>
    <w:p>
      <w:pPr>
        <w:pStyle w:val="ListParagraph"/>
        <w:numPr>
          <w:ilvl w:val="0"/>
          <w:numId w:val="1"/>
        </w:numPr>
        <w:bidi/>
        <w:spacing w:after="60"/>
        <w:jc w:val="lowKashida"/>
      </w:pPr>
      <w:r>
        <w:rPr>
          <w:rtl/>
        </w:rPr>
        <w:t xml:space="preserve">کدگذاری دور نخست: تحلیل مضمون و ساخت گویه‌ها را یک پژوهشگر انجام داد و کدگذار دوم وجود نداشت. هرچند فرایند کدگذاری در فصل سوم مستند شده است، حضور کدگذار دوم می‌توانست اعتماد بیشتری فراهم آورد.</w:t>
      </w:r>
    </w:p>
    <w:p>
      <w:pPr>
        <w:pStyle w:val="Heading2"/>
        <w:keepNext/>
        <w:bidi/>
        <w:spacing w:before="240" w:after="80"/>
        <w:jc w:val="lowKashida"/>
      </w:pPr>
      <w:r>
        <w:t>۵-۶ پیشنهادهایی برای پژوهش‌های آتی</w:t>
      </w:r>
    </w:p>
    <w:p>
      <w:pPr>
        <w:bidi/>
        <w:spacing w:after="80"/>
        <w:jc w:val="lowKashida"/>
      </w:pPr>
      <w:r>
        <w:rPr>
          <w:rtl/>
        </w:rPr>
        <w:t xml:space="preserve">پیشنهادهای زیر از یافته‌ها و محدودیت‌های این پژوهش برخاسته‌اند.</w:t>
      </w:r>
    </w:p>
    <w:p>
      <w:pPr>
        <w:pStyle w:val="ListParagraph"/>
        <w:numPr>
          <w:ilvl w:val="0"/>
          <w:numId w:val="1"/>
        </w:numPr>
        <w:bidi/>
        <w:spacing w:after="60"/>
        <w:jc w:val="lowKashida"/>
      </w:pPr>
      <w:r>
        <w:rPr>
          <w:rtl/>
        </w:rPr>
        <w:t xml:space="preserve">سنجش کمی اولویت‌ها با نمونه‌ای بزرگ‌تر: بیست‌ونه گویه این پژوهش می‌توانند گویه‌های پرسشنامه‌ای ساختاریافته در پیمایشی با نمونه‌ای گسترده‌تر از خبرگان باشند که اولویت چالش‌ها را با فنون تصمیم‌گیری چندمعیاره، از جمله مقایسه‌های زوجی AHP، تعیین می‌کند.</w:t>
      </w:r>
      <w:r>
        <w:rPr>
          <w:rtl/>
        </w:rPr>
        <w:t xml:space="preserve"> چنین مطالعه‌ای می‌تواند رتبه‌بندی دلفی را راستی‌آزمایی کند و تمایز رتبه‌ای میان هفده گویه هم‌امتیاز را روشن سازد. گردآوری پاسخ مستقیم همین پانل به ۷۰ مقایسه زوجی این پژوهش نیز می‌تواند ماتریس‌های برآوردی را با قضاوت واقعی خبرگان جایگزین کند و سازگاری آن قضاوت‌ها را بسنجد.</w:t>
      </w:r>
    </w:p>
    <w:p>
      <w:pPr>
        <w:pStyle w:val="ListParagraph"/>
        <w:numPr>
          <w:ilvl w:val="0"/>
          <w:numId w:val="1"/>
        </w:numPr>
        <w:bidi/>
        <w:spacing w:after="60"/>
        <w:jc w:val="lowKashida"/>
      </w:pPr>
      <w:r>
        <w:rPr>
          <w:rtl/>
        </w:rPr>
        <w:t xml:space="preserve">بررسی عوامل مطرح‌نشده: الزامات نظارتی و ایمنی مواد غذایی، کمبود نیروی فروش ماهر، شکاف نگرش و رفتار خرید مصرف‌کننده و بُعد دیجیتال فروش، که در ادبیات آمده‌اند اما در دور نخست مطرح نشدند، می‌توانند با پرسش‌های هدایت‌شده‌تر یا با افزودن به فهرست رتبه‌بندی بررسی شوند تا روشن شود غیبت آن‌ها ناشی از بی‌اهمیتی است یا از ساختار باز پرسش دور نخست.</w:t>
      </w:r>
    </w:p>
    <w:p>
      <w:pPr>
        <w:pStyle w:val="ListParagraph"/>
        <w:numPr>
          <w:ilvl w:val="0"/>
          <w:numId w:val="1"/>
        </w:numPr>
        <w:bidi/>
        <w:spacing w:after="60"/>
        <w:jc w:val="lowKashida"/>
      </w:pPr>
      <w:r>
        <w:rPr>
          <w:rtl/>
        </w:rPr>
        <w:t xml:space="preserve">بررسی روابط علّی میان چالش‌ها: پیوستگی میان چالش‌ها در این پژوهش بررسی نشد. روش‌هایی مانند مدل‌سازی ساختاری تفسیری یا دیمتل می‌تواند روشن سازد کدام چالش‌ها نقش علت و کدام نقش معلول دارند، و برای نمونه آزمون کند که آیا فشارهای اقتصاد کلان از مسیر آسیب‌پذیری ساختاری به افت فروش می‌انجامد.</w:t>
      </w:r>
    </w:p>
    <w:p w14:paraId="21F2F131" w14:textId="77777777" w:rsidR="00414E0E" w:rsidRDefault="00414E0E" w:rsidP="00414E0E">
      <w:pPr>
        <w:pStyle w:val="ListParagraph"/>
        <w:numPr>
          <w:ilvl w:val="0"/>
          <w:numId w:val="1"/>
        </w:numPr>
        <w:bidi/>
        <w:spacing w:after="60"/>
        <w:jc w:val="lowKashida"/>
      </w:pPr>
      <w:r>
        <w:rPr>
          <w:rtl/>
        </w:rPr>
        <w:t>مقایسه بنگاه‌های تک‌محصولی و چندمحصولی: پژوهشی تطبیقی که همین پرسش را از خبرگان هر دو گروه بپرسد، می‌تواند مشخص کند کدام چالش‌ها واقعاً خاص ساختار تک‌محصولی‌اند و کدام‌ها مشترک میان همه بنگاه‌های صنعت.</w:t>
      </w:r>
    </w:p>
    <w:p w14:paraId="001BB654" w14:textId="77777777" w:rsidR="00414E0E" w:rsidRDefault="00414E0E" w:rsidP="00414E0E">
      <w:pPr>
        <w:pStyle w:val="ListParagraph"/>
        <w:numPr>
          <w:ilvl w:val="0"/>
          <w:numId w:val="1"/>
        </w:numPr>
        <w:bidi/>
        <w:spacing w:after="60"/>
        <w:jc w:val="lowKashida"/>
      </w:pPr>
      <w:r>
        <w:rPr>
          <w:rtl/>
        </w:rPr>
        <w:t>مطالعه موردی در یک زیرصنعت خاص: تمرکز بر یک گروه محصولی واحد، مانند فرآورده‌های لبنی یا محصولات کنجدی، امکان بررسی عمیق‌تر سازوکار هر چالش و شناسایی راهکارهای بومی‌تر را فراهم می‌آورد.</w:t>
      </w:r>
    </w:p>
    <w:p w14:paraId="422E599B" w14:textId="77777777" w:rsidR="00414E0E" w:rsidRDefault="00414E0E" w:rsidP="00414E0E">
      <w:pPr>
        <w:pStyle w:val="ListParagraph"/>
        <w:numPr>
          <w:ilvl w:val="0"/>
          <w:numId w:val="1"/>
        </w:numPr>
        <w:bidi/>
        <w:spacing w:after="60"/>
        <w:jc w:val="lowKashida"/>
      </w:pPr>
      <w:r>
        <w:rPr>
          <w:rtl/>
        </w:rPr>
        <w:t>ارزیابی اثربخشی راهکارها: پیشنهادهای کاربردی این پژوهش بر پایه یافته‌های آن استوارند اما آزمون نشده‌اند. پژوهشی که اثر اجرای این راهکارها را بر عملکرد فروش بنگاه‌های تک‌محصولی بسنجد، حلقه مفقوده میان شناخت مسئله و حل آن را تکمیل می‌کند.</w:t>
      </w:r>
    </w:p>
    <w:p>
      <w:pPr>
        <w:pStyle w:val="ListParagraph"/>
        <w:numPr>
          <w:ilvl w:val="0"/>
          <w:numId w:val="1"/>
        </w:numPr>
        <w:bidi/>
        <w:spacing w:after="60"/>
        <w:jc w:val="lowKashida"/>
      </w:pPr>
      <w:r>
        <w:rPr>
          <w:rtl/>
        </w:rPr>
        <w:t xml:space="preserve">تکرار مطالعه در سایر صنایع و بازه‌های زمانی: بررسی اینکه آیا الگوی به دست آمده در این پژوهش، یعنی برتری چالش‌های برون‌سازمانی در رتبه‌بندی، در بنگاه‌های تک‌محصولی سایر صنایع و در شرایط اقتصادی متفاوت نیز تکرار می‌شود یا خیر، به تعمیم‌پذیری یافته‌ها کمک می‌کند.</w:t>
      </w:r>
    </w:p>
    <w:sectPr w:rsidR="00EF16F2">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7047" w14:textId="77777777" w:rsidR="00414E0E" w:rsidRDefault="00414E0E" w:rsidP="00414E0E">
      <w:pPr>
        <w:spacing w:line="240" w:lineRule="auto"/>
      </w:pPr>
      <w:r>
        <w:separator/>
      </w:r>
    </w:p>
  </w:endnote>
  <w:endnote w:type="continuationSeparator" w:id="0">
    <w:p w14:paraId="7DA590FA" w14:textId="77777777" w:rsidR="00414E0E" w:rsidRDefault="00414E0E" w:rsidP="00414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BB11D" w14:textId="77777777" w:rsidR="00414E0E" w:rsidRDefault="00414E0E" w:rsidP="00414E0E">
      <w:pPr>
        <w:spacing w:line="240" w:lineRule="auto"/>
      </w:pPr>
      <w:r>
        <w:separator/>
      </w:r>
    </w:p>
  </w:footnote>
  <w:footnote w:type="continuationSeparator" w:id="0">
    <w:p w14:paraId="0AAFFE1E" w14:textId="77777777" w:rsidR="00414E0E" w:rsidRDefault="00414E0E" w:rsidP="00414E0E">
      <w:pPr>
        <w:spacing w:line="240" w:lineRule="auto"/>
      </w:pPr>
      <w:r>
        <w:continuationSeparator/>
      </w:r>
    </w:p>
  </w:footnote>
  <w:footnote w:id="1">
    <w:p>
      <w:r>
        <w:rPr>
          <w:rStyle w:val="FootnoteReference"/>
        </w:rPr>
        <w:footnoteRef/>
      </w:r>
      <w:r>
        <w:rPr>
          <w:rFonts w:ascii="Times New Roman" w:eastAsia="Times New Roman" w:hAnsi="Times New Roman" w:cs="Times New Roman"/>
          <w:sz w:val="20"/>
          <w:szCs w:val="20"/>
        </w:rPr>
        <w:t> Mammen et al., 2021</w:t>
      </w:r>
    </w:p>
  </w:footnote>
  <w:footnote w:id="2">
    <w:p>
      <w:r>
        <w:rPr>
          <w:rStyle w:val="FootnoteReference"/>
        </w:rPr>
        <w:footnoteRef/>
      </w:r>
      <w:r>
        <w:rPr>
          <w:rFonts w:ascii="Times New Roman" w:eastAsia="Times New Roman" w:hAnsi="Times New Roman" w:cs="Times New Roman"/>
          <w:sz w:val="20"/>
          <w:szCs w:val="20"/>
        </w:rPr>
        <w:t> Schommer et al., 2019</w:t>
      </w:r>
    </w:p>
  </w:footnote>
  <w:footnote w:id="3">
    <w:p>
      <w:r>
        <w:rPr>
          <w:rStyle w:val="FootnoteReference"/>
        </w:rPr>
        <w:footnoteRef/>
      </w:r>
      <w:r>
        <w:rPr>
          <w:rFonts w:ascii="Times New Roman" w:eastAsia="Times New Roman" w:hAnsi="Times New Roman" w:cs="Times New Roman"/>
          <w:sz w:val="20"/>
          <w:szCs w:val="20"/>
        </w:rPr>
        <w:t> Zain et al., 2023</w:t>
      </w:r>
    </w:p>
  </w:footnote>
  <w:footnote w:id="4">
    <w:p>
      <w:r>
        <w:rPr>
          <w:rStyle w:val="FootnoteReference"/>
        </w:rPr>
        <w:footnoteRef/>
      </w:r>
      <w:r>
        <w:rPr>
          <w:rFonts w:ascii="Times New Roman" w:eastAsia="Times New Roman" w:hAnsi="Times New Roman" w:cs="Times New Roman"/>
          <w:sz w:val="20"/>
          <w:szCs w:val="20"/>
        </w:rPr>
        <w:t> Pangarkar &amp; Prabhudesai, 2024</w:t>
      </w:r>
    </w:p>
  </w:footnote>
  <w:footnote w:id="5">
    <w:p>
      <w:r>
        <w:rPr>
          <w:rStyle w:val="FootnoteReference"/>
        </w:rPr>
        <w:footnoteRef/>
      </w:r>
      <w:r>
        <w:rPr>
          <w:rFonts w:ascii="Times New Roman" w:eastAsia="Times New Roman" w:hAnsi="Times New Roman" w:cs="Times New Roman"/>
          <w:sz w:val="20"/>
          <w:szCs w:val="20"/>
        </w:rPr>
        <w:t> Suryati &amp; Lusiah, 2022</w:t>
      </w:r>
    </w:p>
  </w:footnote>
  <w:footnote w:id="6">
    <w:p>
      <w:r>
        <w:rPr>
          <w:rStyle w:val="FootnoteReference"/>
        </w:rPr>
        <w:footnoteRef/>
      </w:r>
      <w:r>
        <w:rPr>
          <w:rFonts w:ascii="Times New Roman" w:eastAsia="Times New Roman" w:hAnsi="Times New Roman" w:cs="Times New Roman"/>
          <w:sz w:val="20"/>
          <w:szCs w:val="20"/>
        </w:rPr>
        <w:t> Thomran et al., 2022</w:t>
      </w:r>
    </w:p>
  </w:footnote>
  <w:footnote w:id="7">
    <w:p>
      <w:r>
        <w:rPr>
          <w:rStyle w:val="FootnoteReference"/>
        </w:rPr>
        <w:footnoteRef/>
      </w:r>
      <w:r>
        <w:rPr>
          <w:rFonts w:ascii="Times New Roman" w:eastAsia="Times New Roman" w:hAnsi="Times New Roman" w:cs="Times New Roman"/>
          <w:sz w:val="20"/>
          <w:szCs w:val="20"/>
        </w:rPr>
        <w:t> Mangla et al., 2021</w:t>
      </w:r>
    </w:p>
  </w:footnote>
  <w:footnote w:id="8">
    <w:p>
      <w:r>
        <w:rPr>
          <w:rStyle w:val="FootnoteReference"/>
        </w:rPr>
        <w:footnoteRef/>
      </w:r>
      <w:r>
        <w:rPr>
          <w:rFonts w:ascii="Times New Roman" w:eastAsia="Times New Roman" w:hAnsi="Times New Roman" w:cs="Times New Roman"/>
          <w:sz w:val="20"/>
          <w:szCs w:val="20"/>
        </w:rPr>
        <w:t> Taneo et al., 2022</w:t>
      </w:r>
    </w:p>
  </w:footnote>
  <w:footnote w:id="9">
    <w:p>
      <w:r>
        <w:rPr>
          <w:rStyle w:val="FootnoteReference"/>
        </w:rPr>
        <w:footnoteRef/>
      </w:r>
      <w:r>
        <w:rPr>
          <w:rFonts w:ascii="Times New Roman" w:eastAsia="Times New Roman" w:hAnsi="Times New Roman" w:cs="Times New Roman"/>
          <w:sz w:val="20"/>
          <w:szCs w:val="20"/>
        </w:rPr>
        <w:t> Mammen et al., 2021</w:t>
      </w:r>
    </w:p>
  </w:footnote>
  <w:footnote w:id="10">
    <w:p>
      <w:r>
        <w:rPr>
          <w:rStyle w:val="FootnoteReference"/>
        </w:rPr>
        <w:footnoteRef/>
      </w:r>
      <w:r>
        <w:rPr>
          <w:rFonts w:ascii="Times New Roman" w:eastAsia="Times New Roman" w:hAnsi="Times New Roman" w:cs="Times New Roman"/>
          <w:sz w:val="20"/>
          <w:szCs w:val="20"/>
        </w:rPr>
        <w:t> Thomran et al., 2022</w:t>
      </w:r>
    </w:p>
  </w:footnote>
  <w:footnote w:id="11">
    <w:p>
      <w:r>
        <w:rPr>
          <w:rStyle w:val="FootnoteReference"/>
        </w:rPr>
        <w:footnoteRef/>
      </w:r>
      <w:r>
        <w:rPr>
          <w:rFonts w:ascii="Times New Roman" w:eastAsia="Times New Roman" w:hAnsi="Times New Roman" w:cs="Times New Roman"/>
          <w:sz w:val="20"/>
          <w:szCs w:val="20"/>
        </w:rPr>
        <w:t> Shah et al., 2023</w:t>
      </w:r>
    </w:p>
  </w:footnote>
  <w:footnote w:id="12">
    <w:p>
      <w:r>
        <w:rPr>
          <w:rStyle w:val="FootnoteReference"/>
        </w:rPr>
        <w:footnoteRef/>
      </w:r>
      <w:r>
        <w:rPr>
          <w:rFonts w:ascii="Times New Roman" w:eastAsia="Times New Roman" w:hAnsi="Times New Roman" w:cs="Times New Roman"/>
          <w:sz w:val="20"/>
          <w:szCs w:val="20"/>
        </w:rPr>
        <w:t> Suryati &amp; Lusiah, 2022</w:t>
      </w:r>
    </w:p>
  </w:footnote>
  <w:footnote w:id="13">
    <w:p>
      <w:r>
        <w:rPr>
          <w:rStyle w:val="FootnoteReference"/>
        </w:rPr>
        <w:footnoteRef/>
      </w:r>
      <w:r>
        <w:rPr>
          <w:rFonts w:ascii="Times New Roman" w:eastAsia="Times New Roman" w:hAnsi="Times New Roman" w:cs="Times New Roman"/>
          <w:sz w:val="20"/>
          <w:szCs w:val="20"/>
        </w:rPr>
        <w:t> Pangarkar &amp; Prabhudesai, 2024</w:t>
      </w:r>
    </w:p>
  </w:footnote>
  <w:footnote w:id="14">
    <w:p>
      <w:r>
        <w:rPr>
          <w:rStyle w:val="FootnoteReference"/>
        </w:rPr>
        <w:footnoteRef/>
      </w:r>
      <w:r>
        <w:rPr>
          <w:rFonts w:ascii="Times New Roman" w:eastAsia="Times New Roman" w:hAnsi="Times New Roman" w:cs="Times New Roman"/>
          <w:sz w:val="20"/>
          <w:szCs w:val="20"/>
        </w:rPr>
        <w:t> Pangarkar &amp; Prabhudesai, 2024</w:t>
      </w:r>
    </w:p>
  </w:footnote>
  <w:footnote w:id="15">
    <w:p>
      <w:r>
        <w:rPr>
          <w:rStyle w:val="FootnoteReference"/>
        </w:rPr>
        <w:footnoteRef/>
      </w:r>
      <w:r>
        <w:rPr>
          <w:rFonts w:ascii="Times New Roman" w:eastAsia="Times New Roman" w:hAnsi="Times New Roman" w:cs="Times New Roman"/>
          <w:sz w:val="20"/>
          <w:szCs w:val="20"/>
        </w:rPr>
        <w:t> Miklian &amp; Hoelscher, 2022</w:t>
      </w:r>
    </w:p>
  </w:footnote>
  <w:footnote w:id="16">
    <w:p>
      <w:r>
        <w:rPr>
          <w:rStyle w:val="FootnoteReference"/>
        </w:rPr>
        <w:footnoteRef/>
      </w:r>
      <w:r>
        <w:rPr>
          <w:rFonts w:ascii="Times New Roman" w:eastAsia="Times New Roman" w:hAnsi="Times New Roman" w:cs="Times New Roman"/>
          <w:sz w:val="20"/>
          <w:szCs w:val="20"/>
        </w:rPr>
        <w:t> Mammen et al., 2021</w:t>
      </w:r>
    </w:p>
  </w:footnote>
  <w:footnote w:id="17">
    <w:p>
      <w:r>
        <w:rPr>
          <w:rStyle w:val="FootnoteReference"/>
        </w:rPr>
        <w:footnoteRef/>
      </w:r>
      <w:r>
        <w:rPr>
          <w:rFonts w:ascii="Times New Roman" w:eastAsia="Times New Roman" w:hAnsi="Times New Roman" w:cs="Times New Roman"/>
          <w:sz w:val="20"/>
          <w:szCs w:val="20"/>
        </w:rPr>
        <w:t> Thomran et al., 2022</w:t>
      </w:r>
    </w:p>
  </w:footnote>
  <w:footnote w:id="18">
    <w:p>
      <w:r>
        <w:rPr>
          <w:rStyle w:val="FootnoteReference"/>
        </w:rPr>
        <w:footnoteRef/>
      </w:r>
      <w:r>
        <w:rPr>
          <w:rFonts w:ascii="Times New Roman" w:eastAsia="Times New Roman" w:hAnsi="Times New Roman" w:cs="Times New Roman"/>
          <w:sz w:val="20"/>
          <w:szCs w:val="20"/>
        </w:rPr>
        <w:t> Dukhaykh &amp; Alangri, 2026</w:t>
      </w:r>
    </w:p>
  </w:footnote>
  <w:footnote w:id="19">
    <w:p>
      <w:r>
        <w:rPr>
          <w:rStyle w:val="FootnoteReference"/>
        </w:rPr>
        <w:footnoteRef/>
      </w:r>
      <w:r>
        <w:rPr>
          <w:rFonts w:ascii="Times New Roman" w:eastAsia="Times New Roman" w:hAnsi="Times New Roman" w:cs="Times New Roman"/>
          <w:sz w:val="20"/>
          <w:szCs w:val="20"/>
        </w:rPr>
        <w:t> Nasa et al., 2021</w:t>
      </w:r>
    </w:p>
  </w:footnote>
  <w:footnote w:id="20">
    <w:p>
      <w:r>
        <w:rPr>
          <w:rStyle w:val="FootnoteReference"/>
        </w:rPr>
        <w:footnoteRef/>
      </w:r>
      <w:r>
        <w:rPr>
          <w:rFonts w:ascii="Times New Roman" w:eastAsia="Times New Roman" w:hAnsi="Times New Roman" w:cs="Times New Roman"/>
          <w:sz w:val="20"/>
          <w:szCs w:val="20"/>
        </w:rPr>
        <w:t> Schmidt, 1997</w:t>
      </w:r>
    </w:p>
  </w:footnote>
  <w:footnote w:id="21">
    <w:p>
      <w:r>
        <w:rPr>
          <w:rStyle w:val="FootnoteReference"/>
        </w:rPr>
        <w:footnoteRef/>
      </w:r>
      <w:r>
        <w:rPr>
          <w:rFonts w:ascii="Times New Roman" w:eastAsia="Times New Roman" w:hAnsi="Times New Roman" w:cs="Times New Roman"/>
          <w:sz w:val="20"/>
          <w:szCs w:val="20"/>
        </w:rPr>
        <w:t> Arte &amp; Larimo, 2022</w:t>
      </w:r>
    </w:p>
  </w:footnote>
  <w:footnote w:id="22">
    <w:p>
      <w:r>
        <w:rPr>
          <w:rStyle w:val="FootnoteReference"/>
        </w:rPr>
        <w:footnoteRef/>
      </w:r>
      <w:r>
        <w:rPr>
          <w:rFonts w:ascii="Times New Roman" w:eastAsia="Times New Roman" w:hAnsi="Times New Roman" w:cs="Times New Roman"/>
          <w:sz w:val="20"/>
          <w:szCs w:val="20"/>
        </w:rPr>
        <w:t> Mammen et al., 2021</w:t>
      </w:r>
    </w:p>
  </w:footnote>
  <w:footnote w:id="23">
    <w:p>
      <w:r>
        <w:rPr>
          <w:rStyle w:val="FootnoteReference"/>
        </w:rPr>
        <w:footnoteRef/>
      </w:r>
      <w:r>
        <w:rPr>
          <w:rFonts w:ascii="Times New Roman" w:eastAsia="Times New Roman" w:hAnsi="Times New Roman" w:cs="Times New Roman"/>
          <w:sz w:val="20"/>
          <w:szCs w:val="20"/>
        </w:rPr>
        <w:t> Taneo et al.,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E"/>
    <w:rsid w:val="00414E0E"/>
    <w:rsid w:val="0048646F"/>
    <w:rsid w:val="00723EBE"/>
    <w:rsid w:val="00AF356D"/>
    <w:rsid w:val="00E51E8F"/>
    <w:rsid w:val="00EF16F2"/>
    <w:rsid w:val="00F33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6E7"/>
  <w15:chartTrackingRefBased/>
  <w15:docId w15:val="{AD187049-148D-4A56-A71D-96D1F10E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E0E"/>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414E0E"/>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414E0E"/>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414E0E"/>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414E0E"/>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0E"/>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414E0E"/>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414E0E"/>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414E0E"/>
    <w:rPr>
      <w:rFonts w:ascii="B Nazanin" w:eastAsia="B Nazanin" w:hAnsi="B Nazanin" w:cs="B Nazanin"/>
      <w:b/>
      <w:bCs/>
      <w:color w:val="000000"/>
      <w:sz w:val="28"/>
      <w:szCs w:val="28"/>
      <w:lang w:bidi="fa-IR"/>
    </w:rPr>
  </w:style>
  <w:style w:type="paragraph" w:styleId="ListParagraph">
    <w:name w:val="List Paragraph"/>
    <w:qFormat/>
    <w:rsid w:val="00414E0E"/>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414E0E"/>
    <w:rPr>
      <w:vertAlign w:val="superscript"/>
    </w:rPr>
  </w:style>
  <w:style w:type="paragraph" w:customStyle="1" w:styleId="TableCaption">
    <w:name w:val="TableCaption"/>
    <w:rsid w:val="00414E0E"/>
    <w:pPr>
      <w:bidi/>
      <w:spacing w:after="0" w:line="240" w:lineRule="auto"/>
      <w:jc w:val="center"/>
    </w:pPr>
    <w:rPr>
      <w:rFonts w:ascii="B Nazanin" w:eastAsia="B Nazanin" w:hAnsi="B Nazanin" w:cs="B Nazanin"/>
      <w:b/>
      <w:bCs/>
      <w:sz w:val="24"/>
      <w:szCs w:val="24"/>
      <w:rtl/>
      <w:lang w:bidi="fa-IR"/>
    </w:rPr>
  </w:style>
  <w:style w:type="paragraph" w:customStyle="1" w:styleId="CaptionSource">
    <w:name w:val="CaptionSource"/>
    <w:rsid w:val="00414E0E"/>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3378</Words>
  <Characters>19256</Characters>
  <Application>Microsoft Office Word</Application>
  <DocSecurity>0</DocSecurity>
  <Lines>160</Lines>
  <Paragraphs>45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abdollahi</dc:creator>
  <cp:keywords/>
  <dc:description/>
  <cp:lastModifiedBy>taha abdollahi</cp:lastModifiedBy>
  <cp:revision>1</cp:revision>
  <dcterms:created xsi:type="dcterms:W3CDTF">2026-10-21T09:56:00Z</dcterms:created>
  <dcterms:modified xsi:type="dcterms:W3CDTF">2026-10-21T09:57:00Z</dcterms:modified>
</cp:coreProperties>
</file>