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افت فروش را از محل سایر اقلام جبران نمی‌کنند؛ اما چالش‌های فروش آن‌ها در ادبیات ایران به‌طور اختصاصی بررسی نشده است. هدف این پژوهش، شناسایی و اولویت‌بندی چالش‌های فروش در شرکت‌های تک‌محصولی صنعت مواد غذایی ایران بود. پژوهش از نظر هدف کاربردی، اکتشافی و آمیخته است و به روش دلفی در سه دور اجرا شد. نمونه‌گیری به روش هدفمند قضاوتی انجام شد و پانل را هفت خبره (مدیران و کارشناسان فروش، مدیر برنامه‌ریزی تولید و عضو هیئت علمی) با تجربه مستقیم در فروش یا بازاریابی محصولات غذایی تشکیل دادند. پاسخ‌های باز دور نخست با تحلیل مضمون کدگذاری شد و بیست‌ونه گویه به دست آمد. در دور دوم و سوم، اعضا اهمیت گویه‌ها را بر طیفی پنج‌درجه‌ای امتیاز دادند و در دور سوم بازخورد گروهی ناشناس دریافت کردند. توافق اعضا با ضریب هماهنگی کندال و ثبات امتیازها میان دو دور پایانی با ضریب اسپیرمن سنجیده شد؛ ضریب کندال از ۰٫۲۲۴ به ۰٫۷۵۶ رسید و همبستگی اسپیرمن ۰٫۸۴۷ بود. سپس با روش AHP، بدون مقایسه‌های زوجی مستقیم، نخست وزن هر گویه از میانگین امتیاز آن در پرسشنامه دور سوم و پس از آن وزن نُه مؤلفه (پنج درون‌سازمانی و چهار برون‌سازمانی) از وزن گویه‌ها محاسبه شد؛ استواری وزن‌ها با ماتریس‌های مقایسه زوجی برآوردی از همان امتیازها سنجیده شد و ترتیب مؤلفه‌ها تغییر نکرد. بیشترین وزن گویه به ورود رقبای جدید و افزایش بهای تمام‌شده (۰٫۰۴۲۴) و بیشترین وزن مؤلفه به فشارهای اقتصاد کلان و کاهش قدرت خرید (۰٫۱۲۲) تعلق گرفت؛ هر چهار مؤلفه برون‌سازمانی در پنج رتبه نخست بودند و آسیب‌پذیری ساختاری ناشی از تمرکز محصولی رتبه چهارم را گرفت.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۴۳</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۴۵</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۴۶</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۴۹</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۵۰</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۵۰</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۵۱</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۵۱</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۵۱</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۵۱</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۵۱</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۵۲</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۵۳</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۵۳</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۵۴</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۵۵</w:t>
        </w:r>
        <w:r>
          <w:rPr>
            <w:noProof/>
            <w:rtl/>
          </w:rPr>
          <w:fldChar w:fldCharType="end"/>
        </w:r>
      </w:hyperlink>
    </w:p>
    <w:p>
      <w:pPr>
        <w:pStyle w:val="TOC3"/>
        <w:bidi/>
      </w:pPr>
      <w:hyperlink w:anchor="_Toc200000042" w:history="1">
        <w:r>
          <w:rPr>
            <w:noProof/>
            <w:rtl/>
          </w:rPr>
          <w:t xml:space="preserve">۳ـ۷ـ۴ سنجش استواری وزن‌ها با ماتریس‌های مقایسه زوجی برآوردی</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۵۵</w:t>
        </w:r>
        <w:r>
          <w:rPr>
            <w:noProof/>
            <w:rtl/>
          </w:rPr>
          <w:fldChar w:fldCharType="end"/>
        </w:r>
      </w:hyperlink>
    </w:p>
    <w:p>
      <w:pPr>
        <w:pStyle w:val="TOC3"/>
        <w:bidi/>
      </w:pPr>
      <w:hyperlink w:anchor="_Toc200000043" w:history="1">
        <w:r>
          <w:rPr>
            <w:noProof/>
            <w:rtl/>
          </w:rPr>
          <w:t xml:space="preserve">۳ـ۷ـ۵ چرایی انتخاب روش دلفی در میان رویکردهای رقیب</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۵۷</w:t>
        </w:r>
        <w:r>
          <w:rPr>
            <w:noProof/>
            <w:rtl/>
          </w:rPr>
          <w:fldChar w:fldCharType="end"/>
        </w:r>
      </w:hyperlink>
    </w:p>
    <w:p>
      <w:pPr>
        <w:pStyle w:val="TOC2"/>
        <w:bidi/>
      </w:pPr>
      <w:hyperlink w:anchor="_Toc200000044" w:history="1">
        <w:r>
          <w:rPr>
            <w:noProof/>
            <w:rtl/>
          </w:rPr>
          <w:t xml:space="preserve">۳ـ۸ ملاحظات اخلاقی پژوهش</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۵۷</w:t>
        </w:r>
        <w:r>
          <w:rPr>
            <w:noProof/>
            <w:rtl/>
          </w:rPr>
          <w:fldChar w:fldCharType="end"/>
        </w:r>
      </w:hyperlink>
    </w:p>
    <w:p>
      <w:pPr>
        <w:pStyle w:val="TOC1"/>
        <w:bidi/>
      </w:pPr>
      <w:hyperlink w:anchor="_Toc200000045"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۵۹</w:t>
        </w:r>
        <w:r>
          <w:rPr>
            <w:noProof/>
            <w:rtl/>
          </w:rPr>
          <w:fldChar w:fldCharType="end"/>
        </w:r>
      </w:hyperlink>
    </w:p>
    <w:p>
      <w:pPr>
        <w:pStyle w:val="TOC2"/>
        <w:bidi/>
      </w:pPr>
      <w:hyperlink w:anchor="_Toc200000046" w:history="1">
        <w:r>
          <w:rPr>
            <w:noProof/>
            <w:rtl/>
          </w:rPr>
          <w:t xml:space="preserve">۴ـ۱ مقدمه</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۶۰</w:t>
        </w:r>
        <w:r>
          <w:rPr>
            <w:noProof/>
            <w:rtl/>
          </w:rPr>
          <w:fldChar w:fldCharType="end"/>
        </w:r>
      </w:hyperlink>
    </w:p>
    <w:p>
      <w:pPr>
        <w:pStyle w:val="TOC2"/>
        <w:bidi/>
      </w:pPr>
      <w:hyperlink w:anchor="_Toc200000047" w:history="1">
        <w:r>
          <w:rPr>
            <w:noProof/>
            <w:rtl/>
          </w:rPr>
          <w:t xml:space="preserve">۴ـ۲ ترکیب پانل خبرگان</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۶۰</w:t>
        </w:r>
        <w:r>
          <w:rPr>
            <w:noProof/>
            <w:rtl/>
          </w:rPr>
          <w:fldChar w:fldCharType="end"/>
        </w:r>
      </w:hyperlink>
    </w:p>
    <w:p>
      <w:pPr>
        <w:pStyle w:val="TOC3"/>
        <w:bidi/>
      </w:pPr>
      <w:hyperlink w:anchor="_Toc200000049"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۶۱</w:t>
        </w:r>
        <w:r>
          <w:rPr>
            <w:noProof/>
            <w:rtl/>
          </w:rPr>
          <w:fldChar w:fldCharType="end"/>
        </w:r>
      </w:hyperlink>
    </w:p>
    <w:p>
      <w:pPr>
        <w:pStyle w:val="TOC2"/>
        <w:bidi/>
      </w:pPr>
      <w:hyperlink w:anchor="_Toc200000058" w:history="1">
        <w:r>
          <w:rPr>
            <w:noProof/>
            <w:rtl/>
          </w:rPr>
          <w:t xml:space="preserve">۴ـ۳ دور نخست دلفی: شناسایی گویه‌ها</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۶۴</w:t>
        </w:r>
        <w:r>
          <w:rPr>
            <w:noProof/>
            <w:rtl/>
          </w:rPr>
          <w:fldChar w:fldCharType="end"/>
        </w:r>
      </w:hyperlink>
    </w:p>
    <w:p>
      <w:pPr>
        <w:pStyle w:val="TOC2"/>
        <w:bidi/>
      </w:pPr>
      <w:hyperlink w:anchor="_Toc200000060"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۶۶</w:t>
        </w:r>
        <w:r>
          <w:rPr>
            <w:noProof/>
            <w:rtl/>
          </w:rPr>
          <w:fldChar w:fldCharType="end"/>
        </w:r>
      </w:hyperlink>
    </w:p>
    <w:p>
      <w:pPr>
        <w:pStyle w:val="TOC2"/>
        <w:bidi/>
      </w:pPr>
      <w:hyperlink w:anchor="_Toc200000062"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۶۸</w:t>
        </w:r>
        <w:r>
          <w:rPr>
            <w:noProof/>
            <w:rtl/>
          </w:rPr>
          <w:fldChar w:fldCharType="end"/>
        </w:r>
      </w:hyperlink>
    </w:p>
    <w:p>
      <w:pPr>
        <w:pStyle w:val="TOC3"/>
        <w:bidi/>
      </w:pPr>
      <w:hyperlink w:anchor="_Toc200000064"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۷۱</w:t>
        </w:r>
        <w:r>
          <w:rPr>
            <w:noProof/>
            <w:rtl/>
          </w:rPr>
          <w:fldChar w:fldCharType="end"/>
        </w:r>
      </w:hyperlink>
    </w:p>
    <w:p>
      <w:pPr>
        <w:pStyle w:val="TOC3"/>
        <w:bidi/>
      </w:pPr>
      <w:hyperlink w:anchor="_Toc200000066"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۷۲</w:t>
        </w:r>
        <w:r>
          <w:rPr>
            <w:noProof/>
            <w:rtl/>
          </w:rPr>
          <w:fldChar w:fldCharType="end"/>
        </w:r>
      </w:hyperlink>
    </w:p>
    <w:p>
      <w:pPr>
        <w:pStyle w:val="TOC2"/>
        <w:bidi/>
      </w:pPr>
      <w:hyperlink w:anchor="_Toc200000068" w:history="1">
        <w:r>
          <w:rPr>
            <w:noProof/>
            <w:rtl/>
          </w:rPr>
          <w:t xml:space="preserve">۴ـ۶ پاسخ به پرسش‌های پژوهش</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۷۲</w:t>
        </w:r>
        <w:r>
          <w:rPr>
            <w:noProof/>
            <w:rtl/>
          </w:rPr>
          <w:fldChar w:fldCharType="end"/>
        </w:r>
      </w:hyperlink>
    </w:p>
    <w:p>
      <w:pPr>
        <w:pStyle w:val="TOC3"/>
        <w:bidi/>
      </w:pPr>
      <w:hyperlink w:anchor="_Toc200000069" w:history="1">
        <w:r>
          <w:rPr>
            <w:noProof/>
            <w:rtl/>
          </w:rPr>
          <w:t xml:space="preserve">۴ـ۶ـ۱ پاسخ به پرسش نخست: چالش‌های فروش</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۷۲</w:t>
        </w:r>
        <w:r>
          <w:rPr>
            <w:noProof/>
            <w:rtl/>
          </w:rPr>
          <w:fldChar w:fldCharType="end"/>
        </w:r>
      </w:hyperlink>
    </w:p>
    <w:p>
      <w:pPr>
        <w:pStyle w:val="TOC3"/>
        <w:bidi/>
      </w:pPr>
      <w:hyperlink w:anchor="_Toc200000070" w:history="1">
        <w:r>
          <w:rPr>
            <w:noProof/>
            <w:rtl/>
          </w:rPr>
          <w:t xml:space="preserve">۴ـ۶ـ۲ پاسخ به پرسش دوم: وزن‌دهی و اولویت‌بندی به روش AHP</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۷۳</w:t>
        </w:r>
        <w:r>
          <w:rPr>
            <w:noProof/>
            <w:rtl/>
          </w:rPr>
          <w:fldChar w:fldCharType="end"/>
        </w:r>
      </w:hyperlink>
    </w:p>
    <w:p>
      <w:pPr>
        <w:pStyle w:val="TOC3"/>
        <w:bidi/>
      </w:pPr>
      <w:hyperlink w:anchor="_Toc200000073" w:history="1">
        <w:r>
          <w:rPr>
            <w:noProof/>
            <w:rtl/>
          </w:rPr>
          <w:t xml:space="preserve">۴ـ۶ـ۳ سنجش استواری: وزن‌دهی با ماتریس‌های مقایسه زوجی برآوردی</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۷۷</w:t>
        </w:r>
        <w:r>
          <w:rPr>
            <w:noProof/>
            <w:rtl/>
          </w:rPr>
          <w:fldChar w:fldCharType="end"/>
        </w:r>
      </w:hyperlink>
    </w:p>
    <w:p>
      <w:pPr>
        <w:pStyle w:val="TOC2"/>
        <w:bidi/>
      </w:pPr>
      <w:hyperlink w:anchor="_Toc200000078" w:history="1">
        <w:r>
          <w:rPr>
            <w:noProof/>
            <w:rtl/>
          </w:rPr>
          <w:t xml:space="preserve">۴ـ۷ خلاصه فصل</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۸۱</w:t>
        </w:r>
        <w:r>
          <w:rPr>
            <w:noProof/>
            <w:rtl/>
          </w:rPr>
          <w:fldChar w:fldCharType="end"/>
        </w:r>
      </w:hyperlink>
    </w:p>
    <w:p>
      <w:pPr>
        <w:pStyle w:val="TOC1"/>
        <w:bidi/>
      </w:pPr>
      <w:hyperlink w:anchor="_Toc200000080" w:history="1">
        <w:r>
          <w:rPr>
            <w:noProof/>
            <w:rtl/>
          </w:rPr>
          <w:t xml:space="preserve">فصل پنجم: بحث و نتیجه‌گیری</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۸۴</w:t>
        </w:r>
        <w:r>
          <w:rPr>
            <w:noProof/>
            <w:rtl/>
          </w:rPr>
          <w:fldChar w:fldCharType="end"/>
        </w:r>
      </w:hyperlink>
    </w:p>
    <w:p>
      <w:pPr>
        <w:pStyle w:val="TOC2"/>
        <w:bidi/>
      </w:pPr>
      <w:hyperlink w:anchor="_Toc200000081" w:history="1">
        <w:r>
          <w:rPr>
            <w:noProof/>
            <w:rtl/>
          </w:rPr>
          <w:t xml:space="preserve">۵ـ۱ مقدمه</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۸۵</w:t>
        </w:r>
        <w:r>
          <w:rPr>
            <w:noProof/>
            <w:rtl/>
          </w:rPr>
          <w:fldChar w:fldCharType="end"/>
        </w:r>
      </w:hyperlink>
    </w:p>
    <w:p>
      <w:pPr>
        <w:pStyle w:val="TOC2"/>
        <w:bidi/>
      </w:pPr>
      <w:hyperlink w:anchor="_Toc200000082" w:history="1">
        <w:r>
          <w:rPr>
            <w:noProof/>
            <w:rtl/>
          </w:rPr>
          <w:t xml:space="preserve">۵ـ۲ مروری بر خلاصه تحقیق</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۸۵</w:t>
        </w:r>
        <w:r>
          <w:rPr>
            <w:noProof/>
            <w:rtl/>
          </w:rPr>
          <w:fldChar w:fldCharType="end"/>
        </w:r>
      </w:hyperlink>
    </w:p>
    <w:p>
      <w:pPr>
        <w:pStyle w:val="TOC2"/>
        <w:bidi/>
      </w:pPr>
      <w:hyperlink w:anchor="_Toc200000083" w:history="1">
        <w:r>
          <w:rPr>
            <w:noProof/>
            <w:rtl/>
          </w:rPr>
          <w:t xml:space="preserve">۵ـ۳ بحث و نتیجه‌گیری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۸۶</w:t>
        </w:r>
        <w:r>
          <w:rPr>
            <w:noProof/>
            <w:rtl/>
          </w:rPr>
          <w:fldChar w:fldCharType="end"/>
        </w:r>
      </w:hyperlink>
    </w:p>
    <w:p>
      <w:pPr>
        <w:pStyle w:val="TOC3"/>
        <w:bidi/>
      </w:pPr>
      <w:hyperlink w:anchor="_Toc200000084"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۸۶</w:t>
        </w:r>
        <w:r>
          <w:rPr>
            <w:noProof/>
            <w:rtl/>
          </w:rPr>
          <w:fldChar w:fldCharType="end"/>
        </w:r>
      </w:hyperlink>
    </w:p>
    <w:p>
      <w:pPr>
        <w:pStyle w:val="TOC3"/>
        <w:bidi/>
      </w:pPr>
      <w:hyperlink w:anchor="_Toc200000086"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۹۱</w:t>
        </w:r>
        <w:r>
          <w:rPr>
            <w:noProof/>
            <w:rtl/>
          </w:rPr>
          <w:fldChar w:fldCharType="end"/>
        </w:r>
      </w:hyperlink>
    </w:p>
    <w:p>
      <w:pPr>
        <w:pStyle w:val="TOC2"/>
        <w:bidi/>
      </w:pPr>
      <w:hyperlink w:anchor="_Toc200000087" w:history="1">
        <w:r>
          <w:rPr>
            <w:noProof/>
            <w:rtl/>
          </w:rPr>
          <w:t xml:space="preserve">۵ـ۴ پیشنهادات تحقیق</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۹۵</w:t>
        </w:r>
        <w:r>
          <w:rPr>
            <w:noProof/>
            <w:rtl/>
          </w:rPr>
          <w:fldChar w:fldCharType="end"/>
        </w:r>
      </w:hyperlink>
    </w:p>
    <w:p>
      <w:pPr>
        <w:pStyle w:val="TOC2"/>
        <w:bidi/>
      </w:pPr>
      <w:hyperlink w:anchor="_Toc200000088" w:history="1">
        <w:r>
          <w:rPr>
            <w:noProof/>
            <w:rtl/>
          </w:rPr>
          <w:t xml:space="preserve">۵ـ۵ محدودیت‌های پژوهش</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۹۷</w:t>
        </w:r>
        <w:r>
          <w:rPr>
            <w:noProof/>
            <w:rtl/>
          </w:rPr>
          <w:fldChar w:fldCharType="end"/>
        </w:r>
      </w:hyperlink>
    </w:p>
    <w:p>
      <w:pPr>
        <w:pStyle w:val="TOC2"/>
        <w:bidi/>
      </w:pPr>
      <w:hyperlink w:anchor="_Toc200000089"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۹۸</w:t>
        </w:r>
        <w:r>
          <w:rPr>
            <w:noProof/>
            <w:rtl/>
          </w:rPr>
          <w:fldChar w:fldCharType="end"/>
        </w:r>
      </w:hyperlink>
    </w:p>
    <w:p>
      <w:pPr>
        <w:pStyle w:val="TOC1"/>
        <w:bidi/>
      </w:pPr>
      <w:hyperlink w:anchor="_Toc200000090" w:history="1">
        <w:r>
          <w:rPr>
            <w:noProof/>
            <w:rtl/>
          </w:rPr>
          <w:t xml:space="preserve">منابع</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۱۰۰</w:t>
        </w:r>
        <w:r>
          <w:rPr>
            <w:noProof/>
            <w:rtl/>
          </w:rPr>
          <w:fldChar w:fldCharType="end"/>
        </w:r>
      </w:hyperlink>
    </w:p>
    <w:p>
      <w:pPr>
        <w:pStyle w:val="TOC2"/>
        <w:bidi/>
      </w:pPr>
      <w:hyperlink w:anchor="_Toc200000091" w:history="1">
        <w:r>
          <w:rPr>
            <w:noProof/>
            <w:rtl/>
          </w:rPr>
          <w:t xml:space="preserve">منابع داخلی</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۱۰۱</w:t>
        </w:r>
        <w:r>
          <w:rPr>
            <w:noProof/>
            <w:rtl/>
          </w:rPr>
          <w:fldChar w:fldCharType="end"/>
        </w:r>
      </w:hyperlink>
    </w:p>
    <w:p>
      <w:pPr>
        <w:pStyle w:val="TOC2"/>
        <w:bidi/>
      </w:pPr>
      <w:hyperlink w:anchor="_Toc200000092" w:history="1">
        <w:r>
          <w:rPr>
            <w:noProof/>
            <w:rtl/>
          </w:rPr>
          <w:t xml:space="preserve">منابع خارجی</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۱۰۲</w:t>
        </w:r>
        <w:r>
          <w:rPr>
            <w:noProof/>
            <w:rtl/>
          </w:rPr>
          <w:fldChar w:fldCharType="end"/>
        </w:r>
      </w:hyperlink>
    </w:p>
    <w:p>
      <w:pPr>
        <w:pStyle w:val="TOC1"/>
        <w:bidi/>
      </w:pPr>
      <w:hyperlink w:anchor="_Toc200000093" w:history="1">
        <w:r>
          <w:rPr>
            <w:noProof/>
            <w:rtl/>
          </w:rPr>
          <w:t xml:space="preserve">پیوست‌ها</w:t>
        </w:r>
        <w:r>
          <w:rPr>
            <w:noProof/>
            <w:rtl/>
          </w:rPr>
          <w:tab/>
        </w:r>
        <w:r>
          <w:rPr>
            <w:noProof/>
            <w:rtl/>
          </w:rPr>
          <w:fldChar w:fldCharType="begin"/>
        </w:r>
        <w:r>
          <w:rPr>
            <w:noProof/>
            <w:rtl/>
          </w:rPr>
          <w:instrText xml:space="preserve"> PAGEREF _Toc200000093 \h </w:instrText>
        </w:r>
        <w:r>
          <w:rPr>
            <w:noProof/>
            <w:rtl/>
          </w:rPr>
          <w:fldChar w:fldCharType="separate"/>
        </w:r>
        <w:r>
          <w:rPr>
            <w:noProof/>
            <w:rtl/>
          </w:rPr>
          <w:t xml:space="preserve">۱۰۵</w:t>
        </w:r>
        <w:r>
          <w:rPr>
            <w:noProof/>
            <w:rtl/>
          </w:rPr>
          <w:fldChar w:fldCharType="end"/>
        </w:r>
      </w:hyperlink>
    </w:p>
    <w:p>
      <w:pPr>
        <w:pStyle w:val="TOC2"/>
        <w:bidi/>
      </w:pPr>
      <w:hyperlink w:anchor="_Toc200000094" w:history="1">
        <w:r>
          <w:rPr>
            <w:noProof/>
            <w:rtl/>
          </w:rPr>
          <w:t xml:space="preserve">پیوست الف: فرم خام مصاحبه دور نخست دلفی</w:t>
        </w:r>
        <w:r>
          <w:rPr>
            <w:noProof/>
            <w:rtl/>
          </w:rPr>
          <w:tab/>
        </w:r>
        <w:r>
          <w:rPr>
            <w:noProof/>
            <w:rtl/>
          </w:rPr>
          <w:fldChar w:fldCharType="begin"/>
        </w:r>
        <w:r>
          <w:rPr>
            <w:noProof/>
            <w:rtl/>
          </w:rPr>
          <w:instrText xml:space="preserve"> PAGEREF _Toc200000094 \h </w:instrText>
        </w:r>
        <w:r>
          <w:rPr>
            <w:noProof/>
            <w:rtl/>
          </w:rPr>
          <w:fldChar w:fldCharType="separate"/>
        </w:r>
        <w:r>
          <w:rPr>
            <w:noProof/>
            <w:rtl/>
          </w:rPr>
          <w:t xml:space="preserve">۱۰۶</w:t>
        </w:r>
        <w:r>
          <w:rPr>
            <w:noProof/>
            <w:rtl/>
          </w:rPr>
          <w:fldChar w:fldCharType="end"/>
        </w:r>
      </w:hyperlink>
    </w:p>
    <w:p>
      <w:pPr>
        <w:pStyle w:val="TOC2"/>
        <w:bidi/>
      </w:pPr>
      <w:hyperlink w:anchor="_Toc200000095" w:history="1">
        <w:r>
          <w:rPr>
            <w:noProof/>
            <w:rtl/>
          </w:rPr>
          <w:t xml:space="preserve">پیوست ب: فرم خام پرسشنامه دور دوم دلفی (امتیازدهی به گویه‌ها)</w:t>
        </w:r>
        <w:r>
          <w:rPr>
            <w:noProof/>
            <w:rtl/>
          </w:rPr>
          <w:tab/>
        </w:r>
        <w:r>
          <w:rPr>
            <w:noProof/>
            <w:rtl/>
          </w:rPr>
          <w:fldChar w:fldCharType="begin"/>
        </w:r>
        <w:r>
          <w:rPr>
            <w:noProof/>
            <w:rtl/>
          </w:rPr>
          <w:instrText xml:space="preserve"> PAGEREF _Toc200000095 \h </w:instrText>
        </w:r>
        <w:r>
          <w:rPr>
            <w:noProof/>
            <w:rtl/>
          </w:rPr>
          <w:fldChar w:fldCharType="separate"/>
        </w:r>
        <w:r>
          <w:rPr>
            <w:noProof/>
            <w:rtl/>
          </w:rPr>
          <w:t xml:space="preserve">۱۰۹</w:t>
        </w:r>
        <w:r>
          <w:rPr>
            <w:noProof/>
            <w:rtl/>
          </w:rPr>
          <w:fldChar w:fldCharType="end"/>
        </w:r>
      </w:hyperlink>
    </w:p>
    <w:p>
      <w:pPr>
        <w:pStyle w:val="TOC2"/>
        <w:bidi/>
      </w:pPr>
      <w:hyperlink w:anchor="_Toc200000096" w:history="1">
        <w:r>
          <w:rPr>
            <w:noProof/>
            <w:rtl/>
          </w:rPr>
          <w:t xml:space="preserve">پیوست پ: فرم خام پرسشنامه دور سوم دلفی (بازنگری امتیازدهی با بازخورد گروهی)</w:t>
        </w:r>
        <w:r>
          <w:rPr>
            <w:noProof/>
            <w:rtl/>
          </w:rPr>
          <w:tab/>
        </w:r>
        <w:r>
          <w:rPr>
            <w:noProof/>
            <w:rtl/>
          </w:rPr>
          <w:fldChar w:fldCharType="begin"/>
        </w:r>
        <w:r>
          <w:rPr>
            <w:noProof/>
            <w:rtl/>
          </w:rPr>
          <w:instrText xml:space="preserve"> PAGEREF _Toc200000096 \h </w:instrText>
        </w:r>
        <w:r>
          <w:rPr>
            <w:noProof/>
            <w:rtl/>
          </w:rPr>
          <w:fldChar w:fldCharType="separate"/>
        </w:r>
        <w:r>
          <w:rPr>
            <w:noProof/>
            <w:rtl/>
          </w:rPr>
          <w:t xml:space="preserve">۱۱۱</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۴۷</w:t>
        </w:r>
        <w:r>
          <w:rPr>
            <w:noProof/>
            <w:rtl/>
          </w:rPr>
          <w:fldChar w:fldCharType="end"/>
        </w:r>
      </w:hyperlink>
    </w:p>
    <w:p>
      <w:pPr>
        <w:pStyle w:val="TOC4"/>
        <w:bidi/>
      </w:pPr>
      <w:hyperlink w:anchor="_Toc200000048" w:history="1">
        <w:r>
          <w:rPr>
            <w:noProof/>
            <w:rtl/>
          </w:rPr>
          <w:t xml:space="preserve">جدول ۴-۱ ترکیب نمونه پژوهش</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۶۰</w:t>
        </w:r>
        <w:r>
          <w:rPr>
            <w:noProof/>
            <w:rtl/>
          </w:rPr>
          <w:fldChar w:fldCharType="end"/>
        </w:r>
      </w:hyperlink>
    </w:p>
    <w:p>
      <w:pPr>
        <w:pStyle w:val="TOC4"/>
        <w:bidi/>
      </w:pPr>
      <w:hyperlink w:anchor="_Toc200000050"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۶۱</w:t>
        </w:r>
        <w:r>
          <w:rPr>
            <w:noProof/>
            <w:rtl/>
          </w:rPr>
          <w:fldChar w:fldCharType="end"/>
        </w:r>
      </w:hyperlink>
    </w:p>
    <w:p>
      <w:pPr>
        <w:pStyle w:val="TOC4"/>
        <w:bidi/>
      </w:pPr>
      <w:hyperlink w:anchor="_Toc200000052"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۶۱</w:t>
        </w:r>
        <w:r>
          <w:rPr>
            <w:noProof/>
            <w:rtl/>
          </w:rPr>
          <w:fldChar w:fldCharType="end"/>
        </w:r>
      </w:hyperlink>
    </w:p>
    <w:p>
      <w:pPr>
        <w:pStyle w:val="TOC4"/>
        <w:bidi/>
      </w:pPr>
      <w:hyperlink w:anchor="_Toc200000054"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۶۲</w:t>
        </w:r>
        <w:r>
          <w:rPr>
            <w:noProof/>
            <w:rtl/>
          </w:rPr>
          <w:fldChar w:fldCharType="end"/>
        </w:r>
      </w:hyperlink>
    </w:p>
    <w:p>
      <w:pPr>
        <w:pStyle w:val="TOC4"/>
        <w:bidi/>
      </w:pPr>
      <w:hyperlink w:anchor="_Toc200000056"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۶۳</w:t>
        </w:r>
        <w:r>
          <w:rPr>
            <w:noProof/>
            <w:rtl/>
          </w:rPr>
          <w:fldChar w:fldCharType="end"/>
        </w:r>
      </w:hyperlink>
    </w:p>
    <w:p>
      <w:pPr>
        <w:pStyle w:val="TOC4"/>
        <w:bidi/>
      </w:pPr>
      <w:hyperlink w:anchor="_Toc200000059" w:history="1">
        <w:r>
          <w:rPr>
            <w:noProof/>
            <w:rtl/>
          </w:rPr>
          <w:t xml:space="preserve">جدول ۴-۶ گویه‌های استخراج‌شده از دور نخست به تفکیک اعضای اشاره‌کننده و همتای ادبی</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۶۵</w:t>
        </w:r>
        <w:r>
          <w:rPr>
            <w:noProof/>
            <w:rtl/>
          </w:rPr>
          <w:fldChar w:fldCharType="end"/>
        </w:r>
      </w:hyperlink>
    </w:p>
    <w:p>
      <w:pPr>
        <w:pStyle w:val="TOC4"/>
        <w:bidi/>
      </w:pPr>
      <w:hyperlink w:anchor="_Toc200000061" w:history="1">
        <w:r>
          <w:rPr>
            <w:noProof/>
            <w:rtl/>
          </w:rPr>
          <w:t xml:space="preserve">جدول ۴-۷ آمار توصیفی امتیاز اهمیت گویه‌ها در دور دوم</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۶۶</w:t>
        </w:r>
        <w:r>
          <w:rPr>
            <w:noProof/>
            <w:rtl/>
          </w:rPr>
          <w:fldChar w:fldCharType="end"/>
        </w:r>
      </w:hyperlink>
    </w:p>
    <w:p>
      <w:pPr>
        <w:pStyle w:val="TOC4"/>
        <w:bidi/>
      </w:pPr>
      <w:hyperlink w:anchor="_Toc200000063" w:history="1">
        <w:r>
          <w:rPr>
            <w:noProof/>
            <w:rtl/>
          </w:rPr>
          <w:t xml:space="preserve">جدول ۴-۸ آمار توصیفی امتیاز اهمیت گویه‌ها در دور سوم</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۶۸</w:t>
        </w:r>
        <w:r>
          <w:rPr>
            <w:noProof/>
            <w:rtl/>
          </w:rPr>
          <w:fldChar w:fldCharType="end"/>
        </w:r>
      </w:hyperlink>
    </w:p>
    <w:p>
      <w:pPr>
        <w:pStyle w:val="TOC4"/>
        <w:bidi/>
      </w:pPr>
      <w:hyperlink w:anchor="_Toc200000065" w:history="1">
        <w:r>
          <w:rPr>
            <w:noProof/>
            <w:rtl/>
          </w:rPr>
          <w:t xml:space="preserve">جدول ۴-۹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۷۱</w:t>
        </w:r>
        <w:r>
          <w:rPr>
            <w:noProof/>
            <w:rtl/>
          </w:rPr>
          <w:fldChar w:fldCharType="end"/>
        </w:r>
      </w:hyperlink>
    </w:p>
    <w:p>
      <w:pPr>
        <w:pStyle w:val="TOC4"/>
        <w:bidi/>
      </w:pPr>
      <w:hyperlink w:anchor="_Toc200000067" w:history="1">
        <w:r>
          <w:rPr>
            <w:noProof/>
            <w:rtl/>
          </w:rPr>
          <w:t xml:space="preserve">جدول ۴-۱۰ ضریب همبستگی رتبه‌ای میان امتیازهای گویه‌ها در دور دوم و دور سوم</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۷۲</w:t>
        </w:r>
        <w:r>
          <w:rPr>
            <w:noProof/>
            <w:rtl/>
          </w:rPr>
          <w:fldChar w:fldCharType="end"/>
        </w:r>
      </w:hyperlink>
    </w:p>
    <w:p>
      <w:pPr>
        <w:pStyle w:val="TOC4"/>
        <w:bidi/>
      </w:pPr>
      <w:hyperlink w:anchor="_Toc200000071" w:history="1">
        <w:r>
          <w:rPr>
            <w:noProof/>
            <w:rtl/>
          </w:rPr>
          <w:t xml:space="preserve">جدول ۴-۱۱ وزن AHP و رتبه گویه‌های چالش فروش</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۷۴</w:t>
        </w:r>
        <w:r>
          <w:rPr>
            <w:noProof/>
            <w:rtl/>
          </w:rPr>
          <w:fldChar w:fldCharType="end"/>
        </w:r>
      </w:hyperlink>
    </w:p>
    <w:p>
      <w:pPr>
        <w:pStyle w:val="TOC4"/>
        <w:bidi/>
      </w:pPr>
      <w:hyperlink w:anchor="_Toc200000072" w:history="1">
        <w:r>
          <w:rPr>
            <w:noProof/>
            <w:rtl/>
          </w:rPr>
          <w:t xml:space="preserve">جدول ۴-۱۲ وزن AHP و رتبه مؤلفه‌های چالش فروش</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۷۶</w:t>
        </w:r>
        <w:r>
          <w:rPr>
            <w:noProof/>
            <w:rtl/>
          </w:rPr>
          <w:fldChar w:fldCharType="end"/>
        </w:r>
      </w:hyperlink>
    </w:p>
    <w:p>
      <w:pPr>
        <w:pStyle w:val="TOC4"/>
        <w:bidi/>
      </w:pPr>
      <w:hyperlink w:anchor="_Toc200000074" w:history="1">
        <w:r>
          <w:rPr>
            <w:noProof/>
            <w:rtl/>
          </w:rPr>
          <w:t xml:space="preserve">جدول ۴-۱۳ نرخ ناسازگاری ماتریس‌های مقایسه زوجی برآوردی</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۷۸</w:t>
        </w:r>
        <w:r>
          <w:rPr>
            <w:noProof/>
            <w:rtl/>
          </w:rPr>
          <w:fldChar w:fldCharType="end"/>
        </w:r>
      </w:hyperlink>
    </w:p>
    <w:p>
      <w:pPr>
        <w:pStyle w:val="TOC4"/>
        <w:bidi/>
      </w:pPr>
      <w:hyperlink w:anchor="_Toc200000075" w:history="1">
        <w:r>
          <w:rPr>
            <w:noProof/>
            <w:rtl/>
          </w:rPr>
          <w:t xml:space="preserve">جدول ۴-۱۴ ماتریس تجمیعی مقایسه مؤلفه‌ها و وزن حاصل</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۷۸</w:t>
        </w:r>
        <w:r>
          <w:rPr>
            <w:noProof/>
            <w:rtl/>
          </w:rPr>
          <w:fldChar w:fldCharType="end"/>
        </w:r>
      </w:hyperlink>
    </w:p>
    <w:p>
      <w:pPr>
        <w:pStyle w:val="TOC4"/>
        <w:bidi/>
      </w:pPr>
      <w:hyperlink w:anchor="_Toc200000076" w:history="1">
        <w:r>
          <w:rPr>
            <w:noProof/>
            <w:rtl/>
          </w:rPr>
          <w:t xml:space="preserve">جدول ۴-۱۵ مقایسه وزن مؤلفه‌ها در وزن‌دهی مستقیم و وزن‌دهی با ماتریس‌های برآوردی</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۷۹</w:t>
        </w:r>
        <w:r>
          <w:rPr>
            <w:noProof/>
            <w:rtl/>
          </w:rPr>
          <w:fldChar w:fldCharType="end"/>
        </w:r>
      </w:hyperlink>
    </w:p>
    <w:p>
      <w:pPr>
        <w:pStyle w:val="TOC4"/>
        <w:bidi/>
      </w:pPr>
      <w:hyperlink w:anchor="_Toc200000077" w:history="1">
        <w:r>
          <w:rPr>
            <w:noProof/>
            <w:rtl/>
          </w:rPr>
          <w:t xml:space="preserve">جدول ۴-۱۶ مقایسه وزن گویه‌ها در وزن‌دهی مستقیم و وزن‌دهی با ماتریس‌های برآوردی</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۸۰</w:t>
        </w:r>
        <w:r>
          <w:rPr>
            <w:noProof/>
            <w:rtl/>
          </w:rPr>
          <w:fldChar w:fldCharType="end"/>
        </w:r>
      </w:hyperlink>
    </w:p>
    <w:p>
      <w:pPr>
        <w:pStyle w:val="TOC4"/>
        <w:bidi/>
      </w:pPr>
      <w:hyperlink w:anchor="_Toc200000079" w:history="1">
        <w:r>
          <w:rPr>
            <w:noProof/>
            <w:rtl/>
          </w:rPr>
          <w:t xml:space="preserve">جدول ۴-۱۷ خلاصه وزن مؤلفه‌ها و گویه‌های چالش فروش</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۸۲</w:t>
        </w:r>
        <w:r>
          <w:rPr>
            <w:noProof/>
            <w:rtl/>
          </w:rPr>
          <w:fldChar w:fldCharType="end"/>
        </w:r>
      </w:hyperlink>
    </w:p>
    <w:p>
      <w:pPr>
        <w:pStyle w:val="TOC4"/>
        <w:bidi/>
      </w:pPr>
      <w:hyperlink w:anchor="_Toc200000085"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۸۹</w:t>
        </w:r>
        <w:r>
          <w:rPr>
            <w:noProof/>
            <w:rtl/>
          </w:rPr>
          <w:fldChar w:fldCharType="end"/>
        </w:r>
      </w:hyperlink>
      <w:r>
        <w:fldChar w:fldCharType="end"/>
      </w:r>
    </w:p>
    <w:p>
      <w:pPr>
        <w:pStyle w:val="FrontTitle"/>
        <w:pageBreakBefore/>
        <w:bidi/>
        <w:spacing w:after="240"/>
      </w:pPr>
      <w:r>
        <w:rPr>
          <w:rtl/>
        </w:rPr>
        <w:t xml:space="preserve">فهرست نمودارها</w:t>
      </w:r>
    </w:p>
    <w:p>
      <w:pPr>
        <w:pStyle w:val="TOC4"/>
        <w:bidi/>
      </w:pPr>
      <w:r>
        <w:fldChar w:fldCharType="begin"/>
      </w:r>
      <w:r>
        <w:instrText xml:space="preserve"> TOC \h \z \f F </w:instrText>
      </w:r>
      <w:r>
        <w:fldChar w:fldCharType="separate"/>
      </w:r>
      <w:hyperlink w:anchor="_Toc200000051"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۶۱</w:t>
        </w:r>
        <w:r>
          <w:rPr>
            <w:noProof/>
            <w:rtl/>
          </w:rPr>
          <w:fldChar w:fldCharType="end"/>
        </w:r>
      </w:hyperlink>
    </w:p>
    <w:p>
      <w:pPr>
        <w:pStyle w:val="TOC4"/>
        <w:bidi/>
      </w:pPr>
      <w:hyperlink w:anchor="_Toc200000053"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۶۲</w:t>
        </w:r>
        <w:r>
          <w:rPr>
            <w:noProof/>
            <w:rtl/>
          </w:rPr>
          <w:fldChar w:fldCharType="end"/>
        </w:r>
      </w:hyperlink>
    </w:p>
    <w:p>
      <w:pPr>
        <w:pStyle w:val="TOC4"/>
        <w:bidi/>
      </w:pPr>
      <w:hyperlink w:anchor="_Toc200000055"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۶۳</w:t>
        </w:r>
        <w:r>
          <w:rPr>
            <w:noProof/>
            <w:rtl/>
          </w:rPr>
          <w:fldChar w:fldCharType="end"/>
        </w:r>
      </w:hyperlink>
    </w:p>
    <w:p>
      <w:pPr>
        <w:pStyle w:val="TOC4"/>
        <w:bidi/>
      </w:pPr>
      <w:hyperlink w:anchor="_Toc200000057"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۶۴</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 نخست، نشان دادن تداوم موضوعی میان مطالعات پیشین و پرسش پژوهش حاضر؛ دوم، آشکارسازی دقیق شکاف یا شکاف‌هایی که پژوهش حاضر در پی پوشش آن‌هاست. برای آنکه این مقایسه روشن و منسجم باشد، از میان مطالعات موجود تنها پژوهش‌هایی مرور می‌شوند که همگی به یک پرسش مشترک می‌پردازند: اثر یک عامل (مانع، راهبرد بازاریابی یا دامنه محصول) بر فروش و عملکرد بنگاه‌ها، چه در بنگاه‌هایی که دامنه محصول آن‌ها محدود است و چه در فروش به‌طور کلی. این بخش، با پیروی از همین منطق، نخست پیشینه داخلی و سپس پیشینه خارجی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و عوامل مؤثر بر فروش، توزیع و بازاریابی در صنعت مواد غذایی نشان داده‌اند؛ این بخش، پنج پژوهش داخلی را که میان سال‌های ۱۴۰۰ تا ۱۴۰۴ منتشر شده‌اند و هر یک عاملی را در پیوند با فروش محصولات غذایی بررسی کرده‌اند معرفی می‌کند. پژوهش‌ها بر پایه سال انتشار، از جدید به قدیم مرور می‌شوند.</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دسته گروه‌بندی شد که بازاریابی دیجیتال در شمار آن‌هاست.</w:t>
      </w:r>
      <w:r>
        <w:rPr>
          <w:rtl/>
        </w:rPr>
        <w:t xml:space="preserve"> این پژوهش عوامل اثرگذار بر انتخاب راهبرد توزیع و فروش آنلاین را در صنایع غذایی نشان می‌دهد؛ واحد تحلیل آن صنایع غذایی در کل است، نه بنگاه تک‌محصولی.</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 از نظر رویکرد، یعنی دلفی و اولویت‌بندی موانع فروش، به پژوهش حاضر نزدیک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این پژوهش، با تمرکز بر محصول و بازار آن، یعنی رقابت‌پذیری، اعتبار برند و سهم بازار، با محور فروش بنگاه محصول‌محور پیوند دارد؛ اما بنگاه تک‌محصولی را واحد تحلیل قرار نداده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مجموع این پنج پژوهش، عوامل مؤثر بر فروش محصولات غذایی ایران را از دو زاویه بررسی کرده‌اند: موانع فروش (اسکندری و همکاران، ۱۴۰۴؛ صفری و اسماعیل‌نژاد، ۱۴۰۳) و راهبردها و کانال‌های بازاریابی و توزیع (سیدغفوری و همکاران، ۱۴۰۳؛ محمدی و همکاران، ۱۴۰۱؛ نجاتی، ۱۴۰۰). با این حال، هیچ‌یک از این مطالعات شرکت تک‌محصولی را به‌طور اختصاصی و با رویکرد اکتشافی به‌عنوان واحد تحلیل مستقل در نظر نگرفته‌اند؛ خلأیی که پژوهش حاضر در پی پوشش آن است. از منظر روش‌شناختی، پژوهش‌های داخلی مرورشده در این بخش عمدتاً از رویکردهای ترکیبی یا کمّی بهره گرفته‌اند. پژوهش حاضر، با استخراج فهرست چالش‌ها از پاسخ باز خبرگان در دور نخست دلفی و وزن‌دهی آن در دورهای بعد، مرحله نخست خود را اکتشافی و کیفی قرار داده است؛ این ویژگی، یکی از وجوه تمایز آن از پژوهش‌های داخلی مرورشده در این بخش است.</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پژوهش‌های خارجی مرورشده در این بخش نیز، مانند پژوهش‌های داخلی، به اثر عامل‌هایی بر فروش، رشد، عملکرد یا ریسک بنگاه‌ها می‌پردازند، اما از نظر قلمرو جغرافیایی تنوع بیشتری دارند و بافت‌هایی از جمله اردن، هند و ایالات متحده را پوشش می‌دهند. تعمیم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مرتبط را می‌توان در دو محور خلاصه کرد: نخست، اثر بازاریابی دیجیتال و موانع رشد بر عملکرد بنگاه‌های کوچک و صنایع غذایی؛ دوم، اثر دامنه محصول، یعنی تنوع‌بخشی یا تخصص‌گرایی، بر ریسک و عملکرد بنگاه. هر دو محور با وضعیت بنگاه تک‌محصولی پیوند دارند: بازاریابی و رشد راه‌های افزایش فروش یک بنگاه کوچک‌اند، و دامنه محصول ریسک و عملکرد آن را شکل می‌دهد. پژوهش‌ها بر پایه سال انتشار، از جدید به قدیم مرور می‌شوند.</w:t>
      </w:r>
    </w:p>
    <w:p>
      <w:pPr>
        <w:bidi/>
        <w:spacing w:after="80" w:line="276" w:lineRule="auto"/>
        <w:ind w:firstLine="720"/>
        <w:jc w:val="both"/>
      </w:pPr>
      <w:r>
        <w:rPr>
          <w:rtl/>
        </w:rPr>
        <w:t xml:space="preserve">لاندجوهو و کریستوفر (۲۰۲۶)</w:t>
      </w:r>
      <w:r>
        <w:rPr>
          <w:rStyle w:val="FootnoteReference"/>
        </w:rPr>
        <w:footnoteReference w:id="71"/>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2"/>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پژوهش و پژوهش لاندجوهو و کریستوفر (۲۰۲۶) هر دو اثر یک راهبرد بازاریابی را بر رشد و عملکرد بنگاه‌های کوچک می‌سنجند و بُعد دیجیتال فروش را برجسته می‌سازند.</w:t>
      </w:r>
    </w:p>
    <w:p>
      <w:pPr>
        <w:bidi/>
        <w:spacing w:after="80" w:line="276" w:lineRule="auto"/>
        <w:ind w:firstLine="720"/>
        <w:jc w:val="both"/>
      </w:pPr>
      <w:r>
        <w:rPr>
          <w:rtl/>
        </w:rPr>
        <w:t xml:space="preserve">سینگ، دولتانی و ساهو (۲۰۲۲)</w:t>
      </w:r>
      <w:r>
        <w:rPr>
          <w:rStyle w:val="FootnoteReference"/>
        </w:rPr>
        <w:footnoteReference w:id="73"/>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r>
        <w:rPr>
          <w:rtl/>
        </w:rPr>
        <w:t xml:space="preserve"> این پژوهش، از نظر صنعت و روش، به پژوهش حاضر نزدیک است؛ موضوع آن اما موانع رشد بخش فرآوری مواد غذایی است، نه چالش‌های فروش بنگاه تک‌محصولی.</w:t>
      </w:r>
    </w:p>
    <w:p>
      <w:pPr>
        <w:bidi/>
        <w:spacing w:after="80" w:line="276" w:lineRule="auto"/>
        <w:ind w:firstLine="720"/>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اثر تنوع محصولی و تنوع جغرافیایی را بر ریسک بنگاه در نمونه‌ای از بنگاه‌های بزرگ آمریکایی بررسی کردند و نشان دادند تنوع محصولی ریسک بنگاه را کاهش می‌دهد، حال آنکه تنوع جغرافیایی آن را افزایش می‌دهد. بنگاه تک‌محصولی، که هیچ تنوع محصولی ندارد، در یک سر این طیف قرار می‌گیرد.</w:t>
      </w:r>
    </w:p>
    <w:p>
      <w:pPr>
        <w:bidi/>
        <w:spacing w:after="80" w:line="276" w:lineRule="auto"/>
        <w:ind w:firstLine="720"/>
        <w:jc w:val="both"/>
      </w:pPr>
      <w:r>
        <w:rPr>
          <w:rtl/>
        </w:rPr>
        <w:t xml:space="preserve">ویلیامز و آرون (۲۰۱۸)</w:t>
      </w:r>
      <w:r>
        <w:rPr>
          <w:rStyle w:val="FootnoteReference"/>
        </w:rPr>
        <w:footnoteReference w:id="75"/>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بنگاه تک‌محصولی نمونه‌ای افراطی از چنین تخصص‌گرایی است؛ پژوهش یادشده اما بر رابطه تخصص‌گرایی با عملکرد بنگاه تمرکز دارد، نه بر چالش‌های فروش.</w:t>
      </w:r>
    </w:p>
    <w:p>
      <w:pPr>
        <w:bidi/>
        <w:spacing w:after="80" w:line="276" w:lineRule="auto"/>
        <w:ind w:firstLine="720"/>
        <w:jc w:val="both"/>
      </w:pPr>
      <w:r>
        <w:rPr>
          <w:rtl/>
        </w:rPr>
        <w:t xml:space="preserve">از منظر روش‌شناختی، پژوهش‌های خارجی مرورشده طیفی از رویکردها را در بر می‌گیرند: از مرور نظام‌مند و پیمایش تا دلفی و تحلیل داده‌های مالی بنگاه‌های بزرگ.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به موانع و عوامل مؤثر بر فروش، توزیع و بازاریابی در صنعت مواد غذایی توجه قابل‌توجهی داشته‌اند. با این حال، هیچ‌یک از این مطالعات شرکت تک‌محصولی را به‌عنوان یک گروه ساختاری متمایز، واحد تحلیل قرار نداده‌اند: اسکندری و همکاران (۱۴۰۴) زنجیره تأمین را در کل بررسی کرده‌اند، صفری و اسماعیل‌نژاد (۱۴۰۳) یک دسته محصول، یعنی محصولات سبز، را، و سیدغفوری و همکاران (۱۴۰۳)، محمدی و همکاران (۱۴۰۱) و نجاتی (۱۴۰۰) صنایع غذایی را در کل و با تمرکز بر توزیع و بازاریابی. مرور مطالعات خارجی نیز روشن می‌سازد که ادبیات بین‌المللی رابطه تمرکز محصولی و ریسک را عمدتاً در سطح مالی و با داده‌های بزرگ‌مقیاس دنبال کرده است؛ مامن و همکاران (۲۰۲۱)</w:t>
      </w:r>
      <w:r>
        <w:rPr>
          <w:rStyle w:val="FootnoteReference"/>
        </w:rPr>
        <w:footnoteReference w:id="76"/>
      </w:r>
      <w:r>
        <w:rPr>
          <w:rtl/>
        </w:rPr>
        <w:t xml:space="preserve"> این رابطه را در بنگاه‌های بزرگ آمریکایی سنجیده‌اند. پژوهش‌هایی هم که به فروش و عملکرد بنگاه‌های کوچک پرداخته‌اند، یعنی لاندجوهو و کریستوفر (۲۰۲۶)</w:t>
      </w:r>
      <w:r>
        <w:rPr>
          <w:rStyle w:val="FootnoteReference"/>
        </w:rPr>
        <w:footnoteReference w:id="77"/>
      </w:r>
      <w:r>
        <w:rPr>
          <w:rtl/>
        </w:rPr>
        <w:t xml:space="preserve">، شرابتی و همکاران (۲۰۲۴)</w:t>
      </w:r>
      <w:r>
        <w:rPr>
          <w:rStyle w:val="FootnoteReference"/>
        </w:rPr>
        <w:footnoteReference w:id="78"/>
      </w:r>
      <w:r>
        <w:rPr>
          <w:rtl/>
        </w:rPr>
        <w:t xml:space="preserve"> و سینگ و همکاران (۲۰۲۲)</w:t>
      </w:r>
      <w:r>
        <w:rPr>
          <w:rStyle w:val="FootnoteReference"/>
        </w:rPr>
        <w:footnoteReference w:id="79"/>
      </w:r>
      <w:r>
        <w:rPr>
          <w:rtl/>
        </w:rPr>
        <w:t xml:space="preserve">، بنگاه‌های کوچک یا صنعت را به‌طور کلی بررسی کرده‌اند، نه بنگاهی را که تمام درآمدش به یک محصول وابسته است. ترکیب یافته‌های داخلی و خارجی شکافی روشن را آشکار می‌سازد: نبود تحلیل اختصاصی و اکتشافی چالش‌های فروش شرکت‌های تک‌محصولی صنعت مواد غذایی ایران.</w:t>
      </w:r>
    </w:p>
    <w:p>
      <w:pPr>
        <w:bidi/>
        <w:spacing w:after="80" w:line="276" w:lineRule="auto"/>
        <w:ind w:firstLine="720"/>
        <w:jc w:val="both"/>
      </w:pPr>
      <w:r>
        <w:rPr>
          <w:rtl/>
        </w:rPr>
        <w:t xml:space="preserve">علاوه بر شکاف تجربی یادشده، شکافی در سطح تحلیل نیز در این مرور آشکار می‌شود. مامن و همکاران (۲۰۲۱)</w:t>
      </w:r>
      <w:r>
        <w:rPr>
          <w:rStyle w:val="FootnoteReference"/>
        </w:rPr>
        <w:footnoteReference w:id="80"/>
      </w:r>
      <w:r>
        <w:rPr>
          <w:rtl/>
        </w:rPr>
        <w:t xml:space="preserve"> اثر تنوع محصولی را بر ریسک بنگاه‌های بزرگ با داده‌های مالی سنجیده‌اند و ویلیامز و آرون (۲۰۱۸)</w:t>
      </w:r>
      <w:r>
        <w:rPr>
          <w:rStyle w:val="FootnoteReference"/>
        </w:rPr>
        <w:footnoteReference w:id="81"/>
      </w:r>
      <w:r>
        <w:rPr>
          <w:rtl/>
        </w:rPr>
        <w:t xml:space="preserve"> تخصص‌گرایی را گزینه‌ای راهبردی برای کسب‌وکارهای کوچک دانسته‌اند؛ هیچ‌یک اما نشان نمی‌دهد این تمرکز محصولی در عملیات روزمره فروش چه دشواری‌هایی پدید می‌آورد.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 xml:space="preserve">شکاف سومی نیز در تلاقی ادبیات داخلی و خارجی قابل مشاهده است. نجاتی (۱۴۰۰) و سیدغفوری و همکاران (۱۴۰۳) هر دو به بُعد دیجیتال و کانال‌های فروش در صنعت مواد غذایی ایران پرداخته‌اند، اما از زاویه بنگاه‌های با سبد محصول متنوع یا زنجیره توزیع در کل. لاندجوهو و کریستوفر (۲۰۲۶)</w:t>
      </w:r>
      <w:r>
        <w:rPr>
          <w:rStyle w:val="FootnoteReference"/>
        </w:rPr>
        <w:footnoteReference w:id="82"/>
      </w:r>
      <w:r>
        <w:rPr>
          <w:rtl/>
        </w:rPr>
        <w:t xml:space="preserve"> و شرابتی و همکاران (۲۰۲۴)</w:t>
      </w:r>
      <w:r>
        <w:rPr>
          <w:rStyle w:val="FootnoteReference"/>
        </w:rPr>
        <w:footnoteReference w:id="83"/>
      </w:r>
      <w:r>
        <w:rPr>
          <w:rtl/>
        </w:rPr>
        <w:t xml:space="preserve"> نیز اثر بازاریابی دیجیتال را بر رشد و عملکرد بنگاه‌های کوچک و متوسط گزارش کرده‌اند،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 xml:space="preserve">مرور مبانی نظری و پیشینه پژوهش در بخش‌های پیشین، مجموعه‌ای از عوامل را به‌عنوان چالش‌های بالقوه فروش در بنگاه‌های صنعت مواد غذایی برجسته می‌سازد.</w:t>
      </w:r>
      <w:r>
        <w:rPr>
          <w:rtl/>
        </w:rPr>
        <w:t xml:space="preserve"> استخراج این عوامل بر دو معیار استوار بوده است: نخست، تکرار آن عامل در دست‌کم یکی از مبانی نظری یا پیشینه تجربی مرور‌شده در این فصل؛ دوم، تناسب مستقیم آن با واحد تحلیل پژوهش، یعنی بنگاه تک‌محصولی فعال در صنعت مواد غذایی.</w:t>
      </w:r>
      <w:r>
        <w:rPr>
          <w:rtl/>
        </w:rPr>
        <w:t xml:space="preserve"> در پژوهش اکتشافی، چنین فهرستی صرفاً نقطه آغاز حساس‌سازی پژوهشگر است، نه چارچوبی تحمیلی بر داده میدانی؛ رویکردی که پژوهش حاضر نیز در تدوین جدول ۲-۱ دنبال می‌کند.</w:t>
      </w:r>
      <w:r>
        <w:rPr>
          <w:rtl/>
        </w:rPr>
        <w:t xml:space="preserve"> این عوامل پیش از ورود به میدان، تصویری اولیه و موقت از قلمرو مسئله فراهم می‌آورند و در فصل پنجم، یافته‌های حاصل از دلفی با آن‌ها مقایسه خواهد شد.</w:t>
      </w:r>
      <w:r>
        <w:rPr>
          <w:rtl/>
        </w:rPr>
        <w:t xml:space="preserve"> این فهرست همچنین تلفیقی از دو دسته منبع است: مبانی نظری بخش ۲-۲ که ماهیتی عمدتاً مفهومی و غیرایرانی دارند، و مطالعات تجربی داخلی و خارجی که در این فصل به آن‌ها استناد شده است و با بستر پژوهش حاضر مرتبط‌اند؛ ترکیبی که تلاشی است برای پیوند دادن تعمیم‌پذیری نظری با تناسب زمینه‌ای.</w:t>
      </w:r>
      <w:r>
        <w:rPr>
          <w:rtl/>
        </w:rPr>
        <w:t xml:space="preserve">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همسو با دیدگاه منبع‌محور (کرو و بوگاله، ۲۰۲۳)</w:t>
      </w:r>
      <w:r>
        <w:rPr>
          <w:rStyle w:val="FootnoteReference"/>
        </w:rPr>
        <w:footnoteReference w:id="84"/>
      </w:r>
      <w:r>
        <w:rPr>
          <w:rtl/>
        </w:rPr>
        <w:t xml:space="preserve"> مانند وابستگی درآمدی به یک منبع، پیش‌بینی نادرست تقاضا، شکاف نگرش-رفتار مصرف‌کننده، ضعف برندسازی و ناکارآمدی توزیع را در بر می‌گیرد؛ 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5"/>
      </w:r>
      <w:r>
        <w:rPr>
          <w:rtl/>
        </w:rPr>
        <w:t xml:space="preserve"> همسوست، و نیز اختلال تأمین و الزامات نظارتی را شامل می‌شود.</w:t>
      </w:r>
      <w:r>
        <w:rPr>
          <w:rtl/>
        </w:rPr>
        <w:t xml:space="preserve"> این تفکیک دوگانه با چارچوب نظری ارائه‌شده در بخش ۲-۲-۳ هم‌خوان است و در فصل چهارم، هنگام سازمان‌دهی گویه‌ها در سلسله‌مراتب </w:t>
      </w:r>
      <w:r>
        <w:rPr>
          <w:rFonts w:ascii="Times New Roman" w:hAnsi="Times New Roman" w:cs="Times New Roman" w:eastAsia="Times New Roman"/>
          <w:sz w:val="26"/>
          <w:szCs w:val="26"/>
        </w:rPr>
        <w:t xml:space="preserve">AHP</w:t>
      </w:r>
      <w:r>
        <w:rPr>
          <w:rtl/>
        </w:rPr>
        <w:t xml:space="preserve">، مبنای تفکیک مؤلفه‌ها به درون‌سازمانی و برون‌سازمانی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در مرحله ترکیب و بررسی گویه‌ها با کدهای پاسخ‌های دور نخست سنجیده شد؛ گویه‌ها از کدهای پاسخ‌ها ساخته شدند و چالشی از این فهرست تنها در صورتی وارد گویه‌ها شد که خبرگان آن را مطرح کرده بودند.</w:t>
      </w:r>
      <w:r>
        <w:rPr>
          <w:rtl/>
        </w:rPr>
        <w:t xml:space="preserve">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مصاحبه دور نخست دلفی در فصل سوم فراهم می‌آورد.</w:t>
      </w:r>
      <w:r>
        <w:rPr>
          <w:rtl/>
        </w:rPr>
        <w:t xml:space="preserve"> پرسش باز دور نخست دلفی به‌گونه‌ای طراحی شد که خبرگان را به روایت آزاد تجربه خود درباره چالش‌های فروش ترغیب کنند، بدون آنکه عناوین دقیق جدول ۲-۱ مستقیماً در پرسش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با مرور مبانی نظری مرتبط با فروش، چالش‌های فروش، شرکت‌های تک‌محصولی و صنعت مواد غذایی آغاز شد، در ادامه پنج مطالعه داخلی و پنج مطالعه خارجی را که اثر عامل‌های گوناگون بر فروش و عملکرد بنگاه‌ها را بررسی کرده‌اند مرور کرد و در پایان، چالش‌های فروش برگرفته از ادبیات نظری را در قالب جدولی فشرده جمع‌بندی نمود.</w:t>
      </w:r>
      <w:r>
        <w:rPr>
          <w:rtl/>
        </w:rPr>
        <w:t xml:space="preserve">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می‌گیرد؛ دوم، شرکت تک‌محصولی، به دلیل فقدان سازوکار جبران درون‌سازمانی، در هر یک از این لایه‌ها با آسیب‌پذیری ساختاری ویژه‌ای روبه‌روست؛ و سوم، صنعت مواد غذایی، با ویژگی‌های خاص خود، این آسیب‌پذیری را تشدید می‌کند.</w:t>
      </w:r>
      <w:r>
        <w:rPr>
          <w:rtl/>
        </w:rPr>
        <w:t xml:space="preserve"> میکلیان و هولشر (۲۰۲۲)</w:t>
      </w:r>
      <w:r>
        <w:rPr>
          <w:rStyle w:val="FootnoteReference"/>
        </w:rPr>
        <w:footnoteReference w:id="86"/>
      </w:r>
      <w:r>
        <w:rPr>
          <w:rtl/>
        </w:rPr>
        <w:t xml:space="preserve"> در مرور مفهومی خود بر ادبیات شوک‌های برون‌زا، دستور کاری برای پژوهش‌های آینده درباره بنگاه‌های کوچک و متوسط ارائه کرده‌اند.</w:t>
      </w:r>
      <w:r>
        <w:rPr>
          <w:rtl/>
        </w:rPr>
        <w:t xml:space="preserve">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87"/>
      </w:r>
      <w:r>
        <w:rPr>
          <w:rtl/>
        </w:rPr>
        <w:t xml:space="preserve"> میان پژوهش کاربردی و بنیادی، هدف اکتشافی پژوهش و انتخاب روش آمیخته مطرح می‌کنند همخوانی دارد.</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88"/>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89"/>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0"/>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1"/>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92"/>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 استواری وزن‌های حاصل نیز با ماتریس‌های مقایسه زوجی برآوردی سنجیده شد (بخش ۳-۷-۴).</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93"/>
      </w:r>
      <w:r>
        <w:rPr>
          <w:rtl/>
        </w:rPr>
        <w:t xml:space="preserve"> که براون و کلارک (۲۰۲۱)</w:t>
      </w:r>
      <w:r>
        <w:rPr>
          <w:rStyle w:val="FootnoteReference"/>
        </w:rPr>
        <w:footnoteReference w:id="94"/>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spacing w:after="80" w:line="276" w:lineRule="auto"/>
        <w:ind w:firstLine="720"/>
        <w:jc w:val="both"/>
      </w:pPr>
      <w:r>
        <w:rPr>
          <w:rtl/>
        </w:rPr>
        <w:t xml:space="preserve">در مرحله سوم، شکل‌گیری گویه‌ها: کدهای دارای معنای مشترک در قالب گویه‌های واحد گرد آمدند.</w:t>
      </w:r>
      <w:r>
        <w:rPr>
          <w:rtl/>
        </w:rPr>
        <w:t xml:space="preserve">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w:t>
      </w:r>
      <w:r>
        <w:rPr>
          <w:rtl/>
        </w:rPr>
        <w:t xml:space="preserve"> در مرحله چهارم، بازبینی گویه‌ها: انسجام درونی هر گویه و تمایز آن از سایرین بررسی شد.</w:t>
      </w:r>
      <w:r>
        <w:rPr>
          <w:rtl/>
        </w:rPr>
        <w:t xml:space="preserve"> در مرحله پنجم، تعریف و نام‌گذاری گویه‌ها: برای هر گویه عنوانی کوتاه و روشن برگزیده شد.</w:t>
      </w:r>
      <w:r>
        <w:rPr>
          <w:rtl/>
        </w:rPr>
        <w:t xml:space="preserve">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w:t>
      </w:r>
      <w:r>
        <w:rPr>
          <w:rtl/>
        </w:rPr>
        <w:t xml:space="preserve"> گویه‌ها از کدهای پاسخ خبرگان ساخته شدند و هر گویه دست‌کم در پاسخ یک عضو پانل بازتاب داشت.</w:t>
      </w:r>
      <w:r>
        <w:rPr>
          <w:rtl/>
        </w:rPr>
        <w:t xml:space="preserve">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w:t>
      </w:r>
      <w:r>
        <w:rPr>
          <w:rtl/>
        </w:rPr>
        <w:t xml:space="preserve"> در مقابل، کدی که در ادبیات همتای روشنی نداشت، به‌دلیل بازتاب در پاسخ خبرگان در فهرست ماند.</w:t>
      </w:r>
      <w:r>
        <w:rPr>
          <w:rtl/>
        </w:rPr>
        <w:t xml:space="preserve"> حاصل این مرحله ۲۹ گویه بود؛ نتیجه سنجش هر گویه با جدول ۲-۱ در ستون «همتای ادبی» جدول ۴-۶ آمده است.</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5"/>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96"/>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 xml:space="preserve">اولویت هر گویه در دورهای دلفی بر پایه میانگین امتیاز پانل سنجیده شد و میانگین دور پایانی، ورودی وزن‌دهی در گام سوم است (بخش ۳-۷-۳). فهرست ۲۹ گویه در هر دو دور امتیازدهی به‌صورت فهرستی ساده از گویه‌ها در اختیار پانل قرار گرفت؛ گروه‌بندی گویه‌ها در مؤلفه‌ها تنها در سلسله‌مراتب </w:t>
      </w:r>
      <w:r>
        <w:rPr>
          <w:rFonts w:ascii="Times New Roman" w:hAnsi="Times New Roman" w:cs="Times New Roman" w:eastAsia="Times New Roman"/>
          <w:sz w:val="26"/>
          <w:szCs w:val="26"/>
        </w:rPr>
        <w:t xml:space="preserve">AHP</w:t>
      </w:r>
      <w:r>
        <w:rPr>
          <w:rtl/>
        </w:rPr>
        <w:t xml:space="preserve"> انجام می‌شود.</w:t>
      </w:r>
    </w:p>
    <w:p>
      <w:pPr>
        <w:bidi/>
        <w:spacing w:after="80" w:line="276" w:lineRule="auto"/>
        <w:ind w:firstLine="720"/>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97"/>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در سطح گویه‌ها محاسبه شد و ملاک توقف دورها بود.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98"/>
      </w:r>
      <w:r>
        <w:rPr>
          <w:rtl/>
        </w:rPr>
        <w:t xml:space="preserve">.</w:t>
      </w:r>
      <w:r>
        <w:rPr>
          <w:rtl/>
        </w:rPr>
        <w:t xml:space="preserve"> در این روش امتیازها به وزن‌هایی تبدیل می‌شوند که مجموعشان یک است و وزن بیشتر یعنی اولویت بالاتر؛ مسئله در سه سطح چیده می‌شود: هدف، که اولویت‌بندی چالش‌های فروش است، مؤلفه‌ها و گویه‌ها. در این پژوهش وزن‌ها بدون محاسبه‌ی مقایسه‌های زوجی و مستقیماً از امتیازهای پرسشنامه به دست آمدند. نخست پرسشنامه‌ی دور سوم، که ۲۹ گویه را در بر داشت (پیوست پ)، میان هر هفت عضو پانل توزیع شد و هر عضو اهمیت هر گویه را بر طیف پنج‌درجه‌ای امتیاز داد. سپس میانگین امتیاز هر گویه محاسبه شد و وزن هر گویه، یعنی سهم آن از مجموع امتیازها، چنین به دست آمد:</w:t>
      </w:r>
    </w:p>
    <w:p>
      <w:pPr>
        <w:bidi/>
        <w:spacing w:before="80" w:after="140"/>
        <w:ind w:firstLine="0"/>
        <w:jc w:val="center"/>
      </w:pPr>
      <w:r>
        <w:rPr>
          <w:rtl/>
        </w:rPr>
        <w:t xml:space="preserve">وزن گویه = میانگین امتیاز گویه تقسیم بر مجموع میانگین امتیاز ۲۹ گویه</w:t>
      </w:r>
    </w:p>
    <w:p>
      <w:pPr>
        <w:bidi/>
        <w:spacing w:after="80" w:line="276" w:lineRule="auto"/>
        <w:ind w:firstLine="720"/>
        <w:jc w:val="both"/>
      </w:pPr>
      <w:r>
        <w:rPr>
          <w:rtl/>
        </w:rPr>
        <w:t xml:space="preserve">مجموع وزن گویه‌ها برابر یک است. پس از آن، گویه‌ها بر پایه شباهت مضمونی در نُه مؤلفه سازمان‌دهی شدند و وزن هر مؤلفه از وزن گویه‌های آن به دست آمد: میانگین وزن گویه‌های هر مؤلفه محاسبه و، برای آنکه مجموع وزن مؤلفه‌ها برابر یک شود، بر مجموع این میانگین‌ها در نُه مؤلفه تقسیم شد. چون وزن هر گویه با میانگین امتیاز آن متناسب است، همین وزن از رابطه زیر نیز به دست می‌آید:</w:t>
      </w:r>
    </w:p>
    <w:p>
      <w:pPr>
        <w:bidi/>
        <w:spacing w:before="80" w:after="140"/>
        <w:ind w:firstLine="0"/>
        <w:jc w:val="center"/>
      </w:pPr>
      <w:r>
        <w:rPr>
          <w:rtl/>
        </w:rPr>
        <w:t xml:space="preserve">وزن مؤلفه = میانگین امتیاز مؤلفه تقسیم بر مجموع میانگین‌های نُه مؤلفه</w:t>
      </w:r>
    </w:p>
    <w:p>
      <w:pPr>
        <w:bidi/>
        <w:spacing w:after="80" w:line="276" w:lineRule="auto"/>
        <w:ind w:firstLine="720"/>
        <w:jc w:val="both"/>
      </w:pPr>
      <w:r>
        <w:rPr>
          <w:rtl/>
        </w:rPr>
        <w:t xml:space="preserve">به‌کار بردن میانگین به‌جای مجموع از آن روست که شمار گویه‌های هر مؤلفه، که از شیوه‌ی دسته‌بندی ناشی می‌شود و نه از اهمیت چالش، بر وزن آن اثر نگذارد.</w:t>
      </w:r>
      <w:r>
        <w:rPr>
          <w:rtl/>
        </w:rPr>
        <w:t xml:space="preserve"> نتایج این وزن‌دهی در بخش ۴-۶-۲ گزارش شده است؛ شیوه سنجش استواری آن در بخش بعد می‌آید.</w:t>
      </w:r>
    </w:p>
    <w:p>
      <w:pPr>
        <w:pStyle w:val="Heading3"/>
        <w:keepNext/>
        <w:bidi/>
        <w:spacing w:before="180" w:after="80"/>
      </w:pPr>
      <w:bookmarkStart w:id="42" w:name="_Toc200000042"/>
      <w:r>
        <w:t xml:space="preserve">۳ـ۷ـ۴ سنجش استواری وزن‌ها با ماتریس‌های مقایسه زوجی برآوردی</w:t>
      </w:r>
      <w:bookmarkEnd w:id="42"/>
    </w:p>
    <w:p>
      <w:pPr>
        <w:bidi/>
        <w:spacing w:after="80" w:line="276" w:lineRule="auto"/>
        <w:ind w:firstLine="720"/>
        <w:jc w:val="both"/>
      </w:pPr>
      <w:r>
        <w:rPr>
          <w:rtl/>
        </w:rPr>
        <w:t xml:space="preserve">فرایند تحلیل سلسله‌مراتبی در شکل کامل خود وزن‌ها را از مقایسه‌های زوجی خبرگان می‌سازد. در پژوهش حاضر پاسخ مستقیم اعضای پانل به مقایسه‌های زوجی گردآوری نشد و وزن‌های اصلی، چنان‌که در بخش ۳-۷-۳ آمد، مستقیماً از امتیازهای دور سوم به دست آمد. برای آنکه روشن شود اولویت‌بندی به شیوه وزن‌دهی وابسته است یا نه، همان سلسله‌مراتب، یعنی هدف، نُه مؤلفه و ۲۹ گویه، بار دیگر با ماتریس‌های مقایسه زوجی‌ای وزن شد که از امتیازهای دور سوم هر خبره برآورد شده‌اند. این ماتریس‌ها پاسخ مستقیم خبرگان نیستند؛ از این رو این گام تحلیل استواری است و جایگزین وزن‌دهی اصلی نمی‌شود.</w:t>
      </w:r>
    </w:p>
    <w:p>
      <w:pPr>
        <w:bidi/>
        <w:spacing w:after="80" w:line="276" w:lineRule="auto"/>
        <w:ind w:firstLine="720"/>
        <w:jc w:val="both"/>
      </w:pPr>
      <w:r>
        <w:rPr>
          <w:rtl/>
        </w:rPr>
        <w:t xml:space="preserve">برای هر خبره یک ماتریس ۹×۹ برای مقایسه مؤلفه‌ها و نُه ماتریس برای مقایسه گویه‌های درون هر مؤلفه ساخته شد: ۳۶ مقایسه میان مؤلفه‌ها و ۳۴ مقایسه میان گویه‌های هم‌مؤلفه، یعنی ۷۰ مقایسه برای هر خبره و ۴۹۰ مقایسه برای پانل. مقایسه دو به دوی همه ۲۹ گویه ۴۰۶ مقایسه برای هر خبره می‌طلبید؛ سلسله‌مراتب این شمار را کاهش می‌دهد.</w:t>
      </w:r>
    </w:p>
    <w:p>
      <w:pPr>
        <w:bidi/>
        <w:spacing w:after="80" w:line="276" w:lineRule="auto"/>
        <w:ind w:firstLine="720"/>
        <w:jc w:val="both"/>
      </w:pPr>
      <w:r>
        <w:rPr>
          <w:rtl/>
        </w:rPr>
        <w:t xml:space="preserve">برآورد ماتریس‌ها با قاعده‌ای صریح انجام شد. امتیاز هر گویه برای هر خبره، امتیاز او در دور سوم و امتیاز هر مؤلفه، میانگین امتیازهای دور سوم او به گویه‌های آن مؤلفه گرفته شد. برای هر دو موردی که با هم مقایسه می‌شوند، اختلاف این امتیازها محاسبه شد. اگر قدرمطلق اختلاف کمتر از نیم امتیاز بود، دو مورد برابر (عدد ۱) شمرده شد؛ در غیر این صورت شدت برتری مورد دارای امتیاز بیشتر، بر مقیاس ۱ تا ۹ ساعتی (۱۹۸۰)</w:t>
      </w:r>
      <w:r>
        <w:rPr>
          <w:rStyle w:val="FootnoteReference"/>
        </w:rPr>
        <w:footnoteReference w:id="99"/>
      </w:r>
      <w:r>
        <w:rPr>
          <w:rtl/>
        </w:rPr>
        <w:t xml:space="preserve">، چنین تعیین شد:</w:t>
      </w:r>
    </w:p>
    <w:p>
      <w:pPr>
        <w:bidi/>
        <w:spacing w:before="80" w:after="140"/>
        <w:ind w:firstLine="0"/>
        <w:jc w:val="center"/>
      </w:pPr>
      <w:r>
        <w:rPr>
          <w:rtl/>
        </w:rPr>
        <w:t xml:space="preserve">شدت برتری = ۱ + کوچک‌ترین عدد صحیح بزرگ‌تر یا برابر با قدرمطلق اختلاف امتیاز</w:t>
      </w:r>
    </w:p>
    <w:p>
      <w:pPr>
        <w:bidi/>
        <w:spacing w:after="80" w:line="276" w:lineRule="auto"/>
        <w:ind w:firstLine="720"/>
        <w:jc w:val="both"/>
      </w:pPr>
      <w:r>
        <w:rPr>
          <w:rtl/>
        </w:rPr>
        <w:t xml:space="preserve">یعنی اختلاف از نیم تا یک امتیاز عدد ۲، بیش از یک تا دو امتیاز عدد ۳ و به همین ترتیب. مقایسه معکوس، وارون این عدد است. برای نمونه، اگر خبره‌ای به یک گویه امتیاز ۵ و به گویه‌ای دیگر امتیاز ۴ داده باشد، گویه نخست دو برابر مهم‌تر از گویه دوم ثبت می‌شود و اگر هر دو را ۴ داده باشد، دو گویه برابر شمرده می‌شوند.</w:t>
      </w:r>
    </w:p>
    <w:p>
      <w:pPr>
        <w:bidi/>
        <w:spacing w:after="80" w:line="276" w:lineRule="auto"/>
        <w:ind w:firstLine="720"/>
        <w:jc w:val="both"/>
      </w:pPr>
      <w:r>
        <w:rPr>
          <w:rtl/>
        </w:rPr>
        <w:t xml:space="preserve">ماتریس‌های هفت خبره با میانگین هندسی هر مقایسه ترکیب شدند؛ این شیوه برای ترکیب قضاوت‌های نسبی در </w:t>
      </w:r>
      <w:r>
        <w:rPr>
          <w:rFonts w:ascii="Times New Roman" w:hAnsi="Times New Roman" w:cs="Times New Roman" w:eastAsia="Times New Roman"/>
          <w:sz w:val="26"/>
          <w:szCs w:val="26"/>
        </w:rPr>
        <w:t xml:space="preserve">AHP</w:t>
      </w:r>
      <w:r>
        <w:rPr>
          <w:rtl/>
        </w:rPr>
        <w:t xml:space="preserve"> پذیرفته شده است، زیرا وارونگی ماتریس را حفظ می‌کند (آتسل و ساعتی، ۱۹۸۳)</w:t>
      </w:r>
      <w:r>
        <w:rPr>
          <w:rStyle w:val="FootnoteReference"/>
        </w:rPr>
        <w:footnoteReference w:id="100"/>
      </w:r>
      <w:r>
        <w:rPr>
          <w:rtl/>
        </w:rPr>
        <w:t xml:space="preserve">. وزن هر ماتریس از میانگین هندسی عددهای هر سطر و نرمال‌سازی آن‌ها به دست آمد (کرافورد و ویلیامز، ۱۹۸۵)</w:t>
      </w:r>
      <w:r>
        <w:rPr>
          <w:rStyle w:val="FootnoteReference"/>
        </w:rPr>
        <w:footnoteReference w:id="101"/>
      </w:r>
      <w:r>
        <w:rPr>
          <w:rtl/>
        </w:rPr>
        <w:t xml:space="preserve">. نرخ ناسازگاری (</w:t>
      </w:r>
      <w:r>
        <w:rPr>
          <w:rFonts w:ascii="Times New Roman" w:hAnsi="Times New Roman" w:cs="Times New Roman" w:eastAsia="Times New Roman"/>
          <w:sz w:val="26"/>
          <w:szCs w:val="26"/>
        </w:rPr>
        <w:t xml:space="preserve">CR</w:t>
      </w:r>
      <w:r>
        <w:rPr>
          <w:rtl/>
        </w:rPr>
        <w:t xml:space="preserve">) نسبت شاخص ناسازگاری به شاخص تصادفی است. شاخص ناسازگاری از اختلاف بزرگ‌ترین مقدار ویژه ماتریس و شمار گزینه‌های آن، تقسیم بر شمار گزینه‌ها منهای یک، به دست آمد؛ بزرگ‌ترین مقدار ویژه از مجموع حاصل‌ضرب مجموع هر ستون در وزن همان ستون برآورد شد. شاخص تصادفی از جدول ساعتی (۱۹۸۰)</w:t>
      </w:r>
      <w:r>
        <w:rPr>
          <w:rStyle w:val="FootnoteReference"/>
        </w:rPr>
        <w:footnoteReference w:id="102"/>
      </w:r>
      <w:r>
        <w:rPr>
          <w:rtl/>
        </w:rPr>
        <w:t xml:space="preserve"> گرفته شد. نرخ ناسازگاری کمتر از ۰٫۱۰ سازگار شمرده می‌شود. وزن کلی هر گویه حاصل‌ضرب وزن مؤلفه آن در وزن محلی گویه در ماتریس همان مؤلفه است.</w:t>
      </w:r>
    </w:p>
    <w:p>
      <w:pPr>
        <w:bidi/>
        <w:spacing w:after="80" w:line="276" w:lineRule="auto"/>
        <w:ind w:firstLine="720"/>
        <w:jc w:val="both"/>
      </w:pPr>
      <w:r>
        <w:rPr>
          <w:rtl/>
        </w:rPr>
        <w:t xml:space="preserve">وزن‌های حاصل، هم به‌صورت مقدار و هم به‌صورت رتبه، با وزن‌های بخش ۳-۷-۳ مقایسه شدند؛ همبستگی رتبه‌ای با ضریب اسپیرمن، و برای مقادیر برابر با میانگین رتبه‌ها، سنجیده شد. باید توجه داشت که چون ماتریس‌ها از یک بردار امتیاز ساخته می‌شوند، نرخ ناسازگاری آن‌ها فقط سازگاری درونی قاعده تبدیل را نشان می‌دهد و ملاک اعتبار قضاوت خبرگان نیست؛ همچنین قاعده تبدیل اطلاعاتی فراتر از امتیازهای دور سوم به ماتریس‌ها نمی‌افزاید. ماتریس‌های برآوردی هر هفت خبره و محاسبه‌های این گام در فایلی جداگانه در اختیار داوران قرار دارد.</w:t>
      </w:r>
    </w:p>
    <w:p>
      <w:pPr>
        <w:pStyle w:val="Heading3"/>
        <w:keepNext/>
        <w:bidi/>
        <w:spacing w:before="180" w:after="80"/>
      </w:pPr>
      <w:bookmarkStart w:id="43" w:name="_Toc200000043"/>
      <w:r>
        <w:t xml:space="preserve">۳ـ۷ـ۵ چرایی انتخاب روش دلفی در میان رویکردهای رقیب</w:t>
      </w:r>
      <w:bookmarkEnd w:id="43"/>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3"/>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4"/>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4" w:name="_Toc200000044"/>
      <w:r>
        <w:t>۳ـ۸ ملاحظات اخلاقی پژوهش</w:t>
      </w:r>
      <w:bookmarkEnd w:id="44"/>
    </w:p>
    <w:p>
      <w:pPr>
        <w:bidi/>
        <w:spacing w:after="80"/>
        <w:ind w:firstLine="720"/>
        <w:jc w:val="both"/>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5" w:name="_Toc200000045"/>
            <w:r>
              <w:rPr>
                <w:rtl/>
              </w:rPr>
              <w:t xml:space="preserve">فصل چهارم: تجزیه و تحلیل داده‌ها</w:t>
            </w:r>
            <w:bookmarkEnd w:id="45"/>
          </w:p>
        </w:tc>
      </w:tr>
    </w:tbl>
    <w:p>
      <w:pPr>
        <w:pStyle w:val="Heading2"/>
        <w:keepNext/>
        <w:pageBreakBefore/>
        <w:bidi/>
        <w:spacing w:before="240" w:after="80"/>
      </w:pPr>
      <w:bookmarkStart w:id="46" w:name="_Toc200000046"/>
      <w:r>
        <w:t xml:space="preserve">۴ـ۱ مقدمه</w:t>
      </w:r>
      <w:bookmarkEnd w:id="46"/>
    </w:p>
    <w:p>
      <w:pPr>
        <w:bidi/>
        <w:spacing w:after="80"/>
        <w:ind w:firstLine="720"/>
        <w:jc w:val="both"/>
      </w:pPr>
      <w:r>
        <w:rPr>
          <w:rtl/>
        </w:rPr>
        <w:t xml:space="preserve">این فصل یافته‌های سه دور دلفی و وزن‌دهی به روش </w:t>
      </w:r>
      <w:r>
        <w:rPr>
          <w:rFonts w:ascii="Times New Roman" w:hAnsi="Times New Roman" w:cs="Times New Roman" w:eastAsia="Times New Roman"/>
          <w:sz w:val="26"/>
          <w:szCs w:val="26"/>
        </w:rPr>
        <w:t xml:space="preserve">AHP</w:t>
      </w:r>
      <w:r>
        <w:rPr>
          <w:rtl/>
        </w:rPr>
        <w:t xml:space="preserve"> را به ترتیب اجرا گزارش می‌کند.</w:t>
      </w:r>
      <w:r>
        <w:rPr>
          <w:rtl/>
        </w:rPr>
        <w:t xml:space="preserve"> نخست، ترکیب پانل خبرگان توصیف می‌شود.</w:t>
      </w:r>
      <w:r>
        <w:rPr>
          <w:rtl/>
        </w:rPr>
        <w:t xml:space="preserve">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انجامیدند.</w:t>
      </w:r>
      <w:r>
        <w:rPr>
          <w:rtl/>
        </w:rPr>
        <w:t xml:space="preserve">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w:t>
      </w:r>
      <w:r>
        <w:rPr>
          <w:rtl/>
        </w:rPr>
        <w:t xml:space="preserve"> برای سنجش اجماع، از آمار توصیفی امتیاز هر گویه، ضریب هماهنگی کندال و ضریب همبستگی رتبه‌ای اسپیرمن (بخش ۳-۷-۲) استفاده شده است.</w:t>
      </w:r>
      <w:r>
        <w:rPr>
          <w:rtl/>
        </w:rPr>
        <w:t xml:space="preserve"> در پایان، پاسخ پرسش‌های پژوهش آمده است: فهرست چالش‌ها، و اولویت آن‌ها که با روش </w:t>
      </w:r>
      <w:r>
        <w:rPr>
          <w:rFonts w:ascii="Times New Roman" w:hAnsi="Times New Roman" w:cs="Times New Roman" w:eastAsia="Times New Roman"/>
          <w:sz w:val="26"/>
          <w:szCs w:val="26"/>
        </w:rPr>
        <w:t xml:space="preserve">AHP</w:t>
      </w:r>
      <w:r>
        <w:rPr>
          <w:rtl/>
        </w:rPr>
        <w:t xml:space="preserve"> گزارش می‌شود؛ به این ترتیب که پرسشنامه دور سوم توزیع شد، سپس وزن هر گویه و پس از آن وزن هر مؤلفه به دست آمد. استواری این اولویت‌ها نیز با ماتریس‌های مقایسه زوجی برآوردی سنجیده شده است.</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خلاصه فصل.</w:t>
      </w:r>
    </w:p>
    <w:p>
      <w:pPr>
        <w:pStyle w:val="Heading2"/>
        <w:keepNext/>
        <w:bidi/>
        <w:spacing w:before="240" w:after="80"/>
      </w:pPr>
      <w:bookmarkStart w:id="47" w:name="_Toc200000047"/>
      <w:r>
        <w:t xml:space="preserve">۴ـ۲ ترکیب پانل خبرگان</w:t>
      </w:r>
      <w:bookmarkEnd w:id="47"/>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8" w:name="_Toc200000048"/>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9" w:name="_Toc200000049"/>
      <w:r>
        <w:t xml:space="preserve">۴ـ۲ـ۱ توزیع فراوانی متغیرهای جمعیت‌شناختی پانل</w:t>
      </w:r>
      <w:bookmarkEnd w:id="49"/>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50" w:name="_Toc200000050"/>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5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1" w:name="_Toc200000051"/>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1"/>
    </w:p>
    <w:p>
      <w:pPr>
        <w:bidi/>
        <w:jc w:val="both"/>
      </w:pPr>
    </w:p>
    <w:p>
      <w:pPr>
        <w:pStyle w:val="TableCaption"/>
        <w:keepNext/>
        <w:spacing w:before="160" w:after="80"/>
        <w:jc w:val="center"/>
        <w:rPr>
          <w:vanish/>
        </w:rPr>
      </w:pPr>
      <w:bookmarkStart w:id="52" w:name="_Toc200000052"/>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3" w:name="_Toc200000053"/>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3"/>
    </w:p>
    <w:p>
      <w:pPr>
        <w:bidi/>
        <w:jc w:val="both"/>
      </w:pPr>
    </w:p>
    <w:p>
      <w:pPr>
        <w:pStyle w:val="TableCaption"/>
        <w:keepNext/>
        <w:spacing w:before="160" w:after="80"/>
        <w:jc w:val="center"/>
        <w:rPr>
          <w:vanish/>
        </w:rPr>
      </w:pPr>
      <w:bookmarkStart w:id="54" w:name="_Toc200000054"/>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5" w:name="_Toc200000055"/>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5"/>
    </w:p>
    <w:p>
      <w:pPr>
        <w:bidi/>
        <w:jc w:val="both"/>
      </w:pPr>
    </w:p>
    <w:p>
      <w:pPr>
        <w:pStyle w:val="TableCaption"/>
        <w:keepNext/>
        <w:spacing w:before="160" w:after="80"/>
        <w:jc w:val="center"/>
        <w:rPr>
          <w:vanish/>
        </w:rPr>
      </w:pPr>
      <w:bookmarkStart w:id="56" w:name="_Toc200000056"/>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7" w:name="_Toc200000057"/>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7"/>
    </w:p>
    <w:p>
      <w:pPr>
        <w:bidi/>
        <w:jc w:val="both"/>
      </w:pPr>
    </w:p>
    <w:p>
      <w:pPr>
        <w:pStyle w:val="Heading2"/>
        <w:keepNext/>
        <w:bidi/>
        <w:spacing w:before="180" w:after="80"/>
      </w:pPr>
      <w:bookmarkStart w:id="58" w:name="_Toc200000058"/>
      <w:r>
        <w:t xml:space="preserve">۴ـ۳ دور نخست دلفی: شناسایی گویه‌ها</w:t>
      </w:r>
      <w:bookmarkEnd w:id="58"/>
    </w:p>
    <w:p>
      <w:pPr>
        <w:bidi/>
        <w:spacing w:after="80"/>
        <w:ind w:firstLine="720"/>
        <w:jc w:val="both"/>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05"/>
      </w:r>
      <w:r>
        <w:rPr>
          <w:rtl/>
        </w:rPr>
        <w:t xml:space="preserve"> در شش مرحله کدگذاری و تحلیل شدند (شرح کامل این فرایند در بخش ۳-۷-۱ آمده است).</w:t>
      </w:r>
      <w:r>
        <w:rPr>
          <w:rtl/>
        </w:rPr>
        <w:t xml:space="preserve"> کدهای استخراج‌شده با چالش‌های برگرفته از ادبیات (جدول ۲-۱) سنجیده و ترکیب شدند؛ هر گویه دست‌کم در پاسخ یک عضو پانل بازتاب داشت و حاصل این مرحله فهرستی از ۲۹ گویه بود. جدول ۴-۶ فهرست گویه‌ها را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9" w:name="_Toc200000059"/>
      <w:r>
        <w:fldChar w:fldCharType="begin"/>
      </w:r>
      <w:r>
        <w:instrText xml:space="preserve"> TC "جدول ۴-۶ گویه‌های استخراج‌شده از دور نخست به تفکیک اعضای اشاره‌کننده و همتای ادبی" \f T \l 4 </w:instrText>
      </w:r>
      <w:r>
        <w:fldChar w:fldCharType="end"/>
      </w:r>
      <w:r>
        <w:t xml:space="preserve">جدول ۴-۶ گویه‌های استخراج‌شده از دور نخست به تفکیک اعضای اشاره‌کننده و همتای ادبی (منبع: یافته‌های پژوهش)</w:t>
      </w:r>
      <w:bookmarkEnd w:id="59"/>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80"/>
        <w:gridCol w:w="1260"/>
        <w:gridCol w:w="1828"/>
      </w:tblGrid>
      <w:tr>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pStyle w:val="Heading2"/>
        <w:keepNext/>
        <w:bidi/>
        <w:spacing w:before="180" w:after="80"/>
      </w:pPr>
      <w:bookmarkStart w:id="60" w:name="_Toc200000060"/>
      <w:r>
        <w:t xml:space="preserve">۴ـ۴ دور دوم دلفی: امتیازدهی و سنجش نخستین توافق</w:t>
      </w:r>
      <w:bookmarkEnd w:id="60"/>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۴-۷ میانگین، میانه، انحراف معیار و دامنه بین‌چارکی امتیاز هر گویه را نشان می‌دهد.</w:t>
      </w:r>
    </w:p>
    <w:p>
      <w:pPr>
        <w:pStyle w:val="TableCaption"/>
        <w:keepNext/>
        <w:spacing w:before="160" w:after="80"/>
        <w:jc w:val="center"/>
        <w:rPr>
          <w:vanish/>
        </w:rPr>
      </w:pPr>
      <w:bookmarkStart w:id="61" w:name="_Toc200000061"/>
      <w:r>
        <w:fldChar w:fldCharType="begin"/>
      </w:r>
      <w:r>
        <w:instrText xml:space="preserve"> TC "جدول ۴-۷ آمار توصیفی امتیاز اهمیت گویه‌ها در دور دوم" \f T \l 4 </w:instrText>
      </w:r>
      <w:r>
        <w:fldChar w:fldCharType="end"/>
      </w:r>
      <w:r>
        <w:t xml:space="preserve">جدول ۴-۷ آمار توصیفی </w:t>
      </w:r>
      <w:r>
        <w:t xml:space="preserve">امتیاز اهمیت گویه‌ها در دور دوم</w:t>
      </w:r>
      <w:r>
        <w:t xml:space="preserve">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۴-۹).</w:t>
      </w:r>
    </w:p>
    <w:p>
      <w:pPr>
        <w:pStyle w:val="Heading2"/>
        <w:keepNext/>
        <w:bidi/>
        <w:spacing w:before="180" w:after="80"/>
      </w:pPr>
      <w:bookmarkStart w:id="62" w:name="_Toc200000062"/>
      <w:r>
        <w:t xml:space="preserve">۴ـ۵ دور سوم دلفی: بازخورد گروهی و همگرایی پاسخ‌ها</w:t>
      </w:r>
      <w:bookmarkEnd w:id="62"/>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۴-۸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3" w:name="_Toc200000063"/>
      <w:r>
        <w:fldChar w:fldCharType="begin"/>
      </w:r>
      <w:r>
        <w:instrText xml:space="preserve"> TC "جدول ۴-۸ آمار توصیفی امتیاز اهمیت گویه‌ها در دور سوم" \f T \l 4 </w:instrText>
      </w:r>
      <w:r>
        <w:fldChar w:fldCharType="end"/>
      </w:r>
      <w:r>
        <w:t xml:space="preserve">جدول ۴-۸ آمار توصیفی </w:t>
      </w:r>
      <w:r>
        <w:t xml:space="preserve">امتیاز اهمیت گویه‌ها در دور سوم</w:t>
      </w:r>
      <w:r>
        <w:t xml:space="preserve"> (منبع: یافته‌های پژوهش)</w:t>
      </w:r>
      <w:bookmarkEnd w:id="6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4" w:name="_Toc200000064"/>
      <w:r>
        <w:t xml:space="preserve">۴ـ۵ـ۱ توافق اعضا: ضریب هماهنگی کندال</w:t>
      </w:r>
      <w:bookmarkEnd w:id="64"/>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06"/>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107"/>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۴-۹ گزارش شده است.</w:t>
      </w:r>
    </w:p>
    <w:p>
      <w:pPr>
        <w:pStyle w:val="TableCaption"/>
        <w:keepNext/>
        <w:spacing w:before="160" w:after="80"/>
        <w:jc w:val="center"/>
        <w:rPr>
          <w:vanish/>
        </w:rPr>
      </w:pPr>
      <w:bookmarkStart w:id="65" w:name="_Toc200000065"/>
      <w:r>
        <w:fldChar w:fldCharType="begin"/>
      </w:r>
      <w:r>
        <w:instrText xml:space="preserve"> TC "جدول ۴-۹ نتایج آزمون ضریب هماهنگی کندال (W) برای سنجش اجماع در دورهای دلفی" \f T \l 4 </w:instrText>
      </w:r>
      <w:r>
        <w:fldChar w:fldCharType="end"/>
      </w:r>
      <w:r>
        <w:t xml:space="preserve">جدول ۴-۹ نتایج آزمون ضریب هماهنگی کندال (W) برای سنجش اجماع در دورهای دلفی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۴-۹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08"/>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6" w:name="_Toc200000066"/>
      <w:r>
        <w:t xml:space="preserve">۴ـ۵ـ۲ ثبات رتبه‌بندی: ضریب همبستگی اسپیرمن</w:t>
      </w:r>
      <w:bookmarkEnd w:id="66"/>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w:t>
      </w:r>
      <w:r>
        <w:rPr>
          <w:rtl/>
        </w:rPr>
        <w:t xml:space="preserve"> جدول ۴-۱۰ ضریب همبستگی رتبه‌ای اسپیرمن میان میانگین امتیازهای گویه‌ها در دور دوم و دور سوم را، به همراه سطح معناداری آن، نشان می‌دهد.</w:t>
      </w:r>
      <w:r>
        <w:rPr>
          <w:rtl/>
        </w:rPr>
        <w:t xml:space="preserve"> رسیدن همبستگی به سطح بالا و معنادار، ملاک توقف فرایند دلفی در پژوهش حاضر بود؛ ثبات پاسخ‌ها میان دورها از ملاک‌های توقف گزارش‌شده در مطالعات دلفی است (شیفانو و نیدربرگر، ۲۰۲۵)</w:t>
      </w:r>
      <w:r>
        <w:rPr>
          <w:rStyle w:val="FootnoteReference"/>
        </w:rPr>
        <w:footnoteReference w:id="109"/>
      </w:r>
      <w:r>
        <w:rPr>
          <w:rtl/>
        </w:rPr>
        <w:t xml:space="preserve">.</w:t>
      </w:r>
    </w:p>
    <w:p>
      <w:pPr>
        <w:pStyle w:val="TableCaption"/>
        <w:keepNext/>
        <w:spacing w:before="160" w:after="80"/>
        <w:jc w:val="center"/>
        <w:rPr>
          <w:vanish/>
        </w:rPr>
      </w:pPr>
      <w:bookmarkStart w:id="67" w:name="_Toc200000067"/>
      <w:r>
        <w:fldChar w:fldCharType="begin"/>
      </w:r>
      <w:r>
        <w:instrText xml:space="preserve"> TC "جدول ۴-۱۰ ضریب همبستگی رتبه‌ای میان امتیازهای گویه‌ها در دور دوم و دور سوم" \f T \l 4 </w:instrText>
      </w:r>
      <w:r>
        <w:fldChar w:fldCharType="end"/>
      </w:r>
      <w:r>
        <w:t xml:space="preserve">جدول ۴-۱۰ ضریب همبستگی رتبه‌ای میان امتیازهای گویه‌ها در دور دوم و دور سوم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bl>
    <w:p>
      <w:pPr>
        <w:bidi/>
        <w:jc w:val="both"/>
      </w:pPr>
    </w:p>
    <w:p>
      <w:pPr>
        <w:bidi/>
        <w:spacing w:after="80"/>
        <w:ind w:firstLine="720"/>
        <w:jc w:val="both"/>
      </w:pPr>
      <w:r>
        <w:rPr>
          <w:rtl/>
        </w:rPr>
        <w:t xml:space="preserve">همان‌گونه که جدول ۴-۱۰ نشان می‌دهد، ضریب اسپیرمن میان دور دوم و دور سوم ۰٫۸۴۷ است؛ یعنی ترتیب گویه‌ها میان دو دور به‌طور چشمگیری حفظ شد و بازخورد گروهی بیش از آنکه ترتیب اهمیت را جابه‌جا کند، نظرها را به یکدیگر نزدیک کرد. از این رو دورهای دلفی پس از دور سوم متوقف شد.</w:t>
      </w:r>
    </w:p>
    <w:p>
      <w:pPr>
        <w:pStyle w:val="Heading2"/>
        <w:keepNext/>
        <w:bidi/>
        <w:spacing w:before="180" w:after="80"/>
      </w:pPr>
      <w:bookmarkStart w:id="68" w:name="_Toc200000068"/>
      <w:r>
        <w:t xml:space="preserve">۴ـ۶ پاسخ به پرسش‌های پژوهش</w:t>
      </w:r>
      <w:bookmarkEnd w:id="68"/>
    </w:p>
    <w:p>
      <w:pPr>
        <w:pStyle w:val="Heading3"/>
        <w:keepNext/>
        <w:bidi/>
        <w:spacing w:before="180" w:after="80"/>
      </w:pPr>
      <w:bookmarkStart w:id="69" w:name="_Toc200000069"/>
      <w:r>
        <w:t xml:space="preserve">۴ـ۶ـ۱ پاسخ به پرسش نخست: چالش‌های فروش</w:t>
      </w:r>
      <w:bookmarkEnd w:id="69"/>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پاسخ این پرسش فهرست ۲۹ گویه‌ای است که از تحلیل مضمون پاسخ‌های دور نخست پانل و ترکیب آن‌ها با چالش‌های برگرفته از ادبیات به دست آمد (بخش ۴-۳ و جدول ۴-۶). این ۲۹ گویه در دور دوم و دور سوم نیز از نگاه پانل اهمیت بالایی داشتند: کمترین میانگین امتیاز گویه‌ها در دور دوم ۳٫۲۹ و در دور سوم ۳٫۱۴ بود (جدول ۴-۷ و جدول ۴-۸). از این رو فهرست پایانی چالش‌های فروش همان ۲۹ گویه است. اولویت این چالش‌ها در بخش بعد گزارش می‌شود.</w:t>
      </w:r>
    </w:p>
    <w:p>
      <w:pPr>
        <w:pStyle w:val="Heading3"/>
        <w:keepNext/>
        <w:bidi/>
        <w:spacing w:before="180" w:after="80"/>
      </w:pPr>
      <w:bookmarkStart w:id="70" w:name="_Toc200000070"/>
      <w:r>
        <w:t xml:space="preserve">۴ـ۶ـ۲ پاسخ به پرسش دوم: وزن‌دهی و اولویت‌بندی به روش AHP</w:t>
      </w:r>
      <w:bookmarkEnd w:id="70"/>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دلفی برای هر گویه یک میانگین امتیاز به دست داد؛ این میانگین نشان می‌دهد هر چالش چقدر مهم است، اما نشان نمی‌دهد هر چالش چه سهمی از کل اهمیت چالش‌ها دارد و چالش‌های هم‌مضمون چگونه با هم سنجیده می‌شوند.</w:t>
      </w:r>
      <w:r>
        <w:rPr>
          <w:rtl/>
        </w:rPr>
        <w:t xml:space="preserve"> برای پاسخ به این پرسش از روش فرایند تحلیل سلسله‌مراتبی (</w:t>
      </w:r>
      <w:r>
        <w:rPr>
          <w:rFonts w:ascii="Times New Roman" w:hAnsi="Times New Roman" w:cs="Times New Roman" w:eastAsia="Times New Roman"/>
          <w:sz w:val="26"/>
          <w:szCs w:val="26"/>
        </w:rPr>
        <w:t xml:space="preserve">AHP</w:t>
      </w:r>
      <w:r>
        <w:rPr>
          <w:rtl/>
        </w:rPr>
        <w:t xml:space="preserve">) استفاده شد (ساعتی، ۱۹۸۰)</w:t>
      </w:r>
      <w:r>
        <w:rPr>
          <w:rStyle w:val="FootnoteReference"/>
        </w:rPr>
        <w:footnoteReference w:id="110"/>
      </w:r>
      <w:r>
        <w:rPr>
          <w:rtl/>
        </w:rPr>
        <w:t xml:space="preserve">.</w:t>
      </w:r>
      <w:r>
        <w:rPr>
          <w:rtl/>
        </w:rPr>
        <w:t xml:space="preserve"> در این روش امتیازها به وزن‌هایی تبدیل می‌شوند که مجموعشان یک است و وزن بیشتر یعنی اولویت بالاتر؛ مسئله نیز در سه سطح چیده می‌شود: هدف، که اولویت‌بندی چالش‌های فروش است؛ مؤلفه‌ها، که گروه‌های هم‌مضمون چالش‌اند؛ و گویه‌ها، که خود چالش‌ها هستند.</w:t>
      </w:r>
      <w:r>
        <w:rPr>
          <w:rtl/>
        </w:rPr>
        <w:t xml:space="preserve"> در این پژوهش، به‌جای ماتریس مقایسه‌های زوجی، وزن‌ها مستقیماً از امتیازهای پرسشنامه محاسبه شد (بخش ۳-۷-۳)؛ استواری این وزن‌ها در بخش ۴-۶-۳ سنجیده می‌شود.</w:t>
      </w:r>
      <w:r>
        <w:rPr>
          <w:rtl/>
        </w:rPr>
        <w:t xml:space="preserve"> گام‌ها به ترتیب اجرا گزارش می‌شود: پخش پرسشنامه، وزن گویه‌ها و سپس وزن مؤلفه‌ها.</w:t>
      </w:r>
    </w:p>
    <w:p>
      <w:pPr>
        <w:pStyle w:val="Heading4"/>
        <w:keepNext/>
        <w:bidi/>
        <w:spacing w:before="180" w:after="80"/>
      </w:pPr>
      <w:r>
        <w:t xml:space="preserve">۴ـ۶ـ۲ـ۱ گام نخست: پخش پرسشنامه</w:t>
      </w:r>
    </w:p>
    <w:p>
      <w:pPr>
        <w:bidi/>
        <w:spacing w:after="80"/>
        <w:ind w:firstLine="720"/>
        <w:jc w:val="both"/>
      </w:pPr>
      <w:r>
        <w:rPr>
          <w:rtl/>
        </w:rPr>
        <w:t xml:space="preserve">ورودی وزن‌دهی، امتیازهای دور سوم دلفی است. دور سوم آخرین دور بود و در آن توافق اعضا قوی و معنادار (</w:t>
      </w:r>
      <w:r>
        <w:rPr>
          <w:rFonts w:ascii="Times New Roman" w:hAnsi="Times New Roman" w:cs="Times New Roman" w:eastAsia="Times New Roman"/>
          <w:i/>
          <w:iCs/>
          <w:sz w:val="26"/>
          <w:szCs w:val="26"/>
        </w:rPr>
        <w:t xml:space="preserve">W</w:t>
      </w:r>
      <w:r>
        <w:rPr>
          <w:rtl/>
        </w:rPr>
        <w:t xml:space="preserve">=۰٫۷۵۶) و ترتیب گویه‌ها میان دو دور باثبات (</w:t>
      </w:r>
      <w:r>
        <w:rPr>
          <w:rFonts w:ascii="Times New Roman" w:hAnsi="Times New Roman" w:cs="Times New Roman" w:eastAsia="Times New Roman"/>
          <w:i/>
          <w:iCs/>
          <w:sz w:val="26"/>
          <w:szCs w:val="26"/>
        </w:rPr>
        <w:t xml:space="preserve">rho</w:t>
      </w:r>
      <w:r>
        <w:rPr>
          <w:rtl/>
        </w:rPr>
        <w:t xml:space="preserve">=۰٫۸۴۷) بود (جدول ۴-۹ و جدول ۴-۱۰). پرسشنامه دور سوم (پیوست پ)، که ۲۹ گویه را بر طیف پنج‌درجه‌ای در بر داشت، میان هر هفت عضو پانل توزیع شد و هر هفت عضو آن را تکمیل کردند. برای وزن‌دهی پرسشنامه جداگانه‌ای پخش نشد؛ امتیازهای همین پرسشنامه به وزن تبدیل شد. میانگین امتیاز هر گویه در جدول ۴-۸ آمده است.</w:t>
      </w:r>
    </w:p>
    <w:p>
      <w:pPr>
        <w:pStyle w:val="Heading4"/>
        <w:keepNext/>
        <w:bidi/>
        <w:spacing w:before="180" w:after="80"/>
      </w:pPr>
      <w:r>
        <w:t xml:space="preserve">۴ـ۶ـ۲ـ۲ گام دوم: وزن گویه‌ها</w:t>
      </w:r>
    </w:p>
    <w:p>
      <w:pPr>
        <w:bidi/>
        <w:spacing w:after="80"/>
        <w:ind w:firstLine="720"/>
        <w:jc w:val="both"/>
      </w:pPr>
      <w:r>
        <w:rPr>
          <w:rtl/>
        </w:rPr>
        <w:t xml:space="preserve">وزن هر گویه سهم آن از مجموع امتیاز همه گویه‌هاست؛ یعنی میانگین امتیاز گویه تقسیم بر مجموع میانگین‌های ۲۹ گویه:</w:t>
      </w:r>
    </w:p>
    <w:p>
      <w:pPr>
        <w:bidi/>
        <w:spacing w:after="140" w:before="80"/>
        <w:ind w:firstLine="0"/>
        <w:jc w:val="center"/>
      </w:pPr>
      <w:r>
        <w:rPr>
          <w:rtl/>
        </w:rPr>
        <w:t xml:space="preserve">وزن گویه = میانگین امتیاز گویه تقسیم بر مجموع میانگین امتیاز ۲۹ گویه</w:t>
      </w:r>
    </w:p>
    <w:p>
      <w:pPr>
        <w:bidi/>
        <w:spacing w:after="80"/>
        <w:ind w:firstLine="720"/>
        <w:jc w:val="both"/>
      </w:pPr>
      <w:r>
        <w:rPr>
          <w:rtl/>
        </w:rPr>
        <w:t xml:space="preserve">مجموع میانگین‌های ۲۹ گویه ۱۱۸٫۰۰ است. برای نمونه، گویه «ورود رقبای جدید و افزایش شدت رقابت» میانگین ۵٫۰۰ دارد؛ وزن آن برابر ۰٫۰۴۲۴ (۵٫۰۰ تقسیم بر ۱۱۸٫۰۰) است، یعنی حدود ۴٫۲ درصد از کل اهمیت چالش‌ها. جدول ۴-۱۱ وزن هر ۲۹ گویه را نشان می‌دهد؛ گویه‌ها از بیشترین وزن به کمترین مرتب شده‌اند و ستون رتبه جایگاه هر گویه را نشان می‌دهد. گویه‌هایی که میانگین یکسان دارند، وزن و رتبه یکسان گرفته‌اند و مجموع وزن‌ها پیش از گرد کردن برابر یک است.</w:t>
      </w:r>
    </w:p>
    <w:p>
      <w:pPr>
        <w:pStyle w:val="TableCaption"/>
        <w:keepNext/>
        <w:spacing w:before="160" w:after="80"/>
        <w:jc w:val="center"/>
        <w:rPr>
          <w:vanish/>
        </w:rPr>
      </w:pPr>
      <w:bookmarkStart w:id="71" w:name="_Toc200000071"/>
      <w:r>
        <w:fldChar w:fldCharType="begin"/>
      </w:r>
      <w:r>
        <w:instrText xml:space="preserve"> TC "جدول ۴-۱۱ وزن AHP و رتبه گویه‌های چالش فروش" \f T \l 4 </w:instrText>
      </w:r>
      <w:r>
        <w:fldChar w:fldCharType="end"/>
      </w:r>
      <w:r>
        <w:t xml:space="preserve">جدول ۴-۱۱ وزن AHP و رتبه گویه‌های چالش فروش (منبع: یافته‌های پژوهش)</w:t>
      </w:r>
      <w:bookmarkEnd w:id="71"/>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4250"/>
        <w:gridCol w:w="950"/>
        <w:gridCol w:w="1250"/>
        <w:gridCol w:w="113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 (دور سوم)</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۱۱۸٫۰۰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r>
    </w:tbl>
    <w:p>
      <w:pPr>
        <w:bidi/>
        <w:jc w:val="both"/>
      </w:pPr>
    </w:p>
    <w:p>
      <w:pPr>
        <w:bidi/>
        <w:spacing w:after="80"/>
        <w:ind w:firstLine="720"/>
        <w:jc w:val="both"/>
      </w:pPr>
      <w:r>
        <w:rPr>
          <w:rtl/>
        </w:rPr>
        <w:t xml:space="preserve">بیشترین وزن (۰٫۰۴۲۴) به دو گویه «ورود رقبای جدید و افزایش شدت رقابت» و «افزایش بهای تمام‌شده و فشار بر حاشیه سود» تعلق گرفت؛ پس از آن‌ها گویه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آمدند. در سوی دیگر، سه گویه «نبود نوآوری و توسعه محصول»، «کم‌توجهی به تحقیقات بازار و مطالعه رفتار مصرف‌کننده» و «ضعف در نظام برنامه‌ریزی و اطلاعات فروش» با وزن ۰٫۰۲۶۶ در پایین‌ترین رتبه (۲۷) جای دارند؛ وزن بیشترین گویه‌ها حدود ۱٫۶ برابر وزن کمترین آن‌هاست. هفده گویه میانگین دقیقاً ۴٫۰۰ و در نتیجه وزن یکسان (۰٫۰۳۳۹) دارند؛ یعنی هر هفت عضو پانل به آن‌ها امتیاز ۴ داده‌اند و میان این گویه‌ها تمایز رتبه‌ای وجود ندارد.</w:t>
      </w:r>
    </w:p>
    <w:p>
      <w:pPr>
        <w:pStyle w:val="Heading4"/>
        <w:keepNext/>
        <w:bidi/>
        <w:spacing w:before="180" w:after="80"/>
      </w:pPr>
      <w:r>
        <w:t xml:space="preserve">۴ـ۶ـ۲ـ۳ گام سوم: مؤلفه‌ها و وزن آن‌ها</w:t>
      </w:r>
    </w:p>
    <w:p>
      <w:pPr>
        <w:bidi/>
        <w:spacing w:after="80"/>
        <w:ind w:firstLine="720"/>
        <w:jc w:val="both"/>
      </w:pPr>
      <w:r>
        <w:rPr>
          <w:rtl/>
        </w:rPr>
        <w:t xml:space="preserve">برای تکمیل سلسله‌مراتب، ۲۹ گویه بر پایه شباهت مضمونی در نُه مؤلفه سازمان‌دهی شدند: پنج مؤلفه درون‌سازمانی با ۱۸ گویه و چهار مؤلفه برون‌سازمانی با ۱۱ گویه. ستون «ردیف گویه‌ها» در جدول ۴-۱۲ نشان می‌دهد هر مؤلفه کدام گویه‌های جدول ۴-۶ را در بر دارد.</w:t>
      </w:r>
    </w:p>
    <w:p>
      <w:pPr>
        <w:bidi/>
        <w:spacing w:after="80"/>
        <w:ind w:firstLine="720"/>
        <w:jc w:val="both"/>
      </w:pPr>
      <w:r>
        <w:rPr>
          <w:rtl/>
        </w:rPr>
        <w:t xml:space="preserve">وزن هر مؤلفه از وزن گویه‌های آن به دست می‌آید: میانگین وزن گویه‌های مؤلفه محاسبه می‌شود و، برای آنکه مجموع وزن مؤلفه‌ها یک شود، بر مجموع این میانگین‌ها در نُه مؤلفه تقسیم می‌شود. چون وزن هر گویه با میانگین امتیاز آن متناسب است، همین وزن به‌طور معادل از رابطه زیر به دست می‌آید:</w:t>
      </w:r>
    </w:p>
    <w:p>
      <w:pPr>
        <w:bidi/>
        <w:spacing w:after="140" w:before="80"/>
        <w:ind w:firstLine="0"/>
        <w:jc w:val="center"/>
      </w:pPr>
      <w:r>
        <w:rPr>
          <w:rtl/>
        </w:rPr>
        <w:t xml:space="preserve">وزن مؤلفه = میانگین امتیاز مؤلفه تقسیم بر مجموع میانگین‌های نُه مؤلفه</w:t>
      </w:r>
    </w:p>
    <w:p>
      <w:pPr>
        <w:bidi/>
        <w:spacing w:after="80"/>
        <w:ind w:firstLine="720"/>
        <w:jc w:val="both"/>
      </w:pPr>
      <w:r>
        <w:rPr>
          <w:rtl/>
        </w:rPr>
        <w:t xml:space="preserve">مجموع میانگین امتیاز نُه مؤلفه ۳۷٫۰۱ است. برای نمونه، مؤلفه «فشارهای اقتصاد کلان و کاهش قدرت خرید» دو گویه (ردیف‌های ۲۸ و ۲۹) با میانگین ۵٫۰۰ و ۴٫۰۰ دارد؛ میانگین امتیاز مؤلفه ۴٫۵۰ است و وزن آن برابر ۰٫۱۲۲ (۴٫۵۰ تقسیم بر ۳۷٫۰۱) می‌شود. میانگین (و نه مجموع) گرفته شد تا شمار گویه‌های هر مؤلفه، که از شیوه دسته‌بندی ناشی می‌شود و نه از اهمیت چالش، بر وزن آن اثر نگذارد. جدول ۴-۱۲ وزن و رتبه نُه مؤلفه را نشان می‌دهد.</w:t>
      </w:r>
    </w:p>
    <w:p>
      <w:pPr>
        <w:pStyle w:val="TableCaption"/>
        <w:keepNext/>
        <w:spacing w:before="160" w:after="80"/>
        <w:jc w:val="center"/>
        <w:rPr>
          <w:vanish/>
        </w:rPr>
      </w:pPr>
      <w:bookmarkStart w:id="72" w:name="_Toc200000072"/>
      <w:r>
        <w:fldChar w:fldCharType="begin"/>
      </w:r>
      <w:r>
        <w:instrText xml:space="preserve"> TC "جدول ۴-۱۲ وزن AHP و رتبه مؤلفه‌های چالش فروش" \f T \l 4 </w:instrText>
      </w:r>
      <w:r>
        <w:fldChar w:fldCharType="end"/>
      </w:r>
      <w:r>
        <w:t xml:space="preserve">جدول ۴-۱۲ وزن AHP و رتبه مؤلفه‌های چالش فروش (منبع: یافته‌های پژوهش)</w:t>
      </w:r>
      <w:bookmarkEnd w:id="72"/>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500"/>
        <w:gridCol w:w="1450"/>
        <w:gridCol w:w="1250"/>
        <w:gridCol w:w="1250"/>
        <w:gridCol w:w="12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دسته</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گویه‌ها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 و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۴٫۵۰</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 تا 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 تا 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۴٫۳۳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 تا 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۴٫۲۹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 تا 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 تا 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 تا 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۳٫۸۱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 تا 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 تا 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۳٫۵۷</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 تا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۳۷٫۰۱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pPr>
        <w:bidi/>
        <w:jc w:val="both"/>
      </w:pPr>
    </w:p>
    <w:p>
      <w:pPr>
        <w:bidi/>
        <w:spacing w:after="80"/>
        <w:ind w:firstLine="720"/>
        <w:jc w:val="both"/>
      </w:pPr>
      <w:r>
        <w:rPr>
          <w:rtl/>
        </w:rPr>
        <w:t xml:space="preserve">مؤلفه «فشارهای اقتصاد کلان و کاهش قدرت خرید» با وزن ۰٫۱۲۲ در رتبه نخست است و مؤلفه‌های «تغییر ذائقه مصرف‌کننده و محدودیت بازار هدف» (۰٫۱۲۰) و «شدت رقابت و فشار قیمتی بازار» (۰٫۱۱۷) در رتبه‌های دوم و سوم‌اند. هر چهار مؤلفه برون‌سازمانی (رتبه‌های ۱، ۲، ۳ و ۵) در پنج رتبه نخست جای دارند و میانگین امتیاز آن‌ها (۴٫۳۶) از میانگین پنج مؤلفه درون‌سازمانی (۳٫۹۱) بیشتر است؛ در سطح گویه نیز هر پنج گویه‌ای که بیشترین وزن را دارند به مؤلفه‌های برون‌سازمانی تعلق دارند و هر سه گویه‌ای که کمترین وزن را دارند درون‌سازمانی‌اند. وزن مؤلفه‌ها به هم نزدیک است (از ۰٫۰۹۶ تا ۰٫۱۲۲؛ بیشترین وزن حدود ۱٫۳ برابر کمترین است)؛ از این رو جدا کردن دسته‌های بالا و پایین جدول از یکدیگر اطمینان بیشتری دارد تا ترتیب دقیق مؤلفه‌های مجاور.</w:t>
      </w:r>
    </w:p>
    <w:p>
      <w:pPr>
        <w:pStyle w:val="Heading4"/>
        <w:keepNext/>
        <w:bidi/>
        <w:spacing w:before="180" w:after="80"/>
      </w:pPr>
      <w:r>
        <w:t xml:space="preserve">۴ـ۶ـ۲ـ۴ پاسخ پرسش دوم</w:t>
      </w:r>
    </w:p>
    <w:p>
      <w:pPr>
        <w:bidi/>
        <w:spacing w:after="80"/>
        <w:ind w:firstLine="720"/>
        <w:jc w:val="both"/>
      </w:pPr>
      <w:r>
        <w:rPr>
          <w:rtl/>
        </w:rPr>
        <w:t xml:space="preserve">اولویت چالش‌های فروش به ترتیب وزن آن‌هاست.</w:t>
      </w:r>
      <w:r>
        <w:rPr>
          <w:rtl/>
        </w:rPr>
        <w:t xml:space="preserve"> در سطح گویه، مهم‌ترین چالش‌ها «ورود رقبای جدید و افزایش شدت رقابت» و «افزایش بهای تمام‌شده و فشار بر حاشیه سود» (هر یک ۰٫۰۴۲۴) هستند و پس از آن‌ها «تغییر سریع ذائقه و ترجیحات مصرف‌کننده در گذر زمان»، «محدود بودن بازار هدف به یک گروه خاص از مشتریان» و «نوسان و کمبود در تأمین مواد اولیه» قرار دارند؛ کم‌اهمیت‌ترین‌ها سه گویه با وزن ۰٫۰۲۶۶ هستند.</w:t>
      </w:r>
      <w:r>
        <w:rPr>
          <w:rtl/>
        </w:rPr>
        <w:t xml:space="preserve"> در سطح مؤلفه، «فشارهای اقتصاد کلان و کاهش قدرت خرید» (۰٫۱۲۲) نخست، «تغییر ذائقه مصرف‌کننده و محدودیت بازار هدف» (۰٫۱۲۰) دوم و «شدت رقابت و فشار قیمتی بازار» (۰٫۱۱۷) سوم است و «ضعف برندسازی و دشواری تمایز محصول» (۰٫۰۹۶) در رتبه آخر جای دارد.</w:t>
      </w:r>
      <w:r>
        <w:rPr>
          <w:rtl/>
        </w:rPr>
        <w:t xml:space="preserve"> جدول ۴-۱۷ در پایان فصل وزن هر مؤلفه و گویه‌های آن را یکجا نشان می‌دهد و تفسیر این الگو در فصل پنجم ارائه می‌شود. استواری این اولویت‌ها نسبت به شیوه وزن‌دهی در بخش ۴-۶-۳ سنجیده شده است.</w:t>
      </w:r>
    </w:p>
    <w:p>
      <w:pPr>
        <w:pStyle w:val="Heading3"/>
        <w:keepNext/>
        <w:bidi/>
        <w:spacing w:before="180" w:after="80"/>
      </w:pPr>
      <w:bookmarkStart w:id="73" w:name="_Toc200000073"/>
      <w:r>
        <w:t xml:space="preserve">۴ـ۶ـ۳ سنجش استواری: وزن‌دهی با ماتریس‌های مقایسه زوجی برآوردی</w:t>
      </w:r>
      <w:bookmarkEnd w:id="73"/>
    </w:p>
    <w:p>
      <w:pPr>
        <w:bidi/>
        <w:spacing w:after="80"/>
        <w:ind w:firstLine="720"/>
        <w:jc w:val="both"/>
      </w:pPr>
      <w:r>
        <w:rPr>
          <w:rtl/>
        </w:rPr>
        <w:t xml:space="preserve">وزن‌های جدول‌های ۴-۱۱ و ۴-۱۲ مستقیماً از امتیازهای دور سوم به دست آمدند. برای آنکه روشن شود اولویت‌بندی به شیوه وزن‌دهی وابسته است یا نه، همان سلسله‌مراتب با ماتریس‌های مقایسه زوجی برآوردی نیز وزن شد (روش در بخش ۳-۷-۴). این ماتریس‌ها از امتیازهای دور سوم هر خبره ساخته شده‌اند و پاسخ مستقیم اعضا به مقایسه‌های زوجی نیستند؛ از این رو نتایج این بخش استواری وزن‌ها را می‌سنجد و جایگزین آن‌ها نیست.</w:t>
      </w:r>
    </w:p>
    <w:p>
      <w:pPr>
        <w:bidi/>
        <w:spacing w:after="80"/>
        <w:ind w:firstLine="720"/>
        <w:jc w:val="both"/>
      </w:pPr>
      <w:r>
        <w:rPr>
          <w:rtl/>
        </w:rPr>
        <w:t xml:space="preserve">در مجموع ۴۹۰ مقایسه (هفت خبره، هر یک ۷۰ مقایسه) برآورد شد. از این شمار ۲۷۲ مقایسه (۵۵٫۵ درصد) برابر ۱، ۲۱۴ مقایسه (۴۳٫۷ درصد) برابر ۲ و تنها ۴ مقایسه (۰٫۸ درصد) برابر ۳ شد؛ یعنی از مقیاس ۱ تا ۹ فقط درجه‌های پایین به کار رفت، زیرا امتیازهای دور سوم به یکدیگر نزدیک بودند (بیشترین اختلاف میانگین امتیاز دو مؤلفه ۱٫۱۷ بود).</w:t>
      </w:r>
    </w:p>
    <w:p>
      <w:pPr>
        <w:bidi/>
        <w:spacing w:after="80"/>
        <w:ind w:firstLine="720"/>
        <w:jc w:val="both"/>
      </w:pPr>
      <w:r>
        <w:rPr>
          <w:rtl/>
        </w:rPr>
        <w:t xml:space="preserve">جدول ۴-۱۳ نرخ ناسازگاری (</w:t>
      </w:r>
      <w:r>
        <w:rPr>
          <w:rFonts w:ascii="Times New Roman" w:hAnsi="Times New Roman" w:cs="Times New Roman" w:eastAsia="Times New Roman"/>
          <w:sz w:val="26"/>
          <w:szCs w:val="26"/>
        </w:rPr>
        <w:t xml:space="preserve">CR</w:t>
      </w:r>
      <w:r>
        <w:rPr>
          <w:rtl/>
        </w:rPr>
        <w:t xml:space="preserve">) ماتریس‌ها را نشان می‌دهد. نرخ ناسازگاری ماتریس ۹×۹ مؤلفه‌ها برای هفت خبره از ۰٫۰۰۸۵ تا ۰٫۰۱۲۸ و برای ماتریس تجمیعی ۰٫۰۰۲۳ است؛ نرخ ناسازگاری ماتریس‌های درون مؤلفه‌ها برای همه خبرگان صفر است. همه مقادیر از ملاک ۰٫۱۰ کمترند، اما چون ماتریس‌ها از یک بردار امتیاز ساخته شده‌اند، این مقادیر پیامد شیوه ساخت‌اند و سازگاری قضاوت خبرگان را نشان نمی‌دهند (بخش ۳-۷-۴).</w:t>
      </w:r>
    </w:p>
    <w:p>
      <w:pPr>
        <w:pStyle w:val="TableCaption"/>
        <w:keepNext/>
        <w:spacing w:before="160" w:after="80"/>
        <w:jc w:val="center"/>
        <w:rPr>
          <w:vanish/>
        </w:rPr>
      </w:pPr>
      <w:bookmarkStart w:id="74" w:name="_Toc200000074"/>
      <w:r>
        <w:fldChar w:fldCharType="begin"/>
      </w:r>
      <w:r>
        <w:instrText xml:space="preserve"> TC "جدول ۴-۱۳ نرخ ناسازگاری ماتریس‌های مقایسه زوجی برآوردی" \f T \l 4 </w:instrText>
      </w:r>
      <w:r>
        <w:fldChar w:fldCharType="end"/>
      </w:r>
      <w:r>
        <w:t xml:space="preserve">جدول ۴-۱۳ نرخ ناسازگاری ماتریس‌های مقایسه زوجی برآوردی (منبع: یافته‌های پژوهش)</w:t>
      </w:r>
      <w:bookmarkEnd w:id="74"/>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1700"/>
        <w:gridCol w:w="2200"/>
        <w:gridCol w:w="2900"/>
        <w:gridCol w:w="1488"/>
      </w:tblGrid>
      <w:tr>
        <w:trPr>
          <w:cantSplit/>
          <w:tblHeader/>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خبره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نرخ ناسازگاری ماتریس مؤلفه‌ها</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بیشترین نرخ ناسازگاری ماتریس‌های درون مؤلفه‌ها</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مقایسه‌های برابر (۱) از ۷۰</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۰٫۰۰۸۵</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خ۲</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۰٫۰۰۹۸</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۳۹</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خ۳</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۰٫۰۱۱۵</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۰٫۰۰۸۵</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خ۵</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۰٫۰۱۲۸</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۴۸</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خ۶</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۰٫۰۱۲۷</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خ۷</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۰٫۰۱۲۱</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ماتریس تجمیعی (هفت خبره)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۰٫۰۰۲۳</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w:t>
            </w:r>
          </w:p>
        </w:tc>
      </w:tr>
    </w:tbl>
    <w:p>
      <w:pPr>
        <w:bidi/>
        <w:jc w:val="both"/>
      </w:pPr>
    </w:p>
    <w:p>
      <w:pPr>
        <w:bidi/>
        <w:spacing w:after="80"/>
        <w:ind w:firstLine="720"/>
        <w:jc w:val="both"/>
      </w:pPr>
      <w:r>
        <w:rPr>
          <w:rtl/>
        </w:rPr>
        <w:t xml:space="preserve">جدول ۴-۱۴ ماتریس تجمیعی مقایسه مؤلفه‌ها، یعنی میانگین هندسی ماتریس‌های هفت خبره، و وزن هر مؤلفه را نشان می‌دهد. مؤلفه‌ها بر پایه رتبه‌شان در جدول ۴-۱۲ شماره‌گذاری شده‌اند و هر خانه نشان می‌دهد مؤلفه ردیف چند برابر مؤلفه ستون مهم‌تر است.</w:t>
      </w:r>
    </w:p>
    <w:p>
      <w:pPr>
        <w:pStyle w:val="TableCaption"/>
        <w:keepNext/>
        <w:spacing w:before="160" w:after="80"/>
        <w:jc w:val="center"/>
        <w:rPr>
          <w:vanish/>
        </w:rPr>
      </w:pPr>
      <w:bookmarkStart w:id="75" w:name="_Toc200000075"/>
      <w:r>
        <w:fldChar w:fldCharType="begin"/>
      </w:r>
      <w:r>
        <w:instrText xml:space="preserve"> TC "جدول ۴-۱۴ ماتریس تجمیعی مقایسه مؤلفه‌ها و وزن حاصل" \f T \l 4 </w:instrText>
      </w:r>
      <w:r>
        <w:fldChar w:fldCharType="end"/>
      </w:r>
      <w:r>
        <w:t xml:space="preserve">جدول ۴-۱۴ ماتریس تجمیعی مقایسه مؤلفه‌ها و وزن حاصل (منبع: یافته‌های پژوهش)</w:t>
      </w:r>
      <w:bookmarkEnd w:id="75"/>
    </w:p>
    <w:tbl>
      <w:tblPr>
        <w:bidiVisual/>
        <w:tblW w:w="8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760"/>
        <w:gridCol w:w="760"/>
        <w:gridCol w:w="760"/>
        <w:gridCol w:w="760"/>
        <w:gridCol w:w="760"/>
        <w:gridCol w:w="760"/>
        <w:gridCol w:w="760"/>
        <w:gridCol w:w="760"/>
        <w:gridCol w:w="760"/>
        <w:gridCol w:w="100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۶</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۸</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۹</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۱٫۲۲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۰٫۱۵۵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۰٫۸۲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۰٫۱۳۲</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۰٫۱۳۰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۱٫۹۲</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۶</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۰٫۰۸۴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۸</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۰٫۰۸۰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۰٫۴۶</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۰٫۰۶۸</w:t>
            </w:r>
          </w:p>
        </w:tc>
      </w:tr>
      <w:tr>
        <w:trPr>
          <w:cantSplit/>
        </w:trPr>
        <w:tc>
          <w:tcPr>
            <w:tcW w:w="7540" w:type="dxa"/>
            <w:gridSpan w:val="10"/>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جمع وزن‌ها</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pPr>
        <w:bidi/>
        <w:jc w:val="both"/>
      </w:pPr>
    </w:p>
    <w:p>
      <w:pPr>
        <w:bidi/>
        <w:spacing w:after="80"/>
        <w:ind w:firstLine="720"/>
        <w:jc w:val="both"/>
      </w:pPr>
      <w:r>
        <w:rPr>
          <w:rtl/>
        </w:rPr>
        <w:t xml:space="preserve">جدول ۴-۱۵ وزن مؤلفه‌ها را در دو شیوه کنار هم می‌گذارد. ترتیب نُه مؤلفه در دو شیوه عیناً یکی است (</w:t>
      </w:r>
      <w:r>
        <w:rPr>
          <w:rFonts w:ascii="Times New Roman" w:hAnsi="Times New Roman" w:cs="Times New Roman" w:eastAsia="Times New Roman"/>
          <w:i/>
          <w:iCs/>
          <w:sz w:val="26"/>
          <w:szCs w:val="26"/>
        </w:rPr>
        <w:t xml:space="preserve">rho</w:t>
      </w:r>
      <w:r>
        <w:rPr>
          <w:rtl/>
        </w:rPr>
        <w:t xml:space="preserve">=۱٫۰۰۰). وزن‌ها در شیوه برآوردی پراکنده‌ترند: از ۰٫۰۶۸ تا ۰٫۱۵۵ در برابر ۰٫۰۹۶ تا ۰٫۱۲۲ در شیوه مستقیم؛ یعنی بیشترین وزن ۲٫۳ برابر کمترین است، در حالی که در شیوه مستقیم ۱٫۳ برابر بود. این پراکندگی بیشتر پیامد قاعده تبدیل است، که هر اختلاف نیم‌امتیازی را دست‌کم به درجه ۲ مقیاس زوجی می‌رساند، و نشان نمی‌دهد خبرگان تفاوت‌ها را بزرگ‌تر می‌دانند. ساختار سه‌دسته‌ای جدول ۴-۱۲ نیز حفظ می‌شود: چهار مؤلفه نخست (۰٫۱۲۵ تا ۰٫۱۵۵)، دو مؤلفه میانی (۰٫۱۱۰ و ۰٫۱۱۷) و سه مؤلفه پایانی (۰٫۰۶۸ تا ۰٫۰۸۴)؛ فاصله میان دسته‌ها در شیوه برآوردی آشکارتر است.</w:t>
      </w:r>
    </w:p>
    <w:p>
      <w:pPr>
        <w:pStyle w:val="TableCaption"/>
        <w:keepNext/>
        <w:spacing w:before="160" w:after="80"/>
        <w:jc w:val="center"/>
        <w:rPr>
          <w:vanish/>
        </w:rPr>
      </w:pPr>
      <w:bookmarkStart w:id="76" w:name="_Toc200000076"/>
      <w:r>
        <w:fldChar w:fldCharType="begin"/>
      </w:r>
      <w:r>
        <w:instrText xml:space="preserve"> TC "جدول ۴-۱۵ مقایسه وزن مؤلفه‌ها در وزن‌دهی مستقیم و وزن‌دهی با ماتریس‌های برآوردی" \f T \l 4 </w:instrText>
      </w:r>
      <w:r>
        <w:fldChar w:fldCharType="end"/>
      </w:r>
      <w:r>
        <w:t xml:space="preserve">جدول ۴-۱۵ مقایسه وزن مؤلفه‌ها در وزن‌دهی مستقیم و وزن‌دهی با ماتریس‌های برآوردی (منبع: یافته‌های پژوهش)</w:t>
      </w:r>
      <w:bookmarkEnd w:id="76"/>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1500"/>
        <w:gridCol w:w="1400"/>
        <w:gridCol w:w="13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مستقیم (جدول ۴-۱۲)</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برآوردی</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برآوردی</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۰٫۱۵۵</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۰٫۱۳۲</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۰٫۱۳۰</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۰٫۱۲۵</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۰٫۱۱۰</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۰٫۰۸۴</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۰٫۰۸۰</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۰٫۰۶۸</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bl>
    <w:p>
      <w:pPr>
        <w:bidi/>
        <w:jc w:val="both"/>
      </w:pPr>
    </w:p>
    <w:p>
      <w:pPr>
        <w:bidi/>
        <w:spacing w:after="80"/>
        <w:ind w:firstLine="720"/>
        <w:jc w:val="both"/>
      </w:pPr>
      <w:r>
        <w:rPr>
          <w:rtl/>
        </w:rPr>
        <w:t xml:space="preserve">جدول ۴-۱۶ وزن ۲۹ گویه را در دو شیوه نشان می‌دهد. درون هر مؤلفه ترتیب گویه‌ها در دو شیوه عیناً یکی است: همه ۲۲ جفت گویه‌ای که میانگین‌شان متفاوت است در شیوه برآوردی نیز همان جهت را دارند. ضریب اسپیرمن میان دو رتبه‌بندی ۲۹ گویه ۰٫۸۶۴ است. سه گویه نخست («ورود رقبای جدید و افزایش شدت رقابت»، «افزایش بهای تمام‌شده و فشار بر حاشیه سود» و «تغییر سریع ذائقه و ترجیحات مصرف‌کننده در گذر زمان») و چهار گویه پایانی («نبود پیشنهاد تازه برای حفظ و فعال‌سازی مجدد مشتریان فعلی»، «ضعف در نظام برنامه‌ریزی و اطلاعات فروش»، «نبود نوآوری و توسعه محصول» و «کم‌توجهی به تحقیقات بازار و مطالعه رفتار مصرف‌کننده») در هر دو شیوه یکی‌اند.</w:t>
      </w:r>
    </w:p>
    <w:p>
      <w:pPr>
        <w:bidi/>
        <w:spacing w:after="80"/>
        <w:ind w:firstLine="720"/>
        <w:jc w:val="both"/>
      </w:pPr>
      <w:r>
        <w:rPr>
          <w:rtl/>
        </w:rPr>
        <w:t xml:space="preserve">تفاوت رتبه‌ها در میانه جدول پدید می‌آید: هفده گویه‌ای که در شیوه مستقیم میانگین یکسان ۴٫۰۰ داشتند، در شیوه برآوردی میان رتبه‌های ۴ تا ۲۴ پراکنده می‌شوند. این جدایی بیشتر پیامد ساختار سلسله‌مراتبی است تا قضاوتی درباره خود گویه‌ها؛ زیرا وزن کلی هر گویه حاصل‌ضرب وزن مؤلفه و وزن محلی آن است و در مؤلفه‌ای با گویه‌های کمتر، سهم هر گویه بزرگ‌تر می‌شود. برای نمونه، گویه «کاهش قدرت خرید و مشکلات اقتصادی مصرف‌کننده» با میانگین ۴٫۰۰ در گروه هم‌وزن شیوه مستقیم (رتبه ۹) بود، اما چون دومین گویه از مؤلفه‌ای دوگویه‌ای با بیشترین وزن است، در شیوه برآوردی در رتبه ۴ جای می‌گیرد.</w:t>
      </w:r>
    </w:p>
    <w:p>
      <w:pPr>
        <w:pStyle w:val="TableCaption"/>
        <w:keepNext/>
        <w:spacing w:before="160" w:after="80"/>
        <w:jc w:val="center"/>
        <w:rPr>
          <w:vanish/>
        </w:rPr>
      </w:pPr>
      <w:bookmarkStart w:id="77" w:name="_Toc200000077"/>
      <w:r>
        <w:fldChar w:fldCharType="begin"/>
      </w:r>
      <w:r>
        <w:instrText xml:space="preserve"> TC "جدول ۴-۱۶ مقایسه وزن گویه‌ها در وزن‌دهی مستقیم و وزن‌دهی با ماتریس‌های برآوردی" \f T \l 4 </w:instrText>
      </w:r>
      <w:r>
        <w:fldChar w:fldCharType="end"/>
      </w:r>
      <w:r>
        <w:t xml:space="preserve">جدول ۴-۱۶ مقایسه وزن گویه‌ها در وزن‌دهی مستقیم و وزن‌دهی با ماتریس‌های برآوردی (منبع: یافته‌های پژوهش)</w:t>
      </w:r>
      <w:bookmarkEnd w:id="77"/>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1000"/>
        <w:gridCol w:w="4000"/>
        <w:gridCol w:w="1100"/>
        <w:gridCol w:w="1100"/>
        <w:gridCol w:w="1088"/>
      </w:tblGrid>
      <w:tr>
        <w:trPr>
          <w:cantSplit/>
          <w:tblHeader/>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مستقیم</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مستقیم</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برآوردی</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برآوردی</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۰٫۰۶۴۹</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۰٫۱۰۳۱</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۰٫۰۵۲۶</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۰٫۰۴۷۶</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۰٫۰۵۰۱</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۰٫۰۳۴۱</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۰٫۰۳۳۸</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۰٫۰۲۱۸</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۰٫۰۲۱۸</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۰٫۰۳۱۳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۰٫۰۳۱۳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۰٫۰۲۲۵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۰٫۰۲۲۵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۰٫۰۲۲۵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۰٫۰۲۵۳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۰٫۰۲۵۳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۰٫۰۲۵۳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۰٫۰۳۲۴</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۰٫۰۳۲۴</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۰٫۰۳۲۰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۰٫۰۳۳۷</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۰٫۰۳۳۷</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۰٫۰۵۱۶</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۰٫۰۱۲۴</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pPr>
        <w:bidi/>
        <w:jc w:val="both"/>
      </w:pPr>
    </w:p>
    <w:p>
      <w:pPr>
        <w:bidi/>
        <w:spacing w:after="80"/>
        <w:ind w:firstLine="720"/>
        <w:jc w:val="both"/>
      </w:pPr>
      <w:r>
        <w:rPr>
          <w:rtl/>
        </w:rPr>
        <w:t xml:space="preserve">به این ترتیب، اولویت‌بندی در سطح مؤلفه‌ها نسبت به شیوه وزن‌دهی کاملاً استوار است و در سطح گویه، دو سر جدول، یعنی مهم‌ترین و کم‌اهمیت‌ترین چالش‌ها، تغییر نمی‌کند؛ تفاوت‌ها در میانه جدول پدید می‌آید، جایی که شیوه مستقیم میان گویه‌های هم‌امتیاز تمایزی نمی‌گذارد. بحث درباره این نتیجه و محدودیت‌های آن، از جمله برآوردی بودن ماتریس‌ها، در فصل پنجم آمده است.</w:t>
      </w:r>
    </w:p>
    <w:p>
      <w:pPr>
        <w:pStyle w:val="Heading2"/>
        <w:keepNext/>
        <w:bidi/>
        <w:spacing w:before="180" w:after="80"/>
      </w:pPr>
      <w:bookmarkStart w:id="78" w:name="_Toc200000078"/>
      <w:r>
        <w:t xml:space="preserve">۴ـ۷ خلاصه فصل</w:t>
      </w:r>
      <w:bookmarkEnd w:id="78"/>
    </w:p>
    <w:p>
      <w:pPr>
        <w:bidi/>
        <w:spacing w:after="80"/>
        <w:ind w:firstLine="720"/>
        <w:jc w:val="both"/>
      </w:pPr>
      <w:r>
        <w:rPr>
          <w:rtl/>
        </w:rPr>
        <w:t xml:space="preserve">این فصل یافته‌های اجرای کامل فرایند دلفی سه‌دوره‌ای با پانل هفت‌نفره خبرگان صنعت مواد غذایی و وزن‌دهی به روش </w:t>
      </w:r>
      <w:r>
        <w:rPr>
          <w:rFonts w:ascii="Times New Roman" w:hAnsi="Times New Roman" w:cs="Times New Roman" w:eastAsia="Times New Roman"/>
          <w:sz w:val="26"/>
          <w:szCs w:val="26"/>
        </w:rPr>
        <w:t xml:space="preserve">AHP</w:t>
      </w:r>
      <w:r>
        <w:rPr>
          <w:rtl/>
        </w:rPr>
        <w:t xml:space="preserve"> را ارائه کرد.</w:t>
      </w:r>
      <w:r>
        <w:rPr>
          <w:rtl/>
        </w:rPr>
        <w:t xml:space="preserve"> دور نخست، که مصاحبه‌ای با یک پرسش باز بود، پس از تحلیل مضمون و ترکیب با چالش‌های برگرفته از ادبیات، به ۲۹ گویه انجامید (جدول ۴-۶).</w:t>
      </w:r>
      <w:r>
        <w:rPr>
          <w:rtl/>
        </w:rPr>
        <w:t xml:space="preserve"> در دورهای دوم و سوم، پانل اهمیت گویه‌ها را بر طیف پنج‌درجه‌ای امتیاز داد؛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چشمگیری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نیز نشان داد فرایند به ثبات رسیده است.</w:t>
      </w:r>
      <w:r>
        <w:rPr>
          <w:rtl/>
        </w:rPr>
        <w:t xml:space="preserve"> سپس پرسشنامه دور سوم برای وزن‌دهی به روش </w:t>
      </w:r>
      <w:r>
        <w:rPr>
          <w:rFonts w:ascii="Times New Roman" w:hAnsi="Times New Roman" w:cs="Times New Roman" w:eastAsia="Times New Roman"/>
          <w:sz w:val="26"/>
          <w:szCs w:val="26"/>
        </w:rPr>
        <w:t xml:space="preserve">AHP</w:t>
      </w:r>
      <w:r>
        <w:rPr>
          <w:rtl/>
        </w:rPr>
        <w:t xml:space="preserve"> به کار رفت: نخست وزن هر گویه از میانگین امتیاز آن (جدول ۴-۱۱) و سپس وزن هر یک از نُه مؤلفه از وزن گویه‌های آن (جدول ۴-۱۲) به دست آمد.</w:t>
      </w:r>
      <w:r>
        <w:rPr>
          <w:rtl/>
        </w:rPr>
        <w:t xml:space="preserve"> بیشترین وزن گویه (۰٫۰۴۲۴) به دو گویه «ورود رقبای جدید و افزایش شدت رقابت» و «افزایش بهای تمام‌شده و فشار بر حاشیه سود» و بیشترین وزن مؤلفه (۰٫۱۲۲) به «فشارهای اقتصاد کلان و کاهش قدرت خرید» تعلق گرفت؛ هر چهار مؤلفه برون‌سازمانی در پنج رتبه نخست جای گرفتند.</w:t>
      </w:r>
      <w:r>
        <w:rPr>
          <w:rtl/>
        </w:rPr>
        <w:t xml:space="preserve"> برای سنجش استواری، همین سلسله‌مراتب با ماتریس‌های مقایسه زوجی برآوردی از امتیازهای دور سوم، و نه با پاسخ مستقیم اعضا، نیز وزن شد (جدول‌های ۴-۱۳ تا ۴-۱۶): ترتیب نُه مؤلفه عیناً همان بود (</w:t>
      </w:r>
      <w:r>
        <w:rPr>
          <w:rFonts w:ascii="Times New Roman" w:hAnsi="Times New Roman" w:cs="Times New Roman" w:eastAsia="Times New Roman"/>
          <w:i/>
          <w:iCs/>
          <w:sz w:val="26"/>
          <w:szCs w:val="26"/>
        </w:rPr>
        <w:t xml:space="preserve">rho</w:t>
      </w:r>
      <w:r>
        <w:rPr>
          <w:rtl/>
        </w:rPr>
        <w:t xml:space="preserve">=۱٫۰۰۰)، سه گویه برتر و چهار گویه پایانی تغییر نکردند و همبستگی رتبه‌ای گویه‌ها ۰٫۸۶۴ بود. جدول ۴-۱۷ وزن هر مؤلفه و وزن گویه‌های آن را یکجا نشان می‌دهد.</w:t>
      </w:r>
    </w:p>
    <w:p>
      <w:pPr>
        <w:pStyle w:val="TableCaption"/>
        <w:keepNext/>
        <w:spacing w:before="160" w:after="80"/>
        <w:jc w:val="center"/>
        <w:rPr>
          <w:vanish/>
        </w:rPr>
      </w:pPr>
      <w:bookmarkStart w:id="79" w:name="_Toc200000079"/>
      <w:r>
        <w:fldChar w:fldCharType="begin"/>
      </w:r>
      <w:r>
        <w:instrText xml:space="preserve"> TC "جدول ۴-۱۷ خلاصه وزن مؤلفه‌ها و گویه‌های چالش فروش" \f T \l 4 </w:instrText>
      </w:r>
      <w:r>
        <w:fldChar w:fldCharType="end"/>
      </w:r>
      <w:r>
        <w:t xml:space="preserve">جدول ۴-۱۷ خلاصه وزن مؤلفه‌ها و گویه‌های چالش فروش (منبع: یافته‌های پژوهش)</w:t>
      </w:r>
      <w:bookmarkEnd w:id="79"/>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50"/>
        <w:gridCol w:w="850"/>
        <w:gridCol w:w="3500"/>
        <w:gridCol w:w="900"/>
        <w:gridCol w:w="888"/>
      </w:tblGrid>
      <w:tr>
        <w:trPr>
          <w:cantSplit/>
          <w:tblHeader/>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 (رتبه)</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گویه</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۱) فشارهای اقتصاد کلان و کاهش قدرت خرید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 تغییر ذائقه مصرف‌کننده و محدودیت بازار هدف</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۳) شدت رقابت و فشار قیمتی بازار</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۴) آسیب‌پذیری ساختاری ناشی از تمرکز بر محصول واحد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۵) ناپایداری تأمین و نوسان بهای مواد اولیه</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۶) ناکارآمدی و هزینه‌بری شبکه توزیع و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۰٫۱۱۱</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۷) دشواری جذب و حفظ مشتری و وفاداری پایین</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۸) ضعف در برنامه‌ریزی، پیش‌بینی و مدیریت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۹) ضعف برندسازی و دشواری تمایز محصول</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۰٫۰۹۶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۲۹ 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pPr>
        <w:bidi/>
        <w:jc w:val="both"/>
      </w:pPr>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0" w:name="_Toc200000080"/>
            <w:r>
              <w:rPr>
                <w:rtl/>
              </w:rPr>
              <w:t xml:space="preserve">فصل پنجم: بحث و نتیجه‌گیری</w:t>
            </w:r>
            <w:bookmarkEnd w:id="80"/>
          </w:p>
        </w:tc>
      </w:tr>
    </w:tbl>
    <w:p>
      <w:pPr>
        <w:pStyle w:val="Heading2"/>
        <w:keepNext/>
        <w:pageBreakBefore/>
        <w:bidi/>
        <w:spacing w:before="240" w:after="80"/>
      </w:pPr>
      <w:bookmarkStart w:id="81" w:name="_Toc200000081"/>
      <w:r>
        <w:t>۵ـ۱ مقدمه</w:t>
      </w:r>
      <w:bookmarkEnd w:id="81"/>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82" w:name="_Toc200000082"/>
      <w:r>
        <w:t>۵ـ۲ مروری بر خلاصه تحقیق</w:t>
      </w:r>
      <w:bookmarkEnd w:id="82"/>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w:t>
      </w:r>
      <w:r>
        <w:rPr>
          <w:rtl/>
        </w:rPr>
        <w:t xml:space="preserve"> پانل پژوهش را هفت خبره تشکیل می‌دادند، شامل یک عضو هیئت علمی، دو مدیر فروش، سه کارشناس فروش و یک مدیر برنامه‌ریزی تولید، که به روش نمونه‌گیری هدفمند قضاوتی انتخاب شدند.</w:t>
      </w:r>
      <w:r>
        <w:rPr>
          <w:rtl/>
        </w:rPr>
        <w:t xml:space="preserve"> فرایند دلفی در سه دور اجرا شد.</w:t>
      </w:r>
      <w:r>
        <w:rPr>
          <w:rtl/>
        </w:rPr>
        <w:t xml:space="preserve"> در دور نخست، از اعضا پرسشی باز درباره چالش‌های فروش بنگاه تک‌محصولی پرسیده شد.</w:t>
      </w:r>
      <w:r>
        <w:rPr>
          <w:rtl/>
        </w:rPr>
        <w:t xml:space="preserve"> در دور دوم و سوم، هر عضو اهمیت گویه‌های برآمده از دور نخست را بر طیفی پنج‌درجه‌ای امتیاز داد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پس از ترکیب با چالش‌های برگرفته از ادبیات، به بیست‌ونه گویه انجامید.</w:t>
      </w:r>
      <w:r>
        <w:rPr>
          <w:rtl/>
        </w:rPr>
        <w:t xml:space="preserve"> وزن‌دهی نهایی با روش </w:t>
      </w:r>
      <w:r>
        <w:rPr>
          <w:rFonts w:ascii="Times New Roman" w:hAnsi="Times New Roman" w:cs="Times New Roman" w:eastAsia="Times New Roman"/>
          <w:sz w:val="26"/>
          <w:szCs w:val="26"/>
        </w:rPr>
        <w:t xml:space="preserve">AHP</w:t>
      </w:r>
      <w:r>
        <w:rPr>
          <w:rtl/>
        </w:rPr>
        <w:t xml:space="preserve">، بدون محاسبه‌ی مقایسه‌های زوجی، به ترتیب زیر انجام شد: پرسشنامه دور سوم میان اعضای پانل توزیع شد و وزن هر گویه از میانگین امتیاز آن به دست آمد؛ سپس گویه‌ها در نُه مؤلفه (پنج مؤلفه درون‌سازمانی با هجده گویه و چهار مؤلفه برون‌سازمانی با یازده گویه) سازمان یافتند و وزن هر مؤلفه از وزن گویه‌های آن محاسبه شد. برای سنجش استواری، همین سلسله‌مراتب با ماتریس‌های مقایسه زوجی برآوردی از امتیازهای دور سوم نیز وزن شد.</w:t>
      </w:r>
    </w:p>
    <w:p>
      <w:pPr>
        <w:bidi/>
        <w:spacing w:after="80"/>
        <w:ind w:firstLine="720"/>
        <w:jc w:val="both"/>
      </w:pPr>
      <w:r>
        <w:rPr>
          <w:rtl/>
        </w:rPr>
        <w:t xml:space="preserve">ضریب هماهنگی کندال از ۰٫۲۲۴ در دور دوم، که توافقی ضعیف را نشان می‌داد، به ۰٫۷۵۶ در دور سوم، که توافقی قوی است، رسید و در هر دو دور از نظر آماری معنادار بود.</w:t>
      </w:r>
      <w:r>
        <w:rPr>
          <w:rtl/>
        </w:rPr>
        <w:t xml:space="preserve"> میانگین انحراف معیار گویه‌ها نیز از ۰٫۷۳ به ۰٫۱۷ کاهش یافت.</w:t>
      </w:r>
      <w:r>
        <w:rPr>
          <w:rtl/>
        </w:rPr>
        <w:t xml:space="preserve"> ضریب همبستگی رتبه‌ای اسپیرمن میان دو دور پایانی ۰٫۸۴۷ به دست آمد.</w:t>
      </w:r>
      <w:r>
        <w:rPr>
          <w:rtl/>
        </w:rPr>
        <w:t xml:space="preserve"> بر این پایه، توافق معنادار اعضای پانل در دور نهایی تأیید شد و رتبه‌بندی میان دور دوم و سوم به ثبات رسیده بود.</w:t>
      </w:r>
    </w:p>
    <w:p>
      <w:pPr>
        <w:bidi/>
        <w:spacing w:after="80"/>
        <w:ind w:firstLine="720"/>
        <w:jc w:val="both"/>
      </w:pPr>
      <w:r>
        <w:rPr>
          <w:rtl/>
        </w:rPr>
        <w:t xml:space="preserve">در وزن‌دهی نهایی، در سطح گویه، «ورود رقبای جدید و افزایش شدت رقابت» و «افزایش بهای تمام‌شده و فشار بر حاشیه سود» هر دو با میانگین ۵٫۰۰ و وزن ۰٫۰۴۲۴ در صدر جای گرفتند. در سطح مؤلفه، «فشارهای اقتصاد کلان و کاهش قدرت خرید» با وزن ۰٫۱۲۲ در رتبه نخست قرار گرفت و مؤلفه‌های «تغییر ذائقه مصرف‌کننده و محدودیت بازار هدف» (۰٫۱۲۰) و «شدت رقابت و فشار قیمتی بازار» (۰٫۱۱۷) در رتبه‌های دوم و سوم ایستادند. هر چهار مؤلفه برون‌سازمانی در پنج رتبه نخست بودند. این دو فهرست وزن‌دار، مبنای بحث این فصل‌اند.</w:t>
      </w:r>
    </w:p>
    <w:p>
      <w:pPr>
        <w:pStyle w:val="Heading2"/>
        <w:keepNext/>
        <w:bidi/>
        <w:spacing w:before="240" w:after="80"/>
      </w:pPr>
      <w:bookmarkStart w:id="83" w:name="_Toc200000083"/>
      <w:r>
        <w:t>۵ـ۳ بحث و نتیجه‌گیری</w:t>
      </w:r>
      <w:bookmarkEnd w:id="83"/>
    </w:p>
    <w:p>
      <w:pPr>
        <w:bidi/>
        <w:spacing w:after="80"/>
        <w:ind w:firstLine="720"/>
        <w:jc w:val="both"/>
      </w:pPr>
      <w:r>
        <w:rPr>
          <w:rtl/>
        </w:rPr>
        <w:t xml:space="preserve">در این بخش، یافته‌های فصل چهارم بر پایه دو پرسش پژوهش تفسیر می‌شود.</w:t>
      </w:r>
      <w:r>
        <w:rPr>
          <w:rtl/>
        </w:rPr>
        <w:t xml:space="preserve"> پرسش نخست درباره ماهیت چالش‌هاست و پاسخ آن در برابر فهرست چالش‌های برگرفته از ادبیات (جدول ۲-۱) سنجیده می‌شود.</w:t>
      </w:r>
      <w:r>
        <w:rPr>
          <w:rtl/>
        </w:rPr>
        <w:t xml:space="preserve"> پرسش دوم درباره اولویت چالش‌هاست و با تکیه بر وزن‌های </w:t>
      </w:r>
      <w:r>
        <w:rPr>
          <w:rFonts w:ascii="Times New Roman" w:hAnsi="Times New Roman" w:cs="Times New Roman" w:eastAsia="Times New Roman"/>
          <w:sz w:val="26"/>
          <w:szCs w:val="26"/>
        </w:rPr>
        <w:t xml:space="preserve">AHP</w:t>
      </w:r>
      <w:r>
        <w:rPr>
          <w:rtl/>
        </w:rPr>
        <w:t xml:space="preserve"> گویه‌ها و مؤلفه‌ها و شاخص‌های ثبات اجماع بحث می‌شود.</w:t>
      </w:r>
    </w:p>
    <w:p>
      <w:pPr>
        <w:pStyle w:val="Heading3"/>
        <w:keepNext/>
        <w:bidi/>
        <w:spacing w:before="180" w:after="80"/>
      </w:pPr>
      <w:bookmarkStart w:id="84" w:name="_Toc200000084"/>
      <w:r>
        <w:t>۵ـ۳ـ۱ بحث و نتیجه‌گیری درباره پرسش اول پژوهش</w:t>
      </w:r>
      <w:bookmarkEnd w:id="84"/>
    </w:p>
    <w:p>
      <w:pPr>
        <w:bidi/>
        <w:spacing w:after="80"/>
        <w:ind w:firstLine="720"/>
        <w:jc w:val="both"/>
      </w:pPr>
      <w:r>
        <w:rPr>
          <w:rtl/>
        </w:rPr>
        <w:t xml:space="preserve">پرسش نخست پژوهش این بود که چالش‌های فروش در شرکت‌های تک‌محصولی فعال در صنعت مواد غذایی کدام‌اند.</w:t>
      </w:r>
      <w:r>
        <w:rPr>
          <w:rtl/>
        </w:rPr>
        <w:t xml:space="preserve"> پاسخ فصل چهارم، فهرستی از بیست‌ونه گویه بود (جدول ۴-۶) که در سلسله‌مراتب </w:t>
      </w:r>
      <w:r>
        <w:rPr>
          <w:rFonts w:ascii="Times New Roman" w:hAnsi="Times New Roman" w:cs="Times New Roman" w:eastAsia="Times New Roman"/>
          <w:sz w:val="26"/>
          <w:szCs w:val="26"/>
        </w:rPr>
        <w:t xml:space="preserve">AHP</w:t>
      </w:r>
      <w:r>
        <w:rPr>
          <w:rtl/>
        </w:rPr>
        <w:t xml:space="preserve"> در نُه مؤلفه سازمان یافت (جدول ۴-۱۲).</w:t>
      </w:r>
      <w:r>
        <w:rPr>
          <w:rtl/>
        </w:rPr>
        <w:t xml:space="preserve"> برای روشن‌شدن جایگاه این فهرست، آن با دوازده عامل برگرفته از ادبیات در جدول ۲-۱ مقایسه می‌شود؛ مقایسه‌ای که در بخش ۲-۴-۱ برای این فصل پیش‌بینی شده بود.</w:t>
      </w:r>
      <w:r>
        <w:rPr>
          <w:rtl/>
        </w:rPr>
        <w:t xml:space="preserve">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1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w:t>
      </w:r>
      <w:r>
        <w:rPr>
          <w:rtl/>
        </w:rPr>
        <w:t xml:space="preserve"> نخست، فشارهای اقتصاد کلان، یعنی افزایش بهای تمام‌شده و فشار بر حاشیه سود و نیز کاهش قدرت خرید و مشکلات اقتصادی مصرف‌کننده.</w:t>
      </w:r>
      <w:r>
        <w:rPr>
          <w:rtl/>
        </w:rPr>
        <w:t xml:space="preserve"> مبانی نظری فصل دوم نوسانات اقتصاد کلان را در شمار عوامل محیطی آورده بود،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w:t>
      </w:r>
      <w:r>
        <w:rPr>
          <w:rtl/>
        </w:rPr>
        <w:t xml:space="preserve"> دوم، گویه‌هایی که به نظر می‌رسد پیامد مستقیم ساختار تک‌محصولی‌اند: محدود بودن بازار هدف به یک گروه خاص از مشتریان و افت ناگهانی تقاضا؛ تغییر سریع ذائقه و ترجیحات مصرف‌کننده نیز در جدول ۲-۱ همتای روشن ندارد.</w:t>
      </w:r>
      <w:r>
        <w:rPr>
          <w:rtl/>
        </w:rPr>
        <w:t xml:space="preserve"> سوم، دشواری جذب و حفظ مشتری، یعنی جذب مشتری جدید، وفاداری پایین و نبود پیشنهاد تازه برای حفظ و فعال‌سازی مجدد مشتریان فعلی؛ سازوکاری که در آن، نداشتن سبد محصول ابزار نگهداشت مشتری را نیز محدود می‌کند. چهارم، کم‌توجهی به تحقیقات بازار و مطالعه رفتار مصرف‌کننده، که از نظر موضوعی با شکاف نگرش و رفتار خرید مرتبط است، در جدول ۲-۱ همتای روشن ندارد.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17"/>
      </w:r>
      <w:r>
        <w:rPr>
          <w:rtl/>
        </w:rPr>
        <w:t xml:space="preserve">، محدودیت دانش و مهارت منابع انسانی، از جمله کمبود نیروی فروش ماهر (تانئو و همکاران، ۲۰۲۲)</w:t>
      </w:r>
      <w:r>
        <w:rPr>
          <w:rStyle w:val="FootnoteReference"/>
        </w:rPr>
        <w:footnoteReference w:id="118"/>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85" w:name="_Toc200000085"/>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8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1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2"/>
            </w:r>
            <w:r>
              <w:rPr>
                <w:sz w:val="22"/>
                <w:szCs w:val="22"/>
                <w:rtl/>
              </w:rPr>
              <w:t xml:space="preserve">؛ پانگارکار و پرابهوداسای (۲۰۲۴) درباره قدرت چانه‌زنی خریدار</w:t>
            </w:r>
            <w:r>
              <w:rPr>
                <w:rStyle w:val="FootnoteReference"/>
              </w:rPr>
              <w:footnoteReference w:id="12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6" w:name="_Toc200000086"/>
      <w:r>
        <w:t>۵ـ۳ـ۲ بحث و نتیجه‌گیری درباره پرسش دوم پژوهش</w:t>
      </w:r>
      <w:bookmarkEnd w:id="86"/>
    </w:p>
    <w:p>
      <w:pPr>
        <w:bidi/>
        <w:spacing w:after="80"/>
        <w:ind w:firstLine="720"/>
        <w:jc w:val="both"/>
      </w:pPr>
      <w:r>
        <w:rPr>
          <w:rtl/>
        </w:rPr>
        <w:t xml:space="preserve">پرسش دوم پژوهش اولویت چالش‌های فروش را می‌پرسید و پاسخ فصل چهارم وزن‌دهی به روش </w:t>
      </w:r>
      <w:r>
        <w:rPr>
          <w:rFonts w:ascii="Times New Roman" w:hAnsi="Times New Roman" w:cs="Times New Roman" w:eastAsia="Times New Roman"/>
          <w:sz w:val="26"/>
          <w:szCs w:val="26"/>
        </w:rPr>
        <w:t xml:space="preserve">AHP</w:t>
      </w:r>
      <w:r>
        <w:rPr>
          <w:rtl/>
        </w:rPr>
        <w:t xml:space="preserve"> است که به ترتیب زیر انجام شد: پرسشنامه دور سوم، با ۲۹ گویه، میان هر هفت عضو پانل توزیع شد؛ وزن هر گویه از میانگین امتیاز آن به دست آمد (جدول ۴-۱۱)؛ سپس گویه‌ها در نُه مؤلفه سازمان یافتند و وزن هر مؤلفه از وزن گویه‌های آن محاسبه شد (جدول ۴-۱۲)؛ و جدول ۴-۱۷ وزن مؤلفه‌ها و گویه‌های هر مؤلفه را یکجا نشان می‌دهد.</w:t>
      </w:r>
      <w:r>
        <w:rPr>
          <w:rtl/>
        </w:rPr>
        <w:t xml:space="preserve"> بحث درباره این وزن‌ها نخست در سطح گویه‌ها و سپس در سطح مؤلفه‌ها انجام می‌شود و در پایان استواری آن‌ها نسبت به شیوه وزن‌دهی بررسی می‌شود.</w:t>
      </w:r>
    </w:p>
    <w:p>
      <w:pPr>
        <w:bidi/>
        <w:spacing w:after="80"/>
        <w:ind w:firstLine="720"/>
        <w:jc w:val="both"/>
      </w:pPr>
      <w:r>
        <w:rPr>
          <w:rtl/>
        </w:rPr>
        <w:t xml:space="preserve">نخستین نکته درخور بحث آن است که همه چالش‌ها اهمیت بالایی دارند: میانگین هیچ گویه‌ای کمتر از ۳٫۱۴ و میانگین هیچ مؤلفه‌ای کمتر از ۳٫۵۷ نیست، در حالی که نقطه میانی طیف ۳ است. به بیان دیگر، پانل هیچ‌یک از چالش‌های فهرست را کم‌اهمیت ندانسته و وزن‌دهی، چالش‌های مهم را از مهم‌تر جدا می‌کند.</w:t>
      </w:r>
    </w:p>
    <w:p>
      <w:pPr>
        <w:bidi/>
        <w:spacing w:after="80"/>
        <w:ind w:firstLine="720"/>
        <w:jc w:val="both"/>
      </w:pPr>
      <w:r>
        <w:rPr>
          <w:rtl/>
        </w:rPr>
        <w:t xml:space="preserve">نکته دوم، وزن گویه‌ها: وزن هر گویه از میانگین امتیاز آن در پرسشنامه دور سوم به دست آمد (جدول ۴-۱۱). بیشترین وزن (۰٫۰۴۲۴) به دو گویه «ورود رقبای جدید و افزایش شدت رقابت» و «افزایش بهای تمام‌شده و فشار بر حاشیه سود» تعلق دارد؛ پس از آن‌ها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قرار دارند. در پایین جدول، سه گویه «نبود نوآوری و توسعه محصول»، «کم‌توجهی به تحقیقات بازار و مطالعه رفتار مصرف‌کننده» و «ضعف در نظام برنامه‌ریزی و اطلاعات فروش» با وزن ۰٫۰۲۶۶ ایستاده‌اند. هفده گویه میانگین یکسان ۴٫۰۰ و در نتیجه وزن یکسان ۰٫۰۳۳۹ دارند و وزن‌دهی میان آن‌ها تمایزی ایجاد نمی‌کند؛ از این رو بالا و پایین جدول گویه‌ها آگاهی‌بخش‌تر از میانه آن است.</w:t>
      </w:r>
    </w:p>
    <w:p>
      <w:pPr>
        <w:bidi/>
        <w:spacing w:after="80"/>
        <w:ind w:firstLine="720"/>
        <w:jc w:val="both"/>
      </w:pPr>
      <w:r>
        <w:rPr>
          <w:rtl/>
        </w:rPr>
        <w:t xml:space="preserve">نکته سوم، وزن مؤلفه‌ها و ساختار پلکانی آن‌ها: وزن هر مؤلفه از وزن گویه‌های آن محاسبه شد (جدول ۴-۱۲) و وزن‌ها در سه دسته جای می‌گیرند. چهار مؤلفه نخست با اختلافی اندک از هم قرار دارند: فشارهای اقتصاد کلان (۰٫۱۲۲)، تغییر ذائقه و محدودیت بازار هدف (۰٫۱۲۰)، شدت رقابت و فشار قیمتی (۰٫۱۱۷) و آسیب‌پذیری ساختاری (۰٫۱۱۶). پس از آن‌ها ناپایداری تأمین (۰٫۱۱۳) و ناکارآمدی توزیع (۰٫۱۱۱) می‌آیند، و در پایین جدول، دشواری جذب و حفظ مشتری (۰٫۱۰۳)، ضعف برنامه‌ریزی و پیش‌بینی (۰٫۱۰۲) و ضعف برندسازی (۰٫۰۹۶) ایستاده‌اند. فاصله میان بالاترین و پایین‌ترین وزن مؤلفه‌ها اندک است (۰٫۱۲۲ در برابر ۰٫۰۹۶)؛ از این رو وزن‌دهی در تفکیک این سه دسته اطمینان بیشتری دارد تا در ترتیب دقیق مؤلفه‌های مجاور.</w:t>
      </w:r>
    </w:p>
    <w:p>
      <w:pPr>
        <w:bidi/>
        <w:spacing w:after="80"/>
        <w:ind w:firstLine="720"/>
        <w:jc w:val="both"/>
      </w:pPr>
      <w:r>
        <w:rPr>
          <w:rtl/>
        </w:rPr>
        <w:t xml:space="preserve">نکته چهارم، برتری چالش‌های برون‌سازمانی است؛ الگویی که فصل چهارم تفسیر آن را به این فصل واگذاشت.</w:t>
      </w:r>
      <w:r>
        <w:rPr>
          <w:rtl/>
        </w:rPr>
        <w:t xml:space="preserve"> هر چهار مؤلفه برون‌سازمانی در پنج رتبه نخست‌اند و میانگین آن‌ها (۴٫۳۶) از میانگین پنج مؤلفه درون‌سازمانی (۳٫۹۱) بیشتر است.</w:t>
      </w:r>
      <w:r>
        <w:rPr>
          <w:rtl/>
        </w:rPr>
        <w:t xml:space="preserve"> در سطح گویه نیز هر پنج گویه‌ای که میانگین آن‌ها دست‌کم ۴٫۵۷ است برون‌سازمانی‌اند و هر چهار گویه‌ای که میانگین آن‌ها کمتر از ۳٫۵ است درون‌سازمانی.</w:t>
      </w:r>
      <w:r>
        <w:rPr>
          <w:rtl/>
        </w:rPr>
        <w:t xml:space="preserve"> این الگو دست‌کم دو پشتوانه دارد.</w:t>
      </w:r>
      <w:r>
        <w:rPr>
          <w:rtl/>
        </w:rPr>
        <w:t xml:space="preserve">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w:t>
      </w:r>
      <w:r>
        <w:rPr>
          <w:rtl/>
        </w:rPr>
        <w:t xml:space="preserve"> دوم، ادبیات: میکلیان و هولشر (۲۰۲۲)</w:t>
      </w:r>
      <w:r>
        <w:rPr>
          <w:rStyle w:val="FootnoteReference"/>
        </w:rPr>
        <w:footnoteReference w:id="125"/>
      </w:r>
      <w:r>
        <w:rPr>
          <w:rtl/>
        </w:rPr>
        <w:t xml:space="preserve"> 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2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w:t>
      </w:r>
      <w:r>
        <w:rPr>
          <w:rtl/>
        </w:rPr>
        <w:t xml:space="preserve">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پنجم، جایگاه مؤلفه آسیب‌پذیری ساختاری است که مفهوم محوری این پژوهش است.</w:t>
      </w:r>
      <w:r>
        <w:rPr>
          <w:rtl/>
        </w:rPr>
        <w:t xml:space="preserve"> این مؤلفه در رتبه چهارم (وزن ۰٫۱۱۶؛ میانگین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w:t>
      </w:r>
      <w:r>
        <w:rPr>
          <w:rtl/>
        </w:rPr>
        <w:t xml:space="preserve"> بنابراین پانل ریسک تمرکز را مهم می‌داند، اما فوری‌ترین چالش‌ها را تکانه‌های بیرونی می‌شمارد.</w:t>
      </w:r>
      <w:r>
        <w:rPr>
          <w:rtl/>
        </w:rPr>
        <w:t xml:space="preserve"> این دو یافته مکمل یکدیگرند و با استدلال بخش ۱-۲ همخوان‌اند: فشار محیطی ضعف را آشکار می‌کند و ساختار متمرکز آن را تشدید می‌نماید.</w:t>
      </w:r>
      <w:r>
        <w:rPr>
          <w:rtl/>
        </w:rPr>
        <w:t xml:space="preserve"> به بیان دیگر، تک‌محصولی بودن در نگاه پانل بیش از آنکه خود مهم‌ترین چالش باشد، سازوکاری است که تکانه‌های بیرونی را بی‌واسطه به کل بنگاه منتقل می‌کند.</w:t>
      </w:r>
      <w:r>
        <w:rPr>
          <w:rtl/>
        </w:rPr>
        <w:t xml:space="preserve">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ششم، فاصله اولویت‌های پانل با اولویت‌های برخی مطالعات پیشین است.</w:t>
      </w:r>
      <w:r>
        <w:rPr>
          <w:rtl/>
        </w:rPr>
        <w:t xml:space="preserve">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w:t>
      </w:r>
      <w:r>
        <w:rPr>
          <w:rtl/>
        </w:rPr>
        <w:t xml:space="preserve"> این فاصله را نباید ساده به تناقض تعبیر کرد: واحد تحلیل متفاوت است.</w:t>
      </w:r>
      <w:r>
        <w:rPr>
          <w:rtl/>
        </w:rPr>
        <w:t xml:space="preserve">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w:t>
      </w:r>
      <w:r>
        <w:rPr>
          <w:rtl/>
        </w:rPr>
        <w:t xml:space="preserve">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هفتم، جایگاه پایین چالش‌هایی است که ادبیات برای آن‌ها اهمیت قائل است.</w:t>
      </w:r>
      <w:r>
        <w:rPr>
          <w:rtl/>
        </w:rPr>
        <w:t xml:space="preserve"> مؤلفه ضعف برندسازی و دشواری تمایز محصول، که توماران و همکاران (۲۰۲۲)</w:t>
      </w:r>
      <w:r>
        <w:rPr>
          <w:rStyle w:val="FootnoteReference"/>
        </w:rPr>
        <w:footnoteReference w:id="127"/>
      </w:r>
      <w:r>
        <w:rPr>
          <w:rtl/>
        </w:rPr>
        <w:t xml:space="preserve"> مزیت تمایز را با نوآوری، پیش‌قدمی و ریسک‌پذیری کارآفرینانه پیوند می‌دهند و صفری و اسماعیل‌نژاد (۱۴۰۳) ضعف برندسازی را دومین مانع فروش محصولات سبز یافته‌اند، پایین‌ترین رتبه (وزن ۰٫۰۹۶؛ میانگین ۳٫۵۷) را گرفته است؛ و دو گویه «نبود نوآوری و توسعه محصول» و «کم‌توجهی به تحقیقات بازار و مطالعه رفتار مصرف‌کننده»، همراه با گویه «ضعف در نظام برنامه‌ریزی و اطلاعات فروش»، با میانگین ۳٫۱۴ (وزن ۰٫۰۲۶۶) در پایین‌ترین رتبه گویه‌ها هستند.</w:t>
      </w:r>
      <w:r>
        <w:rPr>
          <w:rtl/>
        </w:rPr>
        <w:t xml:space="preserve"> دخیخ و النجری (۲۰۲۶)</w:t>
      </w:r>
      <w:r>
        <w:rPr>
          <w:rStyle w:val="FootnoteReference"/>
        </w:rPr>
        <w:footnoteReference w:id="128"/>
      </w:r>
      <w:r>
        <w:rPr>
          <w:rtl/>
        </w:rPr>
        <w:t xml:space="preserve"> نوآوری را میانجی رابطه قابلیت‌های پویا با مزیت رقابتی پایدار یافته‌اند؛ بر این پایه، ضعف ظرفیت نوآوری می‌تواند در بلندمدت به افت مزیت رقابتی بینجامد؛ پانل اما چنین چالش‌های توانمندی بلندمدت را در کنار فشارهای جاری فروش کم‌فوریت‌تر ارزیابی کرده است.</w:t>
      </w:r>
      <w:r>
        <w:rPr>
          <w:rtl/>
        </w:rPr>
        <w:t xml:space="preserve">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هشتم، استواری اولویت‌بندی نسبت به شیوه وزن‌دهی است. وزن‌دهی اصلی مستقیماً از میانگین امتیازها به دست آمد، در حالی که در </w:t>
      </w:r>
      <w:r>
        <w:rPr>
          <w:rFonts w:ascii="Times New Roman" w:hAnsi="Times New Roman" w:cs="Times New Roman" w:eastAsia="Times New Roman"/>
          <w:sz w:val="26"/>
          <w:szCs w:val="26"/>
        </w:rPr>
        <w:t xml:space="preserve">AHP</w:t>
      </w:r>
      <w:r>
        <w:rPr>
          <w:rtl/>
        </w:rPr>
        <w:t xml:space="preserve"> وزن‌ها معمولاً از مقایسه‌های زوجی ساخته می‌شوند. ماتریس‌های مقایسه زوجی برآوردی از امتیازهای دور سوم (بخش ۴-۶-۳) همان اولویت را بازتولید کردند: ترتیب نُه مؤلفه عیناً یکی بود، سه گویه برتر و چهار گویه پایانی تغییر نکردند و همبستگی رتبه‌ای گویه‌ها ۰٫۸۶۴ بود. این همسویی را نباید دو شاهد مستقل شمرد: هر دو شیوه از یک مجموعه امتیاز ساخته شده‌اند و ماتریس‌های برآوردی اطلاعاتی فراتر از آن‌ها ندارند؛ آنچه نشان داده می‌شود این است که نتیجه به انتخاب میان دو راه تبدیل امتیاز به وزن وابسته نیست. همین ماهیت، نرخ ناسازگاری ناچیز این ماتریس‌ها (۰٫۰۰۸۵ تا ۰٫۰۱۲۸ برای مؤلفه‌ها و صفر درون مؤلفه‌ها) را نیز توضیح می‌دهد: این نرخ‌ها سازگاری قاعده تبدیل را نشان می‌دهند، نه سازگاری قضاوت خبرگان. سنجش این سازگاری مستلزم پاسخ مستقیم اعضا به مقایسه‌های زوجی است (بخش ۵-۶). تفاوت وزن گویه‌ها میان دو شیوه، به‌ویژه در میانه جدول، بیشتر از ساختار سلسله‌مراتبی برمی‌خیزد، که سهم هر گویه را به شمار گویه‌های مؤلفه‌اش وابسته می‌کند، و نه از قضاوت درباره خود گویه‌ها.</w:t>
      </w:r>
    </w:p>
    <w:p>
      <w:pPr>
        <w:bidi/>
        <w:spacing w:after="80"/>
        <w:ind w:firstLine="720"/>
        <w:jc w:val="both"/>
      </w:pPr>
      <w:r>
        <w:rPr>
          <w:rtl/>
        </w:rPr>
        <w:t xml:space="preserve">نکته پایانی به اعتبار وزن‌دهی و ثبات اجماع مربوط می‌شود.</w:t>
      </w:r>
      <w:r>
        <w:rPr>
          <w:rtl/>
        </w:rPr>
        <w:t xml:space="preserve"> ضریب هماهنگی کندال از ۰٫۲۲۴ در دور دوم (توافق ضعیف؛ سطح معناداری ۰٫۰۲۸۶) به ۰٫۷۵۶ در دور سوم (توافق قوی؛ سطح معناداری کمتر از ۰٫۰۰۰۱) رسید و میانگین انحراف معیار گویه‌ها از ۰٫۷۳ به ۰٫۱۷ کاهش یافت؛ بنابراین توافق معنادار میان اعضای پانل در دور نهایی تأیید می‌شود.</w:t>
      </w:r>
      <w:r>
        <w:rPr>
          <w:rtl/>
        </w:rPr>
        <w:t xml:space="preserve"> ضریب اسپیرمن میان دور دوم و سوم (۰٫۸۴۷، معنادار) ثبات ترتیب گویه‌ها میان دو دور پایانی را نشان می‌دهد.</w:t>
      </w:r>
      <w:r>
        <w:rPr>
          <w:rtl/>
        </w:rPr>
        <w:t xml:space="preserve"> ناشناس‌ماندن پاسخ‌ها و بازخورد کنترل‌شده از ویژگی‌های بنیادین روش دلفی‌اند (ناسا و همکاران، ۲۰۲۱)</w:t>
      </w:r>
      <w:r>
        <w:rPr>
          <w:rStyle w:val="FootnoteReference"/>
        </w:rPr>
        <w:footnoteReference w:id="129"/>
      </w:r>
      <w:r>
        <w:rPr>
          <w:rtl/>
        </w:rPr>
        <w:t xml:space="preserve"> و نزدیک‌شدن دیدگاه‌ها پس از بازخورد، الگوی مورد انتظار این روش است؛ ضریب کندال نیز، که در دلفی‌های مبتنی بر رتبه‌بندی برای سنجش توافق به کار می‌رود (اشمیت، ۱۹۹۷)</w:t>
      </w:r>
      <w:r>
        <w:rPr>
          <w:rStyle w:val="FootnoteReference"/>
        </w:rPr>
        <w:footnoteReference w:id="130"/>
      </w:r>
      <w:r>
        <w:rPr>
          <w:rtl/>
        </w:rPr>
        <w:t xml:space="preserve">، معناداری آماری این توافق را می‌سنجد.</w:t>
      </w:r>
      <w:r>
        <w:rPr>
          <w:rtl/>
        </w:rPr>
        <w:t xml:space="preserve"> با این حال دو احتیاط لازم است.</w:t>
      </w:r>
      <w:r>
        <w:rPr>
          <w:rtl/>
        </w:rPr>
        <w:t xml:space="preserve">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w:t>
      </w:r>
      <w:r>
        <w:rPr>
          <w:rtl/>
        </w:rPr>
        <w:t xml:space="preserve"> دوم، هفده گویه میانگین یکسان ۴٫۰۰ دارند و میان آن‌ها تمایز رتبه‌ای وجود ندارد؛ بنابراین وزن‌دهی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پس از توزیع پرسشنامه دور سوم، وزن هر یک از ۲۹ گویه و سپس وزن هر یک از نُه مؤلفه محاسبه شد.</w:t>
      </w:r>
      <w:r>
        <w:rPr>
          <w:rtl/>
        </w:rPr>
        <w:t xml:space="preserve"> در سطح گویه، «ورود رقبای جدید و افزایش شدت رقابت» و «افزایش بهای تمام‌شده و فشار بر حاشیه سود» با وزن ۰٫۰۴۲۴ در صدرند.</w:t>
      </w:r>
      <w:r>
        <w:rPr>
          <w:rtl/>
        </w:rPr>
        <w:t xml:space="preserve"> در سطح مؤلفه، اولویت‌های فروش بنگاه تک‌محصولی در صنعت مواد غذایی ایران در سه دسته جای می‌گیرد: در صدر، چهار مؤلفه با اختلاف اندک، یعنی فشارهای اقتصاد کلان، تغییر ذائقه و محدودیت بازار هدف، شدت رقابت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w:t>
      </w:r>
      <w:r>
        <w:rPr>
          <w:rtl/>
        </w:rPr>
        <w:t xml:space="preserve"> به این ترتیب، تکانه‌های بیرونی که هر بنگاهی با آن‌ها روبه‌روست، در بنگاه تک‌محصولی به دلیل نبود سازوکار جبران درونی، فوری‌ترین چالش‌های فروش شمرده می‌شوند.</w:t>
      </w:r>
      <w:r>
        <w:rPr>
          <w:rtl/>
        </w:rPr>
        <w:t xml:space="preserve"> اعتبار این وزن‌دهی با توافق معنادار و ثبات آماری دور سوم پشتیبانی می‌شود، هرچند میان هفده گویه هم‌وزن تمایزی وجود ندارد. این اولویت‌بندی نسبت به شیوه وزن‌دهی نیز استوار است: ترتیب مؤلفه‌ها با ماتریس‌های مقایسه زوجی برآوردی عیناً همان است؛ این ماتریس‌ها، چنان‌که گفته شد، پاسخ مستقیم خبرگان نیستند.</w:t>
      </w:r>
    </w:p>
    <w:p>
      <w:pPr>
        <w:pStyle w:val="Heading2"/>
        <w:keepNext/>
        <w:bidi/>
        <w:spacing w:before="240" w:after="80"/>
      </w:pPr>
      <w:bookmarkStart w:id="87" w:name="_Toc200000087"/>
      <w:r>
        <w:t>۵ـ۴ پیشنهادات تحقیق</w:t>
      </w:r>
      <w:bookmarkEnd w:id="87"/>
    </w:p>
    <w:p>
      <w:pPr>
        <w:bidi/>
        <w:spacing w:after="80"/>
        <w:ind w:firstLine="720"/>
        <w:jc w:val="both"/>
      </w:pPr>
      <w:r>
        <w:rPr>
          <w:rtl/>
        </w:rPr>
        <w:t xml:space="preserve">پیشنهادهای زیر برای مدیران شرکت‌های تک‌محصولی بر پایه ترتیب وزن مؤلفه‌ها در جدول ۴-۱۲ تنظیم شده‌اند.</w:t>
      </w:r>
      <w:r>
        <w:rPr>
          <w:rtl/>
        </w:rPr>
        <w:t xml:space="preserve"> بخشی از آن‌ها بر عبارت‌های راهکاری استوار است که اعضای پانل در دور نخست، به جای بیان چالش، مطرح کردند و از کدگذاری کنار گذاشته شد (بخش ۳-۷-۱).</w:t>
      </w:r>
      <w:r>
        <w:rPr>
          <w:rtl/>
        </w:rPr>
        <w:t xml:space="preserve">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1"/>
      </w:r>
      <w:r>
        <w:rPr>
          <w:rtl/>
        </w:rPr>
        <w:t xml:space="preserve"> و تنوع مرتبط ریسک بنگاه را می‌کاهد (مامن و همکاران، ۲۰۲۱)</w:t>
      </w:r>
      <w:r>
        <w:rPr>
          <w:rStyle w:val="FootnoteReference"/>
        </w:rPr>
        <w:footnoteReference w:id="132"/>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8" w:name="_Toc200000088"/>
      <w:r>
        <w:t>۵ـ۵ محدودیت‌های پژوهش</w:t>
      </w:r>
      <w:bookmarkEnd w:id="88"/>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امتیازدهی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وزن‌دهی اصلی بدون محاسبه‌ی مقایسه‌های زوجی و بر پایه میانگین امتیاز دور سوم انجام شد؛ از این رو وزن‌ها بیانگر اهمیت نسبی امتیازها هستند، نه قضاوت‌های زوجی اعضای پانل. تحلیل استواری نیز با ماتریس‌های مقایسه زوجی‌ای انجام شد که از همان امتیازها برآورد شده‌اند و پاسخ مستقیم اعضا نیستند؛ این ماتریس‌ها اطلاعاتی فراتر از امتیازهای دور سوم ندارند، تنها درجه‌های ۱ تا ۳ مقیاس را به کار می‌گیرند و نرخ ناسازگاری آن‌ها، که پیامد شیوه ساخت است، سازگاری قضاوت خبرگان را نشان نمی‌دهد. همچنین گروه‌بندی گویه‌ها در مؤلفه‌ها را پژوهشگر انجام داد و وزن مؤلفه‌ها به این گروه‌بندی وابسته است.</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9" w:name="_Toc200000089"/>
      <w:r>
        <w:t>۵ـ۶ پیشنهادهایی برای پژوهش‌های آتی</w:t>
      </w:r>
      <w:bookmarkEnd w:id="89"/>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از جمله مقایسه‌های زوجی </w:t>
      </w:r>
      <w:r>
        <w:rPr>
          <w:rFonts w:ascii="Times New Roman" w:hAnsi="Times New Roman" w:cs="Times New Roman" w:eastAsia="Times New Roman"/>
          <w:sz w:val="26"/>
          <w:szCs w:val="26"/>
        </w:rPr>
        <w:t xml:space="preserve">AHP</w:t>
      </w:r>
      <w:r>
        <w:rPr>
          <w:rtl/>
        </w:rPr>
        <w:t xml:space="preserve">، تعیین می‌کند.</w:t>
      </w:r>
      <w:r>
        <w:rPr>
          <w:rtl/>
        </w:rPr>
        <w:t xml:space="preserve"> چنین مطالعه‌ای می‌تواند رتبه‌بندی دلفی را راستی‌آزمایی کند و تمایز رتبه‌ای میان هفده گویه هم‌امتیاز را روشن سازد. گردآوری پاسخ مستقیم همین پانل به ۷۰ مقایسه زوجی این پژوهش نیز می‌تواند ماتریس‌های برآوردی را با قضاوت واقعی خبرگان جایگزین کند و سازگاری آن قضاوت‌ها را بسنجد.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90" w:name="_Toc200000090"/>
            <w:r>
              <w:rPr>
                <w:rtl/>
              </w:rPr>
              <w:t xml:space="preserve">منابع</w:t>
            </w:r>
            <w:bookmarkEnd w:id="90"/>
          </w:p>
        </w:tc>
      </w:tr>
    </w:tbl>
    <w:p>
      <w:pPr>
        <w:pStyle w:val="Heading2"/>
        <w:keepNext/>
        <w:pageBreakBefore/>
        <w:bidi/>
        <w:spacing w:before="0" w:after="80"/>
      </w:pPr>
      <w:bookmarkStart w:id="91" w:name="_Toc200000091"/>
      <w:r>
        <w:t>منابع داخلی</w:t>
      </w:r>
      <w:bookmarkEnd w:id="91"/>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92" w:name="_Toc200000092"/>
      <w:r>
        <w:t>منابع خارجی</w:t>
      </w:r>
      <w:bookmarkEnd w:id="92"/>
    </w:p>
    <w:p>
      <w:pPr>
        <w:spacing w:after="140"/>
        <w:ind w:left="567" w:hanging="567"/>
        <w:jc w:val="left"/>
      </w:pPr>
      <w:r>
        <w:rPr>
          <w:rFonts w:ascii="Times New Roman" w:hAnsi="Times New Roman" w:cs="Times New Roman" w:eastAsia="Times New Roman"/>
          <w:sz w:val="22"/>
          <w:szCs w:val="22"/>
        </w:rPr>
        <w:t xml:space="preserve">Aczél, J., &amp; Saaty, T. L. (1983). Procedures for synthesizing ratio judgements. </w:t>
      </w:r>
      <w:r>
        <w:rPr>
          <w:rFonts w:ascii="Times New Roman" w:hAnsi="Times New Roman" w:cs="Times New Roman" w:eastAsia="Times New Roman"/>
          <w:i/>
          <w:iCs/>
          <w:sz w:val="22"/>
          <w:szCs w:val="22"/>
        </w:rPr>
        <w:t xml:space="preserve">Journal of Mathematical Psychology, 27</w:t>
      </w:r>
      <w:r>
        <w:rPr>
          <w:rFonts w:ascii="Times New Roman" w:hAnsi="Times New Roman" w:cs="Times New Roman" w:eastAsia="Times New Roman"/>
          <w:sz w:val="22"/>
          <w:szCs w:val="22"/>
        </w:rPr>
        <w:t xml:space="preserve">(1), 93–102. </w:t>
      </w:r>
      <w:r>
        <w:rPr>
          <w:rFonts w:ascii="Times New Roman" w:hAnsi="Times New Roman" w:cs="Times New Roman" w:eastAsia="Times New Roman"/>
          <w:sz w:val="22"/>
          <w:szCs w:val="22"/>
        </w:rPr>
        <w:t xml:space="preserve">https://doi.org/10.1016/0022-2496(83)90028-7</w:t>
      </w:r>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Crawford, G., &amp; Williams, C. (1985). A note on the analysis of subjective judgment matrices. </w:t>
      </w:r>
      <w:r>
        <w:rPr>
          <w:rFonts w:ascii="Times New Roman" w:hAnsi="Times New Roman" w:cs="Times New Roman" w:eastAsia="Times New Roman"/>
          <w:i/>
          <w:iCs/>
          <w:sz w:val="22"/>
          <w:szCs w:val="22"/>
        </w:rPr>
        <w:t xml:space="preserve">Journal of Mathematical Psychology, 29</w:t>
      </w:r>
      <w:r>
        <w:rPr>
          <w:rFonts w:ascii="Times New Roman" w:hAnsi="Times New Roman" w:cs="Times New Roman" w:eastAsia="Times New Roman"/>
          <w:sz w:val="22"/>
          <w:szCs w:val="22"/>
        </w:rPr>
        <w:t xml:space="preserve">(4), 387–405. </w:t>
      </w:r>
      <w:r>
        <w:rPr>
          <w:rFonts w:ascii="Times New Roman" w:hAnsi="Times New Roman" w:cs="Times New Roman" w:eastAsia="Times New Roman"/>
          <w:sz w:val="22"/>
          <w:szCs w:val="22"/>
        </w:rPr>
        <w:t xml:space="preserve">https://doi.org/10.1016/0022-2496(85)90002-1</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93" w:name="_Toc200000093"/>
            <w:r>
              <w:rPr>
                <w:rtl/>
              </w:rPr>
              <w:t xml:space="preserve">پیوست‌ها</w:t>
            </w:r>
            <w:bookmarkEnd w:id="93"/>
          </w:p>
        </w:tc>
      </w:tr>
    </w:tbl>
    <w:p>
      <w:pPr>
        <w:pStyle w:val="Heading2"/>
        <w:keepNext/>
        <w:pageBreakBefore/>
        <w:bidi/>
        <w:spacing w:before="0" w:after="80"/>
      </w:pPr>
      <w:bookmarkStart w:id="94" w:name="_Toc200000094"/>
      <w:r>
        <w:t>پیوست الف: فرم خام مصاحبه دور نخست دلفی</w:t>
      </w:r>
      <w:bookmarkEnd w:id="94"/>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مصاحبه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جمع‌آوری و به‌صورت ناشناس به اعضای پانل بازخورد داده می‌شود تا در دورهای بعدی، امکان بازبینی و نزدیک‌شدن نظرها به یکدیگر فراهم آید. این مصاحبه، نخستین دور از مجموع دورهای این فرایند است و ماهیتی کاملاً باز دارد؛ در دورهای بعدی، فهرست به‌دست‌آمده از همین دور، برای امتیازدهی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مصاحبه اختیاری است؛ در گزارش نهایی پژوهش، از پاسخ‌دهندگان با کدهای خ۱ تا خ۷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پاسخ‌گویی به این مصاحبه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بیان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مصاحبه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امتیازدهی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95" w:name="_Toc200000095"/>
      <w:r>
        <w:t xml:space="preserve">پیوست ب: فرم خام پرسشنامه دور دوم دلفی (امتیازدهی به گویه‌ها)</w:t>
      </w:r>
      <w:bookmarkEnd w:id="95"/>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w:t>
      </w:r>
      <w:r>
        <w:rPr>
          <w:rtl/>
        </w:rPr>
        <w:t xml:space="preserve"> پاسخ‌های باز شما و سایر اعضای پانل، با روش تحلیل مضمون بررسی و به فهرستی شامل بیست‌ونه گویه تبدیل شد.</w:t>
      </w:r>
      <w:r>
        <w:rPr>
          <w:rtl/>
        </w:rPr>
        <w:t xml:space="preserve">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امتیازدهی: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w:t>
      </w:r>
      <w:r>
        <w:rPr>
          <w:rtl/>
        </w:rPr>
        <w:t xml:space="preserve"> پاسخ‌های شما همچنان محرمانه است و در گزارش نهایی تنها به‌صورت تجمیعی و ناشناس ارائه می‌شود.</w:t>
      </w:r>
      <w:r>
        <w:rPr>
          <w:rtl/>
        </w:rPr>
        <w:t xml:space="preserve"> نتایج آماری تجمیعی این دور، در دور سوم به‌صورت ناشناس به شما بازخورد داده خواهد شد تا در صورت تمایل، امتیازهای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6" w:name="_Toc200000096"/>
      <w:r>
        <w:t xml:space="preserve">پیوست پ: فرم خام پرسشنامه دور سوم دلفی (بازنگری امتیازدهی با بازخورد گروهی)</w:t>
      </w:r>
      <w:bookmarkEnd w:id="96"/>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food companies are highly vulnerable to market fluctuations because all revenue depends on one product and falling sales cannot be offset by other items; their sales challenges have not been studied in the Iranian literature. This study aimed to identify and prioritize the sales challenges of single-product companies in the Iranian food industry. The research is applied in purpose, exploratory in nature and mixed in approach, and used the Delphi method in three rounds. Judgmental purposive sampling yielded a panel of seven experts (sales managers and specialists, a production planning manager, a faculty member) with direct experience in selling or marketing food products. The open-ended responses of the first round were coded through thematic analysis, yielding twenty-nine items. In the second and third rounds the experts rated the importance of the items on a five-point scale, and in the third round they received anonymous group feedback. Kendall's coefficient of concordance rose from 0.224 in the second round to 0.756 in the third, and the Spearman correlation between the rounds was 0.847. The analytic hierarchy process was then applied without direct pairwise comparisons: each item's weight was derived from its mean score in the third-round questionnaire, and the weights of nine components (five internal, four external) from the weights of their items; pairwise matrices estimated from the same scores confirmed the component ranking. The highest item weight (0.0424) belonged to the entry of new competitors and the rise in cost of goods sold, and the highest component weight (0.122) to macroeconomic pressures and reduced purchasing power; all four external components were among the top five, and structural vulnerability arising from single-product concentration ranked fourth. The panel regards external shocks, which are more severe for a single-product firm because it lacks an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Aczél &amp; Saaty, 1983</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Crawford &amp; Williams, 1985</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11">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2">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3">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4">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5">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1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17">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18">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19">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0">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1">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2">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3">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4">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5">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26">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7">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8">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29">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0">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1">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3">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115</Pages>
  <Words>32142</Words>
  <Characters>147726</Characters>
  <Application>Microsoft Office Word</Application>
  <DocSecurity>0</DocSecurity>
  <Paragraphs>2436</Paragraphs>
  <ScaleCrop>false</ScaleCrop>
  <Company/>
  <LinksUpToDate>false</LinksUpToDate>
  <CharactersWithSpaces>180090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