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pPr>
        <w:bidi/>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pPr>
        <w:bidi/>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ساخت گویه‌ها بود.</w:t>
      </w:r>
      <w:r>
        <w:rPr>
          <w:rtl/>
        </w:rPr>
        <w:t xml:space="preserve"> چالش‌های برگرفته از ادبیات در پایان فصل دوم (جدول ۲-۱) در مرحله ترکیب و بررسی با این کدها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pPr>
        <w:bidi/>
        <w:jc w:val="both"/>
      </w:pPr>
      <w:r>
        <w:rPr>
          <w:rtl/>
        </w:rPr>
        <w:t xml:space="preserve">تحلیل مضمون روشی برای شناسایی، تحلیل و گزارش الگوهای معنایی درون داده‌های کیفی 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w:t>
      </w:r>
      <w:r>
        <w:rPr>
          <w:rtl/>
        </w:rPr>
        <w:t xml:space="preserve"> در مرحله دوم، کدگذاری: هر عبارت معنادار که به مانع یا مشکلی در فرایند فروش اشاره داشت، </w:t>
      </w:r>
      <w:r>
        <w:rPr>
          <w:rtl/>
        </w:rPr>
        <w:t xml:space="preserve">به عنوان یک کد ثبت شد.</w:t>
      </w:r>
    </w:p>
    <w:p>
      <w:pPr>
        <w:bidi/>
        <w:jc w:val="both"/>
      </w:pPr>
      <w:r>
        <w:rPr>
          <w:rtl/>
        </w:rPr>
        <w:t xml:space="preserve">در مرحله سوم، شکل‌گیری گویه‌ها: کدهای دارای معنای مشترک در قالب گویه‌های واحد گرد آمدند.</w:t>
      </w:r>
      <w:r>
        <w:rPr>
          <w:rtl/>
        </w:rPr>
        <w:t xml:space="preserve">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w:t>
      </w:r>
      <w:r>
        <w:rPr>
          <w:rtl/>
        </w:rPr>
        <w:t xml:space="preserve"> در مرحله چهارم، بازبینی گویه‌ها: انسجام درونی هر گویه و تمایز آن از سایرین بررسی شد.</w:t>
      </w:r>
      <w:r>
        <w:rPr>
          <w:rtl/>
        </w:rPr>
        <w:t xml:space="preserve"> در مرحله پنجم، تعریف و نام‌گذاری گویه‌ها: برای هر گویه عنوانی کوتاه و روشن برگزیده شد.</w:t>
      </w:r>
      <w:r>
        <w:rPr>
          <w:rtl/>
        </w:rPr>
        <w:t xml:space="preserve">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w:t>
      </w:r>
      <w:r>
        <w:rPr>
          <w:rtl/>
        </w:rPr>
        <w:t xml:space="preserve"> گویه‌ها از کدهای پاسخ خبرگان ساخته شدند و هر گویه دست‌کم در پاسخ یک عضو پانل بازتاب داشت.</w:t>
      </w:r>
      <w:r>
        <w:rPr>
          <w:rtl/>
        </w:rPr>
        <w:t xml:space="preserve"> چالشی از ادبیات تنها زمانی وارد فهرست گویه‌ها شد که خبرگان آن را مطرح کرده بودند؛ چالش‌هایی که در ادبیات آمده بودند، اما هیچ عضو پانل مطرح نکرد، وارد فهرست نشدند.</w:t>
      </w:r>
      <w:r>
        <w:rPr>
          <w:rtl/>
        </w:rPr>
        <w:t xml:space="preserve"> در مقابل، کدی که در ادبیات همتای روشنی نداشت، به‌دلیل بازتاب در پاسخ خبرگان در فهرست ماند.</w:t>
      </w:r>
      <w:r>
        <w:rPr>
          <w:rtl/>
        </w:rPr>
        <w:t xml:space="preserve"> حاصل این مرحله ۲۹ گویه بود؛ نتیجه سنجش هر گویه با جدول ۲-۱ در ستون «همتای ادبی» جدول ۴-۶ آمده است.</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9"/>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0"/>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اولویت هر گویه در دورهای دلفی بر پایه میانگین امتیاز پانل سنجیده شد و میانگین دور پایانی، ورودی وزن‌دهی در گام سوم است (بخش ۳-۷-۳). فهرست ۲۹ گویه در هر دو دور امتیازدهی به‌صورت فهرستی ساده از گویه‌ها در اختیار پانل قرار گرفت؛ گروه‌بندی گویه‌ها در مؤلفه‌ها تنها در سلسله‌مراتب AHP انجام می‌شود.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1"/>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در سطح گویه‌ها محاسبه شد و ملاک توقف دورها بود.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2"/>
      </w:r>
      <w:r>
        <w:rPr>
          <w:rtl/>
        </w:rPr>
        <w:t xml:space="preserve">.</w:t>
      </w:r>
      <w:r>
        <w:rPr>
          <w:rtl/>
        </w:rPr>
        <w:t xml:space="preserve"> در این روش امتیازها به وزن‌هایی تبدیل می‌شوند که مجموعشان یک است و وزن بیشتر یعنی اولویت بالاتر؛ مسئله در سه سطح چیده می‌شود: هدف، که اولویت‌بندی چالش‌های فروش است، مؤلفه‌ها و گویه‌ها. در این پژوهش وزن‌ها بدون محاسبه‌ی مقایسه‌های زوجی و مستقیماً از امتیازهای پرسشنامه به دست آمدند. نخست پرسشنامه‌ی دور سوم، که ۲۹ گویه را در بر داشت (پیوست پ)، میان هر هفت عضو پانل توزیع شد و هر عضو اهمیت هر گویه را بر طیف پنج‌درجه‌ای امتیاز داد. سپس میانگین امتیاز هر گویه محاسبه شد و وزن هر گویه، یعنی سهم آن از مجموع امتیازها، چنین به دست آمد:</w:t>
      </w:r>
    </w:p>
    <w:p>
      <w:pPr>
        <w:bidi/>
        <w:spacing w:before="80" w:after="140"/>
        <w:ind w:firstLine="0"/>
        <w:jc w:val="center"/>
      </w:pPr>
      <w:r>
        <w:rPr>
          <w:rtl/>
        </w:rPr>
        <w:t xml:space="preserve">وزن گویه = میانگین امتیاز گویه تقسیم بر مجموع میانگین امتیاز ۲۹ گویه</w:t>
      </w:r>
    </w:p>
    <w:p>
      <w:pPr>
        <w:bidi/>
        <w:jc w:val="both"/>
      </w:pPr>
      <w:r>
        <w:rPr>
          <w:rtl/>
        </w:rPr>
        <w:t xml:space="preserve">مجموع وزن گویه‌ها برابر یک است. پس از آن، گویه‌ها بر پایه شباهت مضمونی در نُه مؤلفه سازمان‌دهی شدند و وزن هر مؤلفه از وزن گویه‌های آن به دست آمد: میانگین وزن گویه‌های هر مؤلفه محاسبه و، برای آنکه مجموع وزن مؤلفه‌ها برابر یک شود، بر مجموع این میانگین‌ها در نُه مؤلفه تقسیم شد. چون وزن هر گویه با میانگین امتیاز آن متناسب است، همین وزن از رابطه زیر نیز به دست می‌آید:</w:t>
      </w:r>
    </w:p>
    <w:p>
      <w:pPr>
        <w:bidi/>
        <w:spacing w:before="80" w:after="140"/>
        <w:ind w:firstLine="0"/>
        <w:jc w:val="center"/>
      </w:pPr>
      <w:r>
        <w:rPr>
          <w:rtl/>
        </w:rPr>
        <w:t xml:space="preserve">وزن مؤلفه = میانگین امتیاز مؤلفه تقسیم بر مجموع میانگین‌های نُه مؤلفه</w:t>
      </w:r>
    </w:p>
    <w:p>
      <w:pPr>
        <w:bidi/>
        <w:jc w:val="both"/>
      </w:pPr>
      <w:r>
        <w:rPr>
          <w:rtl/>
        </w:rPr>
        <w:t xml:space="preserve">به‌کار بردن میانگین به‌جای مجموع از آن روست که شمار گویه‌های هر مؤلفه، که از شیوه‌ی دسته‌بندی ناشی می‌شود و نه از اهمیت چالش، بر وزن آن اثر نگذارد. نتایج این وزن‌دهی در بخش ۴-۶-۲ گزارش شده است.</w:t>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3"/>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4"/>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pPr>
        <w:bidi/>
        <w:spacing w:after="80"/>
        <w:jc w:val="lowKashida"/>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