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787B097F" w14:textId="77777777" w:rsidR="00E94CEF" w:rsidRDefault="00E94CEF">
      <w:pPr>
        <w:bidi/>
        <w:jc w:val="lowKashida"/>
      </w:pPr>
    </w:p>
    <w:p>
      <w:pPr>
        <w:pStyle w:val="Heading2"/>
        <w:keepNext/>
        <w:bidi/>
        <w:spacing w:before="240" w:after="80"/>
        <w:jc w:val="lowKashida"/>
        <w:rPr>
          <w:sz w:val="32"/>
          <w:szCs w:val="32"/>
        </w:rPr>
      </w:pPr>
      <w:r>
        <w:rPr>
          <w:sz w:val="32"/>
          <w:szCs w:val="32"/>
        </w:rPr>
        <w:t xml:space="preserve">۴-۱ مقدمه</w:t>
      </w:r>
    </w:p>
    <w:p>
      <w:pPr>
        <w:bidi/>
        <w:spacing w:after="80"/>
        <w:jc w:val="lowKashida"/>
      </w:pPr>
      <w:r>
        <w:rPr>
          <w:rtl/>
        </w:rPr>
        <w:t xml:space="preserve">این فصل یافته‌های سه دور دلفی و وزن‌دهی به روش AHP را به ترتیب اجرا گزارش می‌کند. نخست، ترکیب پانل خبرگان توصیف می‌شود. سپس دور نخست می‌آید که مصاحبه‌ای با یک پرسش باز بود؛ اعضا بدون دریافت فهرست پیشنهادی به آن پاسخ دادند؛ پاسخ‌ها با روش تحلیل مضمون کدگذاری شد؛ کدها با چالش‌های برگرفته از ادبیات (جدول ۲-۱) ترکیب و بررسی شدند و به فهرستی از ۲۹ گویه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پاسخ پرسش‌های پژوهش آمده است: فهرست چالش‌ها، و اولویت آن‌ها که با روش AHP گزارش می‌شود؛ به این ترتیب که پرسشنامه دور سوم توزیع شد، سپس وزن هر گویه و پس از آن وزن هر مؤلفه به دست آمد.</w:t>
      </w:r>
    </w:p>
    <w:p>
      <w:pPr>
        <w:bidi/>
        <w:spacing w:after="80"/>
        <w:jc w:val="lowKashida"/>
      </w:pPr>
      <w:r>
        <w:rPr>
          <w:rtl/>
        </w:rPr>
        <w:t xml:space="preserve">این فصل در شش بخش سامان یافته است: ترکیب پانل خبرگان، دور نخست دلفی، دور دوم دلفی، دور سوم دلفی، پاسخ به پرسش‌های پژوهش و خلاصه فصل.</w:t>
      </w:r>
    </w:p>
    <w:p>
      <w:pPr>
        <w:pStyle w:val="Heading2"/>
        <w:keepNext/>
        <w:bidi/>
        <w:spacing w:before="240" w:after="80"/>
        <w:jc w:val="lowKashida"/>
        <w:rPr>
          <w:sz w:val="32"/>
          <w:szCs w:val="32"/>
        </w:rPr>
      </w:pPr>
      <w:r>
        <w:rPr>
          <w:sz w:val="32"/>
          <w:szCs w:val="32"/>
        </w:rPr>
        <w:t xml:space="preserve">۴-۲ ترکیب پانل خبرگان</w:t>
      </w:r>
    </w:p>
    <w:p>
      <w:pPr>
        <w:bidi/>
        <w:spacing w:after="80"/>
        <w:jc w:val="lowKashida"/>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pPr>
        <w:pStyle w:val="Heading3"/>
        <w:keepNext/>
        <w:bidi/>
        <w:spacing w:before="180" w:after="80"/>
        <w:jc w:val="lowKashida"/>
      </w:pPr>
      <w:r>
        <w:t xml:space="preserve">۴-۲-۱ توزیع فراوانی متغیرهای جمعیت‌شناختی پانل</w:t>
      </w:r>
    </w:p>
    <w:p>
      <w:pPr>
        <w:bidi/>
        <w:spacing w:after="80"/>
        <w:jc w:val="lowKashida"/>
      </w:pPr>
      <w:r>
        <w:rPr>
          <w:rtl/>
        </w:rPr>
        <w:t xml:space="preserve">توزیع هر یک از متغیرهای جمعیت‌شناختی پانل به‌طور جداگانه، همراه با نمودار مربوط به آن، در جدول‌های ۴-۲ تا ۴-۵ ارائه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pPr>
        <w:pStyle w:val="Heading2"/>
        <w:keepNext/>
        <w:bidi/>
        <w:spacing w:before="180" w:after="80"/>
        <w:jc w:val="lowKashida"/>
      </w:pPr>
      <w:r>
        <w:t xml:space="preserve">۴-۳ دور نخست دلفی: شناسایی گویه‌ها</w:t>
      </w:r>
    </w:p>
    <w:p>
      <w:pPr>
        <w:bidi/>
        <w:spacing w:after="80"/>
        <w:jc w:val="lowKashida"/>
      </w:pPr>
      <w:r>
        <w:rPr>
          <w:rtl/>
        </w:rPr>
        <w:t xml:space="preserve">در مصاحبه‌ی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
      </w:r>
      <w:r>
        <w:rPr>
          <w:rtl/>
        </w:rPr>
        <w:t xml:space="preserve"> در شش مرحله کدگذاری و تحلیل شدند (شرح کامل این فرایند در بخش ۳-۷-۱ آمده است).</w:t>
      </w:r>
      <w:r>
        <w:rPr>
          <w:rtl/>
        </w:rPr>
        <w:t xml:space="preserve"> کدهای استخراج‌شده با چالش‌های برگرفته از ادبیات (جدول ۲-۱) سنجیده و ترکیب شدند؛ هر گویه دست‌کم در پاسخ یک عضو پانل بازتاب داشت و حاصل این مرحله فهرستی از ۲۹ گویه بود. جدول ۴-۶ فهرست گویه‌ها را به همراه کد اعضایی که به هر گویه اشاره کرده‌اند و ردیف همتای ادبی آن در جدول ۲-۱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 ستون «همتای ادبی» شماره ردیف چالشی از جدول ۲-۱ را نشان می‌دهد که همان چالش را توصیف می‌کند، و «—» یعنی گویه در جدول ۲-۱ همتای روشن ندارد. از ۲۹ گویه، ۲۰ گویه همتای ادبی دارند و ۹ گویه ندارند؛ از دوازده ردیف جدول ۲-۱، ردیف‌های ۳، ۶ و ۱۱ هیچ گویه‌ای را پوشش نمی‌دهند.</w:t>
      </w:r>
    </w:p>
    <w:p>
      <w:pPr>
        <w:bidi/>
        <w:spacing w:after="80"/>
        <w:jc w:val="lowKashida"/>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r>
        <w:t xml:space="preserve">جدول ۴-۶ گویه‌های استخراج‌شده از دور نخست به تفکیک اعضای اشاره‌کننده و همتای ادبی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4380"/>
        <w:gridCol w:w="1260"/>
        <w:gridCol w:w="1828"/>
      </w:tblGrid>
      <w:tr w:rsidR="00E94CEF" w14:paraId="2F13DA5E" w14:textId="77777777">
        <w:trPr>
          <w:tblHeade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همتای ادبی</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۸، 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۱۲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t>۱۷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pPr>
        <w:pStyle w:val="Heading2"/>
        <w:keepNext/>
        <w:bidi/>
        <w:spacing w:before="180" w:after="80"/>
        <w:jc w:val="lowKashida"/>
      </w:pPr>
      <w:r>
        <w:t xml:space="preserve">۴-۴ دور دوم دلفی: امتیازدهی و سنجش نخستین توافق</w:t>
      </w:r>
    </w:p>
    <w:p>
      <w:pPr>
        <w:bidi/>
        <w:spacing w:after="80"/>
        <w:jc w:val="lowKashida"/>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۴-۷ میانگین، میانه، انحراف معیار و دامنه بین‌چارکی امتیاز هر گویه را نشان می‌دهد.</w:t>
      </w:r>
    </w:p>
    <w:p w14:paraId="30000000" w14:textId="77777777" w:rsidR="00E94CEF" w:rsidRDefault="00153DD1">
      <w:pPr>
        <w:pStyle w:val="TableCaption"/>
        <w:keepNext/>
        <w:spacing w:before="160" w:after="80"/>
        <w:jc w:val="center"/>
        <w:rPr>
          <w:vanish/>
        </w:rPr>
      </w:pPr>
      <w:r>
        <w:t xml:space="preserve">جدول ۴-۷ آمار توصیفی </w:t>
      </w:r>
      <w:r>
        <w:t xml:space="preserve">امتیاز اهمیت گویه‌ها در دور دوم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pPr>
        <w:bidi/>
        <w:spacing w:after="80"/>
        <w:jc w:val="lowKashida"/>
      </w:pPr>
      <w:r>
        <w:rPr>
          <w:rtl/>
        </w:rPr>
        <w:t xml:space="preserve">در دور دوم هیچ گویه‌ای میانگین زیر ۳ نداشت؛ کمترین میانگین ۳٫۲۹ بود. از این رو فهرست ۲۹ گویه‌ای بدون تغییر به دور سوم رفت و توافق اعضا با ضریب هماهنگی کندال بر کل این فهرست سنجیده شد.</w:t>
      </w:r>
    </w:p>
    <w:p>
      <w:pPr>
        <w:bidi/>
        <w:spacing w:after="80"/>
        <w:jc w:val="lowKashida"/>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۴-۹).</w:t>
      </w:r>
    </w:p>
    <w:p>
      <w:pPr>
        <w:pStyle w:val="Heading2"/>
        <w:keepNext/>
        <w:bidi/>
        <w:spacing w:before="180" w:after="80"/>
        <w:jc w:val="lowKashida"/>
      </w:pPr>
      <w:r>
        <w:t xml:space="preserve">۴-۵ دور سوم دلفی: بازخورد گروهی و همگرایی پاسخ‌ها</w:t>
      </w:r>
    </w:p>
    <w:p>
      <w:pPr>
        <w:bidi/>
        <w:spacing w:after="80"/>
        <w:jc w:val="lowKashida"/>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۴-۸ شاخص‌های توصیفی امتیاز هر گویه را در دور سوم نشان می‌دهد؛ پاسخ‌های کامل‌شده اعضای پانل در اختیار داوران قرار دارد.</w:t>
      </w:r>
    </w:p>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۴-۸ آمار توصیفی </w:t>
      </w:r>
      <w:r>
        <w:t xml:space="preserve">امتیاز اهمیت گویه‌ها در دور سوم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jc w:val="lowKashida"/>
      </w:pPr>
      <w:r>
        <w:t xml:space="preserve">۴-۵-۱ توافق اعضا: ضریب هماهنگی کندال</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2"/>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3"/>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۴-۹ گزارش شده است.</w:t>
      </w:r>
    </w:p>
    <w:p w14:paraId="3A1C1F71" w14:textId="77777777" w:rsidR="00E94CEF" w:rsidRDefault="00153DD1">
      <w:pPr>
        <w:pStyle w:val="TableCaption"/>
        <w:keepNext/>
        <w:spacing w:before="160" w:after="80"/>
        <w:jc w:val="center"/>
        <w:rPr>
          <w:vanish/>
        </w:rPr>
      </w:pPr>
      <w:r>
        <w:t xml:space="preserve">جدول ۴-۹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 xml:space="preserve">توافق معنادار (p&lt;۰٫۰۵)؛ </w:t>
            </w:r>
            <w:r>
              <w:rPr>
                <w:sz w:val="22"/>
                <w:szCs w:val="22"/>
                <w:rtl/>
              </w:rPr>
              <w:t xml:space="preserve">میزان توافق ضعیف</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۴-۹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4"/>
      </w:r>
      <w:r>
        <w:rPr>
          <w:rtl/>
        </w:rPr>
        <w:t xml:space="preserve">، مقادیر W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jc w:val="lowKashida"/>
        <w:rPr>
          <w:sz w:val="32"/>
          <w:szCs w:val="32"/>
        </w:rPr>
      </w:pPr>
      <w:r>
        <w:rPr>
          <w:sz w:val="32"/>
          <w:szCs w:val="32"/>
        </w:rPr>
        <w:t xml:space="preserve">۴-۵-۲ ثبات رتبه‌بندی: ضریب همبستگی اسپیرمن</w:t>
      </w:r>
    </w:p>
    <w:p>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w:t>
      </w:r>
      <w:r>
        <w:rPr>
          <w:rtl/>
        </w:rPr>
        <w:t xml:space="preserve"> جدول ۴-۱۰ ضریب همبستگی رتبه‌ای اسپیرمن میان میانگین امتیازهای گویه‌ها در دور دوم و دور سوم را، به همراه سطح معناداری آن، نشان می‌دهد.</w:t>
      </w:r>
      <w:r>
        <w:rPr>
          <w:rtl/>
        </w:rPr>
        <w:t xml:space="preserve"> رسیدن همبستگی به سطح بالا و معنادار، ملاک توقف فرایند دلفی در پژوهش حاضر بود؛ ثبات پاسخ‌ها میان دورها از ملاک‌های توقف گزارش‌شده در مطالعات دلفی است (شیفانو و نیدربرگر، ۲۰۲۵)</w:t>
      </w:r>
      <w:r>
        <w:rPr>
          <w:rStyle w:val="FootnoteReference"/>
        </w:rPr>
        <w:footnoteReference w:id="5"/>
      </w:r>
      <w:r>
        <w:rPr>
          <w:rtl/>
        </w:rPr>
        <w:t xml:space="preserve">.</w:t>
      </w:r>
    </w:p>
    <w:p>
      <w:pPr>
        <w:pStyle w:val="TableCaption"/>
        <w:keepNext/>
        <w:spacing w:before="160" w:after="80"/>
        <w:jc w:val="center"/>
        <w:rPr>
          <w:vanish/>
        </w:rPr>
      </w:pPr>
      <w:r>
        <w:t xml:space="preserve">جدول ۴-۱۰ ضریب همبستگی رتبه‌ای میان امتیازهای گویه‌ها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bl>
    <w:p w14:paraId="1D598F91" w14:textId="77777777" w:rsidR="00E94CEF" w:rsidRDefault="00E94CEF">
      <w:pPr>
        <w:bidi/>
        <w:jc w:val="lowKashida"/>
      </w:pPr>
    </w:p>
    <w:p>
      <w:pPr>
        <w:bidi/>
        <w:spacing w:after="80"/>
        <w:jc w:val="lowKashida"/>
      </w:pPr>
      <w:r>
        <w:rPr>
          <w:rtl/>
        </w:rPr>
        <w:t xml:space="preserve">همان‌گونه که جدول ۴-۱۰ نشان می‌دهد، ضریب اسپیرمن میان دور دوم و دور سوم ۰٫۸۴۷ است؛ یعنی ترتیب گویه‌ها میان دو دور به‌طور چشمگیری حفظ شد و بازخورد گروهی بیش از آنکه ترتیب اهمیت را جابه‌جا کند، نظرها را به یکدیگر نزدیک کرد. از این رو دورهای دلفی پس از دور سوم متوقف شد.</w:t>
      </w:r>
    </w:p>
    <w:p>
      <w:pPr>
        <w:pStyle w:val="Heading2"/>
        <w:keepNext/>
        <w:bidi/>
        <w:spacing w:before="180" w:after="80"/>
        <w:jc w:val="lowKashida"/>
      </w:pPr>
      <w:r>
        <w:t xml:space="preserve">۴-۶ پاسخ به پرسش‌های پژوهش</w:t>
      </w:r>
    </w:p>
    <w:p>
      <w:pPr>
        <w:pStyle w:val="Heading3"/>
        <w:keepNext/>
        <w:bidi/>
        <w:spacing w:before="180" w:after="80"/>
        <w:jc w:val="lowKashida"/>
      </w:pPr>
      <w:r>
        <w:t xml:space="preserve">۴-۶-۱ پاسخ به پرسش نخست: چالش‌های فروش</w:t>
      </w:r>
    </w:p>
    <w:p>
      <w:pPr>
        <w:bidi/>
        <w:spacing w:after="80"/>
        <w:jc w:val="lowKashida"/>
      </w:pPr>
      <w:r>
        <w:rPr>
          <w:rtl/>
        </w:rPr>
        <w:t xml:space="preserve">پرسش نخست پژوهش عبارت بود از: «چالش‌های فروش در شرکت‌های تک‌محصولی فعال در صنعت مواد غذایی کدام‌اند؟» پاسخ این پرسش فهرست ۲۹ گویه‌ای است که از تحلیل مضمون پاسخ‌های دور نخست پانل و ترکیب آن‌ها با چالش‌های برگرفته از ادبیات به دست آمد (بخش ۴-۳ و جدول ۴-۶). این ۲۹ گویه در دور دوم و دور سوم نیز از نگاه پانل اهمیت بالایی داشتند: کمترین میانگین امتیاز گویه‌ها در دور دوم ۳٫۲۹ و در دور سوم ۳٫۱۴ بود (جدول ۴-۷ و جدول ۴-۸). از این رو فهرست پایانی چالش‌های فروش همان ۲۹ گویه است. اولویت این چالش‌ها در بخش بعد گزارش می‌شود.</w:t>
      </w:r>
    </w:p>
    <w:p>
      <w:pPr>
        <w:pStyle w:val="Heading3"/>
        <w:keepNext/>
        <w:bidi/>
        <w:spacing w:before="180" w:after="80"/>
        <w:jc w:val="lowKashida"/>
      </w:pPr>
      <w:r>
        <w:t xml:space="preserve">۴-۶-۲ پاسخ به پرسش دوم: وزن‌دهی و اولویت‌بندی به روش AHP</w:t>
      </w:r>
    </w:p>
    <w:p>
      <w:pPr>
        <w:bidi/>
        <w:spacing w:after="80"/>
        <w:jc w:val="lowKashida"/>
      </w:pPr>
      <w:r>
        <w:rPr>
          <w:rtl/>
        </w:rPr>
        <w:t xml:space="preserve">پرسش دوم پژوهش عبارت بود از: «اولویت چالش‌های فروش در شرکت‌های تک‌محصولی فعال در صنعت مواد غذایی چگونه است؟» دلفی برای هر گویه یک میانگین امتیاز به دست داد؛ این میانگین نشان می‌دهد هر چالش چقدر مهم است، اما نشان نمی‌دهد هر چالش چه سهمی از کل اهمیت چالش‌ها دارد و چالش‌های هم‌مضمون چگونه با هم سنجیده می‌شوند. برای پاسخ به این پرسش از روش فرایند تحلیل سلسله‌مراتبی (AHP) استفاده شد (ساعتی، ۱۹۸۰)</w:t>
      </w:r>
      <w:r>
        <w:rPr>
          <w:rStyle w:val="FootnoteReference"/>
        </w:rPr>
        <w:footnoteReference w:id="6"/>
      </w:r>
      <w:r>
        <w:rPr>
          <w:rtl/>
        </w:rPr>
        <w:t xml:space="preserve">. در این روش امتیازها به وزن‌هایی تبدیل می‌شوند که مجموعشان یک است و وزن بیشتر یعنی اولویت بالاتر؛ مسئله نیز در سه سطح چیده می‌شود: هدف، که اولویت‌بندی چالش‌های فروش است؛ مؤلفه‌ها، که گروه‌های هم‌مضمون چالش‌اند؛ و گویه‌ها، که خود چالش‌ها هستند. در این پژوهش، به‌جای ماتریس مقایسه‌های زوجی، وزن‌ها مستقیماً از امتیازهای پرسشنامه محاسبه شد (بخش ۳-۷-۳). گام‌ها به ترتیب اجرا گزارش می‌شود: پخش پرسشنامه، وزن گویه‌ها و سپس وزن مؤلفه‌ها.</w:t>
      </w:r>
    </w:p>
    <w:p>
      <w:pPr>
        <w:pStyle w:val="Heading4"/>
        <w:keepNext/>
        <w:bidi/>
        <w:spacing w:before="180" w:after="80"/>
        <w:jc w:val="lowKashida"/>
      </w:pPr>
      <w:r>
        <w:t xml:space="preserve">۴-۶-۲-۱ گام نخست: پخش پرسشنامه</w:t>
      </w:r>
    </w:p>
    <w:p>
      <w:pPr>
        <w:bidi/>
        <w:spacing w:after="80"/>
        <w:jc w:val="lowKashida"/>
      </w:pPr>
      <w:r>
        <w:rPr>
          <w:rtl/>
        </w:rPr>
        <w:t xml:space="preserve">ورودی وزن‌دهی، امتیازهای دور سوم دلفی است. دور سوم آخرین دور بود و در آن توافق اعضا قوی و معنادار (W=۰٫۷۵۶) و ترتیب گویه‌ها میان دو دور باثبات (rho=۰٫۸۴۷) بود (جدول ۴-۹ و جدول ۴-۱۰). پرسشنامه دور سوم (پیوست پ)، که ۲۹ گویه را بر طیف پنج‌درجه‌ای در بر داشت، میان هر هفت عضو پانل توزیع شد و هر هفت عضو آن را تکمیل کردند. برای وزن‌دهی پرسشنامه جداگانه‌ای پخش نشد؛ امتیازهای همین پرسشنامه به وزن تبدیل شد. میانگین امتیاز هر گویه در جدول ۴-۸ آمده است.</w:t>
      </w:r>
    </w:p>
    <w:p>
      <w:pPr>
        <w:pStyle w:val="Heading4"/>
        <w:keepNext/>
        <w:bidi/>
        <w:spacing w:before="180" w:after="80"/>
        <w:jc w:val="lowKashida"/>
      </w:pPr>
      <w:r>
        <w:t xml:space="preserve">۴-۶-۲-۲ گام دوم: وزن گویه‌ها</w:t>
      </w:r>
    </w:p>
    <w:p>
      <w:pPr>
        <w:bidi/>
        <w:spacing w:after="80"/>
        <w:jc w:val="lowKashida"/>
      </w:pPr>
      <w:r>
        <w:rPr>
          <w:rtl/>
        </w:rPr>
        <w:t xml:space="preserve">وزن هر گویه سهم آن از مجموع امتیاز همه گویه‌هاست؛ یعنی میانگین امتیاز گویه تقسیم بر مجموع میانگین‌های ۲۹ گویه:</w:t>
      </w:r>
    </w:p>
    <w:p>
      <w:pPr>
        <w:bidi/>
        <w:spacing w:after="140" w:before="80"/>
        <w:ind w:firstLine="0"/>
        <w:jc w:val="center"/>
      </w:pPr>
      <w:r>
        <w:rPr>
          <w:rtl/>
        </w:rPr>
        <w:t xml:space="preserve">وزن گویه = میانگین امتیاز گویه تقسیم بر مجموع میانگین امتیاز ۲۹ گویه</w:t>
      </w:r>
    </w:p>
    <w:p>
      <w:pPr>
        <w:bidi/>
        <w:spacing w:after="80"/>
        <w:jc w:val="lowKashida"/>
      </w:pPr>
      <w:r>
        <w:rPr>
          <w:rtl/>
        </w:rPr>
        <w:t xml:space="preserve">مجموع میانگین‌های ۲۹ گویه ۱۱۸٫۰۰ است. برای نمونه، گویه «ورود رقبای جدید و افزایش شدت رقابت» میانگین ۵٫۰۰ دارد؛ وزن آن برابر ۰٫۰۴۲۴ (۵٫۰۰ تقسیم بر ۱۱۸٫۰۰) است، یعنی حدود ۴٫۲ درصد از کل اهمیت چالش‌ها. جدول ۴-۱۱ وزن هر ۲۹ گویه را نشان می‌دهد؛ گویه‌ها از بیشترین وزن به کمترین مرتب شده‌اند و ستون رتبه جایگاه هر گویه را نشان می‌دهد. گویه‌هایی که میانگین یکسان دارند، وزن و رتبه یکسان گرفته‌اند و مجموع وزن‌ها پیش از گرد کردن برابر یک است.</w:t>
      </w:r>
    </w:p>
    <w:p>
      <w:pPr>
        <w:pStyle w:val="TableCaption"/>
        <w:keepNext/>
        <w:spacing w:before="160" w:after="80"/>
        <w:jc w:val="center"/>
        <w:rPr>
          <w:vanish/>
        </w:rPr>
      </w:pPr>
      <w:r>
        <w:t xml:space="preserve">جدول ۴-۱۱ وزن AHP و رتبه گویه‌های چالش فروش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4250"/>
        <w:gridCol w:w="950"/>
        <w:gridCol w:w="1250"/>
        <w:gridCol w:w="113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ردیف (جدول ۴-۶)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امتیاز (دور سوم)</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گویه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۱۱۸٫۰۰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r>
    </w:tbl>
    <w:p w14:paraId="1D598F91" w14:textId="77777777" w:rsidR="00E94CEF" w:rsidRDefault="00E94CEF">
      <w:pPr>
        <w:bidi/>
        <w:jc w:val="lowKashida"/>
      </w:pPr>
    </w:p>
    <w:p>
      <w:pPr>
        <w:bidi/>
        <w:spacing w:after="80"/>
        <w:jc w:val="lowKashida"/>
      </w:pPr>
      <w:r>
        <w:rPr>
          <w:rtl/>
        </w:rPr>
        <w:t xml:space="preserve">بیشترین وزن (۰٫۰۴۲۴) به دو گویه «ورود رقبای جدید و افزایش شدت رقابت» و «افزایش بهای تمام‌شده و فشار بر حاشیه سود» تعلق گرفت؛ پس از آن‌ها گویه «تغییر سریع ذائقه و ترجیحات مصرف‌کننده در گذر زمان» (۰٫۰۴۰۰) و دو گویه «محدود بودن بازار هدف به یک گروه خاص از مشتریان» و «نوسان و کمبود در تأمین مواد اولیه» (هر دو ۰٫۰۳۸۷) آمدند. در سوی دیگر، سه گویه «نبود نوآوری و توسعه محصول»، «کم‌توجهی به تحقیقات بازار و مطالعه رفتار مصرف‌کننده» و «ضعف در نظام برنامه‌ریزی و اطلاعات فروش» با وزن ۰٫۰۲۶۶ در پایین‌ترین رتبه (۲۷) جای دارند؛ وزن بیشترین گویه‌ها حدود ۱٫۶ برابر وزن کمترین آن‌هاست. هفده گویه میانگین دقیقاً ۴٫۰۰ و در نتیجه وزن یکسان (۰٫۰۳۳۹) دارند؛ یعنی هر هفت عضو پانل به آن‌ها امتیاز ۴ داده‌اند و میان این گویه‌ها تمایز رتبه‌ای وجود ندارد.</w:t>
      </w:r>
    </w:p>
    <w:p>
      <w:pPr>
        <w:pStyle w:val="Heading4"/>
        <w:keepNext/>
        <w:bidi/>
        <w:spacing w:before="180" w:after="80"/>
        <w:jc w:val="lowKashida"/>
      </w:pPr>
      <w:r>
        <w:t xml:space="preserve">۴-۶-۲-۳ گام سوم: مؤلفه‌ها و وزن آن‌ها</w:t>
      </w:r>
    </w:p>
    <w:p>
      <w:pPr>
        <w:bidi/>
        <w:spacing w:after="80"/>
        <w:jc w:val="lowKashida"/>
      </w:pPr>
      <w:r>
        <w:rPr>
          <w:rtl/>
        </w:rPr>
        <w:t xml:space="preserve">برای تکمیل سلسله‌مراتب، ۲۹ گویه بر پایه شباهت مضمونی در نُه مؤلفه سازمان‌دهی شدند: پنج مؤلفه درون‌سازمانی با ۱۸ گویه و چهار مؤلفه برون‌سازمانی با ۱۱ گویه. ستون «ردیف گویه‌ها» در جدول ۴-۱۲ نشان می‌دهد هر مؤلفه کدام گویه‌های جدول ۴-۶ را در بر دارد.</w:t>
      </w:r>
    </w:p>
    <w:p>
      <w:pPr>
        <w:bidi/>
        <w:spacing w:after="80"/>
        <w:jc w:val="lowKashida"/>
      </w:pPr>
      <w:r>
        <w:rPr>
          <w:rtl/>
        </w:rPr>
        <w:t xml:space="preserve">وزن هر مؤلفه از وزن گویه‌های آن به دست می‌آید: میانگین وزن گویه‌های مؤلفه محاسبه می‌شود و، برای آنکه مجموع وزن مؤلفه‌ها یک شود، بر مجموع این میانگین‌ها در نُه مؤلفه تقسیم می‌شود. چون وزن هر گویه با میانگین امتیاز آن متناسب است، همین وزن به‌طور معادل از رابطه زیر به دست می‌آید:</w:t>
      </w:r>
    </w:p>
    <w:p>
      <w:pPr>
        <w:bidi/>
        <w:spacing w:after="140" w:before="80"/>
        <w:ind w:firstLine="0"/>
        <w:jc w:val="center"/>
      </w:pPr>
      <w:r>
        <w:rPr>
          <w:rtl/>
        </w:rPr>
        <w:t xml:space="preserve">وزن مؤلفه = میانگین امتیاز مؤلفه تقسیم بر مجموع میانگین‌های نُه مؤلفه</w:t>
      </w:r>
    </w:p>
    <w:p>
      <w:pPr>
        <w:bidi/>
        <w:spacing w:after="80"/>
        <w:jc w:val="lowKashida"/>
      </w:pPr>
      <w:r>
        <w:rPr>
          <w:rtl/>
        </w:rPr>
        <w:t xml:space="preserve">مجموع میانگین امتیاز نُه مؤلفه ۳۷٫۰۱ است. برای نمونه، مؤلفه «فشارهای اقتصاد کلان و کاهش قدرت خرید» دو گویه (ردیف‌های ۲۸ و ۲۹) با میانگین ۵٫۰۰ و ۴٫۰۰ دارد؛ میانگین امتیاز مؤلفه ۴٫۵۰ است و وزن آن برابر ۰٫۱۲۲ (۴٫۵۰ تقسیم بر ۳۷٫۰۱) می‌شود. میانگین (و نه مجموع) گرفته شد تا شمار گویه‌های هر مؤلفه، که از شیوه دسته‌بندی ناشی می‌شود و نه از اهمیت چالش، بر وزن آن اثر نگذارد. جدول ۴-۱۲ وزن و رتبه نُه مؤلفه را نشان می‌دهد.</w:t>
      </w:r>
    </w:p>
    <w:p>
      <w:pPr>
        <w:pStyle w:val="TableCaption"/>
        <w:keepNext/>
        <w:spacing w:before="160" w:after="80"/>
        <w:jc w:val="center"/>
        <w:rPr>
          <w:vanish/>
        </w:rPr>
      </w:pPr>
      <w:r>
        <w:t xml:space="preserve">جدول ۴-۱۲ وزن AHP و رتبه مؤلفه‌های چالش فروش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500"/>
        <w:gridCol w:w="1450"/>
        <w:gridCol w:w="1250"/>
        <w:gridCol w:w="1250"/>
        <w:gridCol w:w="12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دسته</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ردیف گویه‌ها (جدول ۴-۶)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امتیاز</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مؤلفه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۲۸ و ۲۹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۴٫۵۰</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۲۲ تا ۲۴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 تا ۲۱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۴٫۳۳</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 تا 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۴٫۲۹</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۲۵ تا ۲۷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۴٫۱۹</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۱۵ تا ۱۸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۴٫۱۱</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 تا ۱۰</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۳٫۸۱</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 تا ۱۴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۳٫۷۹</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 تا 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۳٫۵۷</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۰٫۰۹۶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 تا ۲۹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۳۷٫۰۱</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r>
    </w:tbl>
    <w:p w14:paraId="1D598F91" w14:textId="77777777" w:rsidR="00E94CEF" w:rsidRDefault="00E94CEF">
      <w:pPr>
        <w:bidi/>
        <w:jc w:val="lowKashida"/>
      </w:pPr>
    </w:p>
    <w:p>
      <w:pPr>
        <w:bidi/>
        <w:spacing w:after="80"/>
        <w:jc w:val="lowKashida"/>
      </w:pPr>
      <w:r>
        <w:rPr>
          <w:rtl/>
        </w:rPr>
        <w:t xml:space="preserve">مؤلفه «فشارهای اقتصاد کلان و کاهش قدرت خرید» با وزن ۰٫۱۲۲ در رتبه نخست است و مؤلفه‌های «تغییر ذائقه مصرف‌کننده و محدودیت بازار هدف» (۰٫۱۲۰) و «شدت رقابت و فشار قیمتی بازار» (۰٫۱۱۷) در رتبه‌های دوم و سوم‌اند. هر چهار مؤلفه برون‌سازمانی (رتبه‌های ۱، ۲، ۳ و ۵) در پنج رتبه نخست جای دارند و میانگین امتیاز آن‌ها (۴٫۳۶) از میانگین پنج مؤلفه درون‌سازمانی (۳٫۹۱) بیشتر است؛ در سطح گویه نیز هر پنج گویه‌ای که بیشترین وزن را دارند به مؤلفه‌های برون‌سازمانی تعلق دارند و هر سه گویه‌ای که کمترین وزن را دارند درون‌سازمانی‌اند. وزن مؤلفه‌ها به هم نزدیک است (از ۰٫۰۹۶ تا ۰٫۱۲۲؛ بیشترین وزن حدود ۱٫۳ برابر کمترین است)؛ از این رو جدا کردن دسته‌های بالا و پایین جدول از یکدیگر اطمینان بیشتری دارد تا ترتیب دقیق مؤلفه‌های مجاور.</w:t>
      </w:r>
    </w:p>
    <w:p>
      <w:pPr>
        <w:pStyle w:val="Heading4"/>
        <w:keepNext/>
        <w:bidi/>
        <w:spacing w:before="180" w:after="80"/>
        <w:jc w:val="lowKashida"/>
      </w:pPr>
      <w:r>
        <w:t xml:space="preserve">۴-۶-۲-۴ پاسخ پرسش دوم</w:t>
      </w:r>
    </w:p>
    <w:p>
      <w:pPr>
        <w:bidi/>
        <w:spacing w:after="80"/>
        <w:jc w:val="lowKashida"/>
      </w:pPr>
      <w:r>
        <w:rPr>
          <w:rtl/>
        </w:rPr>
        <w:t xml:space="preserve">اولویت چالش‌های فروش به ترتیب وزن آن‌هاست. در سطح گویه، مهم‌ترین چالش‌ها «ورود رقبای جدید و افزایش شدت رقابت» و «افزایش بهای تمام‌شده و فشار بر حاشیه سود» (هر یک ۰٫۰۴۲۴) هستند و پس از آن‌ها «تغییر سریع ذائقه و ترجیحات مصرف‌کننده در گذر زمان»، «محدود بودن بازار هدف به یک گروه خاص از مشتریان» و «نوسان و کمبود در تأمین مواد اولیه» قرار دارند؛ کم‌اهمیت‌ترین‌ها سه گویه با وزن ۰٫۰۲۶۶ هستند. در سطح مؤلفه، «فشارهای اقتصاد کلان و کاهش قدرت خرید» (۰٫۱۲۲) نخست، «تغییر ذائقه مصرف‌کننده و محدودیت بازار هدف» (۰٫۱۲۰) دوم و «شدت رقابت و فشار قیمتی بازار» (۰٫۱۱۷) سوم است و «ضعف برندسازی و دشواری تمایز محصول» (۰٫۰۹۶) در رتبه آخر جای دارد. جدول ۴-۱۳ در پایان فصل وزن هر مؤلفه و گویه‌های آن را یکجا نشان می‌دهد و تفسیر این الگو در فصل پنجم ارائه می‌شود.</w:t>
      </w:r>
    </w:p>
    <w:p>
      <w:pPr>
        <w:pStyle w:val="Heading2"/>
        <w:keepNext/>
        <w:bidi/>
        <w:spacing w:before="180" w:after="80"/>
        <w:jc w:val="lowKashida"/>
      </w:pPr>
      <w:r>
        <w:t xml:space="preserve">۴-۷ خلاصه فصل</w:t>
      </w:r>
    </w:p>
    <w:p>
      <w:pPr>
        <w:bidi/>
        <w:spacing w:after="80"/>
        <w:jc w:val="lowKashida"/>
      </w:pPr>
      <w:r>
        <w:rPr>
          <w:rtl/>
        </w:rPr>
        <w:t xml:space="preserve">این فصل یافته‌های اجرای کامل فرایند دلفی سه‌دوره‌ای با پانل هفت‌نفره خبرگان صنعت مواد غذایی و وزن‌دهی به روش AHP را ارائه کرد. دور نخست، که مصاحبه‌ای با یک پرسش باز بود، پس از تحلیل مضمون و ترکیب با چالش‌های برگرفته از ادبیات، به ۲۹ گویه انجامید (جدول ۴-۶). در دورهای دوم و سوم، پانل اهمیت گویه‌ها را بر طیف پنج‌درجه‌ای امتیاز داد؛ ضریب هماهنگی کندال از دور دوم (W=۰٫۲۲۴) به دور سوم (W=۰٫۷۵۶) افزایش چشمگیری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نیز نشان داد فرایند به ثبات رسیده است. سپس پرسشنامه دور سوم برای وزن‌دهی به روش AHP به کار رفت: نخست وزن هر گویه از میانگین امتیاز آن (جدول ۴-۱۱) و سپس وزن هر یک از نُه مؤلفه از وزن گویه‌های آن (جدول ۴-۱۲) به دست آمد. بیشترین وزن گویه (۰٫۰۴۲۴) به دو گویه «ورود رقبای جدید و افزایش شدت رقابت» و «افزایش بهای تمام‌شده و فشار بر حاشیه سود» و بیشترین وزن مؤلفه (۰٫۱۲۲) به «فشارهای اقتصاد کلان و کاهش قدرت خرید» تعلق گرفت؛ هر چهار مؤلفه برون‌سازمانی در پنج رتبه نخست جای گرفتند. جدول ۴-۱۳ وزن هر مؤلفه و وزن گویه‌های آن را یکجا نشان می‌دهد.</w:t>
      </w:r>
    </w:p>
    <w:p>
      <w:pPr>
        <w:pStyle w:val="TableCaption"/>
        <w:keepNext/>
        <w:spacing w:before="160" w:after="80"/>
        <w:jc w:val="center"/>
        <w:rPr>
          <w:vanish/>
        </w:rPr>
      </w:pPr>
      <w:r>
        <w:t xml:space="preserve">جدول ۴-۱۳ خلاصه وزن مؤلفه‌ها و گویه‌های چالش فروش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50"/>
        <w:gridCol w:w="850"/>
        <w:gridCol w:w="3500"/>
        <w:gridCol w:w="900"/>
        <w:gridCol w:w="888"/>
      </w:tblGrid>
      <w:tr>
        <w:trPr>
          <w:cantSplit/>
          <w:tblHeader/>
        </w:trPr>
        <w:tc>
          <w:tcPr>
            <w:tcW w:w="21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 (رتبه)</w:t>
            </w:r>
          </w:p>
        </w:tc>
        <w:tc>
          <w:tcPr>
            <w:tcW w:w="8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مؤلفه</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گویه</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 گویه</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۱) فشارهای اقتصاد کلان و کاهش قدرت خرید</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۰٫۱۲۲</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۲) تغییر ذائقه مصرف‌کننده و محدودیت بازار هدف</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۰٫۱۲۰</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۳) شدت رقابت و فشار قیمتی بازار</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۰٫۱۱۷</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۴) آسیب‌پذیری ساختاری ناشی از تمرکز بر محصول واحد</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۰٫۱۱۶</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۵) ناپایداری تأمین و نوسان بهای مواد اولیه</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۰٫۱۱۳</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۶) ناکارآمدی و هزینه‌بری شبکه توزیع و فروش</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۰٫۱۱۱</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۷) دشواری جذب و حفظ مشتری و وفاداری پایین</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۰٫۱۰۳</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۸) ضعف در برنامه‌ریزی، پیش‌بینی و مدیریت فروش</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۰٫۱۰۲</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۹) ضعف برندسازی و دشواری تمایز محصول</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۰٫۰۹۶</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8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۲۹ گویه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r>
    </w:tbl>
    <w:p w14:paraId="1D598F91" w14:textId="77777777" w:rsidR="00E94CEF" w:rsidRDefault="00E94CEF">
      <w:pPr>
        <w:bidi/>
        <w:jc w:val="lowKashida"/>
      </w:pPr>
    </w:p>
    <w:p>
      <w:pPr>
        <w:bidi/>
        <w:spacing w:after="80"/>
        <w:jc w:val="lowKashida"/>
      </w:pPr>
      <w:r>
        <w:rPr>
          <w:rtl/>
        </w:rPr>
        <w:t xml:space="preserve">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3">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4">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5">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