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38F4" w14:textId="77777777" w:rsidR="0033740A" w:rsidRPr="0033740A" w:rsidRDefault="0033740A" w:rsidP="0033740A">
      <w:pPr>
        <w:spacing w:before="300" w:after="225" w:line="312" w:lineRule="atLeast"/>
        <w:textAlignment w:val="baseline"/>
        <w:outlineLvl w:val="0"/>
        <w:rPr>
          <w:rFonts w:eastAsia="Times New Roman" w:cstheme="minorHAnsi"/>
          <w:b/>
          <w:color w:val="272727"/>
          <w:kern w:val="36"/>
          <w:sz w:val="24"/>
          <w:szCs w:val="24"/>
          <w:u w:val="single"/>
        </w:rPr>
      </w:pPr>
      <w:r w:rsidRPr="0033740A">
        <w:rPr>
          <w:rFonts w:eastAsia="Times New Roman" w:cstheme="minorHAnsi"/>
          <w:b/>
          <w:color w:val="272727"/>
          <w:kern w:val="36"/>
          <w:sz w:val="24"/>
          <w:szCs w:val="24"/>
          <w:u w:val="single"/>
        </w:rPr>
        <w:t>Real Life Example of Opportunity Cost</w:t>
      </w:r>
    </w:p>
    <w:p w14:paraId="02908D74" w14:textId="6631CF77" w:rsidR="0033740A" w:rsidRPr="0033740A" w:rsidRDefault="0033740A" w:rsidP="0033740A">
      <w:pPr>
        <w:spacing w:beforeAutospacing="1" w:after="0" w:afterAutospacing="1" w:line="240" w:lineRule="auto"/>
        <w:textAlignment w:val="baseline"/>
        <w:rPr>
          <w:rFonts w:eastAsia="Times New Roman" w:cstheme="minorHAnsi"/>
          <w:color w:val="000000" w:themeColor="text1"/>
        </w:rPr>
      </w:pPr>
      <w:r w:rsidRPr="0033740A">
        <w:rPr>
          <w:rFonts w:eastAsia="Times New Roman" w:cstheme="minorHAnsi"/>
          <w:color w:val="000000" w:themeColor="text1"/>
          <w:bdr w:val="none" w:sz="0" w:space="0" w:color="auto" w:frame="1"/>
        </w:rPr>
        <w:t>Let’s look at a</w:t>
      </w:r>
      <w:r>
        <w:rPr>
          <w:rFonts w:eastAsia="Times New Roman" w:cstheme="minorHAnsi"/>
          <w:color w:val="000000" w:themeColor="text1"/>
          <w:bdr w:val="none" w:sz="0" w:space="0" w:color="auto" w:frame="1"/>
        </w:rPr>
        <w:t>n</w:t>
      </w:r>
      <w:r w:rsidRPr="0033740A">
        <w:rPr>
          <w:rFonts w:eastAsia="Times New Roman" w:cstheme="minorHAnsi"/>
          <w:color w:val="000000" w:themeColor="text1"/>
          <w:bdr w:val="none" w:sz="0" w:space="0" w:color="auto" w:frame="1"/>
        </w:rPr>
        <w:t xml:space="preserve"> example of how an investor faces opportunity costs when investing in an </w:t>
      </w:r>
      <w:hyperlink r:id="rId4" w:history="1">
        <w:r w:rsidRPr="0033740A">
          <w:rPr>
            <w:rFonts w:eastAsia="Times New Roman" w:cstheme="minorHAnsi"/>
            <w:color w:val="000000" w:themeColor="text1"/>
            <w:bdr w:val="none" w:sz="0" w:space="0" w:color="auto" w:frame="1"/>
          </w:rPr>
          <w:t>Exchange Traded Fund (ETF)</w:t>
        </w:r>
      </w:hyperlink>
      <w:r w:rsidRPr="0033740A">
        <w:rPr>
          <w:rFonts w:eastAsia="Times New Roman" w:cstheme="minorHAnsi"/>
          <w:color w:val="000000" w:themeColor="text1"/>
          <w:bdr w:val="none" w:sz="0" w:space="0" w:color="auto" w:frame="1"/>
        </w:rPr>
        <w:t> compared to a regular savings account with a 1% annual yield. For this example, we will examine a one-year investment horizon starting on June 30, 2016, so we can see how the decision would have turned out by the end of June 30th of 2017.</w:t>
      </w:r>
    </w:p>
    <w:p w14:paraId="7E8F5EA6" w14:textId="5151381B" w:rsidR="0033740A" w:rsidRPr="0033740A" w:rsidRDefault="0033740A" w:rsidP="0033740A">
      <w:pPr>
        <w:spacing w:beforeAutospacing="1" w:after="0" w:afterAutospacing="1" w:line="240" w:lineRule="auto"/>
        <w:textAlignment w:val="baseline"/>
        <w:rPr>
          <w:rFonts w:eastAsia="Times New Roman" w:cstheme="minorHAnsi"/>
          <w:color w:val="000000" w:themeColor="text1"/>
        </w:rPr>
      </w:pPr>
      <w:r w:rsidRPr="0033740A">
        <w:rPr>
          <w:rFonts w:eastAsia="Times New Roman" w:cstheme="minorHAnsi"/>
          <w:color w:val="000000" w:themeColor="text1"/>
          <w:bdr w:val="none" w:sz="0" w:space="0" w:color="auto" w:frame="1"/>
        </w:rPr>
        <w:t>Suppose you are an investor with cash to invest on June 30th of 2016. Let’s also assume that you have narrowed down your choices to just two possible investments. One possibility is the </w:t>
      </w:r>
      <w:hyperlink r:id="rId5" w:history="1">
        <w:r w:rsidRPr="0033740A">
          <w:rPr>
            <w:rFonts w:eastAsia="Times New Roman" w:cstheme="minorHAnsi"/>
            <w:color w:val="000000" w:themeColor="text1"/>
            <w:bdr w:val="none" w:sz="0" w:space="0" w:color="auto" w:frame="1"/>
          </w:rPr>
          <w:t>Moderate Mix themed ETF</w:t>
        </w:r>
      </w:hyperlink>
      <w:r w:rsidRPr="0033740A">
        <w:rPr>
          <w:rFonts w:eastAsia="Times New Roman" w:cstheme="minorHAnsi"/>
          <w:color w:val="000000" w:themeColor="text1"/>
          <w:bdr w:val="none" w:sz="0" w:space="0" w:color="auto" w:frame="1"/>
        </w:rPr>
        <w:t> with ticker symbol AOM. The other is a regular savings account with a guaranteed rate of return of 1%.  </w:t>
      </w:r>
    </w:p>
    <w:p w14:paraId="5D2EF965" w14:textId="2B8034C5" w:rsidR="0033740A" w:rsidRPr="0033740A" w:rsidRDefault="0033740A" w:rsidP="0033740A">
      <w:pPr>
        <w:spacing w:beforeAutospacing="1" w:after="0" w:afterAutospacing="1" w:line="240" w:lineRule="auto"/>
        <w:textAlignment w:val="baseline"/>
        <w:rPr>
          <w:rFonts w:eastAsia="Times New Roman" w:cstheme="minorHAnsi"/>
        </w:rPr>
      </w:pPr>
      <w:r>
        <w:rPr>
          <w:rFonts w:eastAsia="Times New Roman" w:cstheme="minorHAnsi"/>
          <w:bdr w:val="none" w:sz="0" w:space="0" w:color="auto" w:frame="1"/>
        </w:rPr>
        <w:t>On June 30, 2017, w</w:t>
      </w:r>
      <w:r w:rsidRPr="0033740A">
        <w:rPr>
          <w:rFonts w:eastAsia="Times New Roman" w:cstheme="minorHAnsi"/>
          <w:bdr w:val="none" w:sz="0" w:space="0" w:color="auto" w:frame="1"/>
        </w:rPr>
        <w:t>ith one year’s worth of historical performance</w:t>
      </w:r>
      <w:r>
        <w:rPr>
          <w:rFonts w:eastAsia="Times New Roman" w:cstheme="minorHAnsi"/>
          <w:bdr w:val="none" w:sz="0" w:space="0" w:color="auto" w:frame="1"/>
        </w:rPr>
        <w:t>,</w:t>
      </w:r>
      <w:r w:rsidRPr="0033740A">
        <w:rPr>
          <w:rFonts w:eastAsia="Times New Roman" w:cstheme="minorHAnsi"/>
          <w:bdr w:val="none" w:sz="0" w:space="0" w:color="auto" w:frame="1"/>
        </w:rPr>
        <w:t xml:space="preserve"> it </w:t>
      </w:r>
      <w:r>
        <w:rPr>
          <w:rFonts w:eastAsia="Times New Roman" w:cstheme="minorHAnsi"/>
          <w:bdr w:val="none" w:sz="0" w:space="0" w:color="auto" w:frame="1"/>
        </w:rPr>
        <w:t>would then be</w:t>
      </w:r>
      <w:r w:rsidRPr="0033740A">
        <w:rPr>
          <w:rFonts w:eastAsia="Times New Roman" w:cstheme="minorHAnsi"/>
          <w:bdr w:val="none" w:sz="0" w:space="0" w:color="auto" w:frame="1"/>
        </w:rPr>
        <w:t xml:space="preserve"> possible to see the opportunity costs associated with </w:t>
      </w:r>
      <w:r>
        <w:rPr>
          <w:rFonts w:eastAsia="Times New Roman" w:cstheme="minorHAnsi"/>
          <w:bdr w:val="none" w:sz="0" w:space="0" w:color="auto" w:frame="1"/>
        </w:rPr>
        <w:t>the</w:t>
      </w:r>
      <w:r w:rsidRPr="0033740A">
        <w:rPr>
          <w:rFonts w:eastAsia="Times New Roman" w:cstheme="minorHAnsi"/>
          <w:bdr w:val="none" w:sz="0" w:space="0" w:color="auto" w:frame="1"/>
        </w:rPr>
        <w:t xml:space="preserve"> investment decision. Looking at actual performance data of these two investments from June 30th 2016 to June 30th of 2017, the Moderate Mix themed ETF (AOM) had a total return (including any dividends) of 7.7% while the savings account had a guaranteed total return of 1%. </w:t>
      </w:r>
      <w:r>
        <w:rPr>
          <w:rFonts w:eastAsia="Times New Roman" w:cstheme="minorHAnsi"/>
          <w:bdr w:val="none" w:sz="0" w:space="0" w:color="auto" w:frame="1"/>
        </w:rPr>
        <w:t>W</w:t>
      </w:r>
      <w:r w:rsidRPr="0033740A">
        <w:rPr>
          <w:rFonts w:eastAsia="Times New Roman" w:cstheme="minorHAnsi"/>
          <w:bdr w:val="none" w:sz="0" w:space="0" w:color="auto" w:frame="1"/>
        </w:rPr>
        <w:t>hat is the opportunity cost of one investment over the other? The answer depends on what decision you made in June 2016.</w:t>
      </w:r>
    </w:p>
    <w:p w14:paraId="6E22889B" w14:textId="21A4DB5C"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bdr w:val="none" w:sz="0" w:space="0" w:color="auto" w:frame="1"/>
        </w:rPr>
        <w:t xml:space="preserve">Looking </w:t>
      </w:r>
      <w:r>
        <w:rPr>
          <w:rFonts w:eastAsia="Times New Roman" w:cstheme="minorHAnsi"/>
          <w:bdr w:val="none" w:sz="0" w:space="0" w:color="auto" w:frame="1"/>
        </w:rPr>
        <w:t>to the</w:t>
      </w:r>
      <w:r w:rsidRPr="0033740A">
        <w:rPr>
          <w:rFonts w:eastAsia="Times New Roman" w:cstheme="minorHAnsi"/>
          <w:bdr w:val="none" w:sz="0" w:space="0" w:color="auto" w:frame="1"/>
        </w:rPr>
        <w:t xml:space="preserve"> formula for opportunity costs, it is calculated as:</w:t>
      </w:r>
    </w:p>
    <w:p w14:paraId="3DDF983F" w14:textId="77777777"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bdr w:val="none" w:sz="0" w:space="0" w:color="auto" w:frame="1"/>
        </w:rPr>
        <w:t>What you sacrifice / What you gain = opportunity costs</w:t>
      </w:r>
    </w:p>
    <w:p w14:paraId="45E07F21" w14:textId="3840B055" w:rsidR="0033740A" w:rsidRPr="0033740A" w:rsidRDefault="0033740A" w:rsidP="0033740A">
      <w:pPr>
        <w:spacing w:beforeAutospacing="1" w:after="0" w:afterAutospacing="1" w:line="240" w:lineRule="auto"/>
        <w:textAlignment w:val="baseline"/>
        <w:rPr>
          <w:rFonts w:eastAsia="Times New Roman" w:cstheme="minorHAnsi"/>
        </w:rPr>
      </w:pPr>
      <w:r>
        <w:rPr>
          <w:rFonts w:eastAsia="Times New Roman" w:cstheme="minorHAnsi"/>
          <w:bdr w:val="none" w:sz="0" w:space="0" w:color="auto" w:frame="1"/>
        </w:rPr>
        <w:t>I</w:t>
      </w:r>
      <w:r w:rsidRPr="0033740A">
        <w:rPr>
          <w:rFonts w:eastAsia="Times New Roman" w:cstheme="minorHAnsi"/>
          <w:bdr w:val="none" w:sz="0" w:space="0" w:color="auto" w:frame="1"/>
        </w:rPr>
        <w:t>f you had invest</w:t>
      </w:r>
      <w:r>
        <w:rPr>
          <w:rFonts w:eastAsia="Times New Roman" w:cstheme="minorHAnsi"/>
          <w:bdr w:val="none" w:sz="0" w:space="0" w:color="auto" w:frame="1"/>
        </w:rPr>
        <w:t>ed</w:t>
      </w:r>
      <w:r w:rsidRPr="0033740A">
        <w:rPr>
          <w:rFonts w:eastAsia="Times New Roman" w:cstheme="minorHAnsi"/>
          <w:bdr w:val="none" w:sz="0" w:space="0" w:color="auto" w:frame="1"/>
        </w:rPr>
        <w:t xml:space="preserve"> in the regular savings account, by definition you would have sacrificed the Moderate Mix themed ETF. In that case your opportunity cost of investing in the savings account and foregoing the Moderate Mix investment is:</w:t>
      </w:r>
    </w:p>
    <w:p w14:paraId="5079F173" w14:textId="77777777" w:rsidR="0033740A" w:rsidRPr="0033740A" w:rsidRDefault="0033740A" w:rsidP="00660744">
      <w:pPr>
        <w:spacing w:beforeAutospacing="1" w:after="0" w:afterAutospacing="1" w:line="240" w:lineRule="auto"/>
        <w:ind w:firstLine="720"/>
        <w:textAlignment w:val="baseline"/>
        <w:rPr>
          <w:rFonts w:eastAsia="Times New Roman" w:cstheme="minorHAnsi"/>
        </w:rPr>
      </w:pPr>
      <w:r w:rsidRPr="0033740A">
        <w:rPr>
          <w:rFonts w:eastAsia="Times New Roman" w:cstheme="minorHAnsi"/>
          <w:bdr w:val="none" w:sz="0" w:space="0" w:color="auto" w:frame="1"/>
        </w:rPr>
        <w:t>Opportunity cost of investing in the savings account: 7.7% / 1% = 7.7% for that period.</w:t>
      </w:r>
    </w:p>
    <w:p w14:paraId="7130A829" w14:textId="77777777"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bdr w:val="none" w:sz="0" w:space="0" w:color="auto" w:frame="1"/>
        </w:rPr>
        <w:t xml:space="preserve">Remember that opportunity cost is a ratio of what you sacrificed versus what you gained. </w:t>
      </w:r>
      <w:proofErr w:type="gramStart"/>
      <w:r w:rsidRPr="0033740A">
        <w:rPr>
          <w:rFonts w:eastAsia="Times New Roman" w:cstheme="minorHAnsi"/>
          <w:bdr w:val="none" w:sz="0" w:space="0" w:color="auto" w:frame="1"/>
        </w:rPr>
        <w:t>So</w:t>
      </w:r>
      <w:proofErr w:type="gramEnd"/>
      <w:r w:rsidRPr="0033740A">
        <w:rPr>
          <w:rFonts w:eastAsia="Times New Roman" w:cstheme="minorHAnsi"/>
          <w:bdr w:val="none" w:sz="0" w:space="0" w:color="auto" w:frame="1"/>
        </w:rPr>
        <w:t xml:space="preserve"> what this calculation says is that for any 1% of return you gained from investing in the savings account, you sacrificed 7.7% of return in the Moderate Mix investment for that year. </w:t>
      </w:r>
      <w:proofErr w:type="gramStart"/>
      <w:r w:rsidRPr="0033740A">
        <w:rPr>
          <w:rFonts w:eastAsia="Times New Roman" w:cstheme="minorHAnsi"/>
          <w:bdr w:val="none" w:sz="0" w:space="0" w:color="auto" w:frame="1"/>
        </w:rPr>
        <w:t>So</w:t>
      </w:r>
      <w:proofErr w:type="gramEnd"/>
      <w:r w:rsidRPr="0033740A">
        <w:rPr>
          <w:rFonts w:eastAsia="Times New Roman" w:cstheme="minorHAnsi"/>
          <w:bdr w:val="none" w:sz="0" w:space="0" w:color="auto" w:frame="1"/>
        </w:rPr>
        <w:t xml:space="preserve"> the opportunity cost of investing in the savings account versus the Moderate Mix investment in this period is 7.7%.</w:t>
      </w:r>
    </w:p>
    <w:p w14:paraId="72B00F7F" w14:textId="4D236B90"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bdr w:val="none" w:sz="0" w:space="0" w:color="auto" w:frame="1"/>
        </w:rPr>
        <w:t xml:space="preserve">What if you had done the opposite and invested in </w:t>
      </w:r>
      <w:r w:rsidR="006D550E" w:rsidRPr="006D550E">
        <w:rPr>
          <w:rFonts w:eastAsia="Times New Roman" w:cstheme="minorHAnsi"/>
          <w:bdr w:val="none" w:sz="0" w:space="0" w:color="auto" w:frame="1"/>
        </w:rPr>
        <w:t xml:space="preserve">ETF </w:t>
      </w:r>
      <w:r w:rsidR="00660744" w:rsidRPr="006D550E">
        <w:rPr>
          <w:rFonts w:eastAsia="Times New Roman" w:cstheme="minorHAnsi"/>
          <w:bdr w:val="none" w:sz="0" w:space="0" w:color="auto" w:frame="1"/>
        </w:rPr>
        <w:t>instead</w:t>
      </w:r>
      <w:r w:rsidRPr="0033740A">
        <w:rPr>
          <w:rFonts w:eastAsia="Times New Roman" w:cstheme="minorHAnsi"/>
          <w:bdr w:val="none" w:sz="0" w:space="0" w:color="auto" w:frame="1"/>
        </w:rPr>
        <w:t>, what is your opportunity cost in this case? To find out, we simply need to reverse our earlier calculation.</w:t>
      </w:r>
    </w:p>
    <w:p w14:paraId="674F7CD6" w14:textId="10B7A9C3" w:rsidR="0033740A" w:rsidRPr="0033740A" w:rsidRDefault="0033740A" w:rsidP="00660744">
      <w:pPr>
        <w:spacing w:beforeAutospacing="1" w:after="0" w:afterAutospacing="1" w:line="240" w:lineRule="auto"/>
        <w:ind w:left="720"/>
        <w:textAlignment w:val="baseline"/>
        <w:rPr>
          <w:rFonts w:eastAsia="Times New Roman" w:cstheme="minorHAnsi"/>
        </w:rPr>
      </w:pPr>
      <w:r w:rsidRPr="0033740A">
        <w:rPr>
          <w:rFonts w:eastAsia="Times New Roman" w:cstheme="minorHAnsi"/>
          <w:bdr w:val="none" w:sz="0" w:space="0" w:color="auto" w:frame="1"/>
        </w:rPr>
        <w:t>Opportunity cost of investing in the ETF: 1% /</w:t>
      </w:r>
      <w:r w:rsidR="006D550E">
        <w:rPr>
          <w:rFonts w:eastAsia="Times New Roman" w:cstheme="minorHAnsi"/>
          <w:bdr w:val="none" w:sz="0" w:space="0" w:color="auto" w:frame="1"/>
        </w:rPr>
        <w:t xml:space="preserve"> </w:t>
      </w:r>
      <w:r w:rsidRPr="0033740A">
        <w:rPr>
          <w:rFonts w:eastAsia="Times New Roman" w:cstheme="minorHAnsi"/>
          <w:bdr w:val="none" w:sz="0" w:space="0" w:color="auto" w:frame="1"/>
        </w:rPr>
        <w:t>7.7% = 0.13% for that period.</w:t>
      </w:r>
    </w:p>
    <w:p w14:paraId="6F7507C3" w14:textId="48057A91"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color w:val="000000" w:themeColor="text1"/>
          <w:bdr w:val="none" w:sz="0" w:space="0" w:color="auto" w:frame="1"/>
        </w:rPr>
        <w:t xml:space="preserve">This calculation tells us that for every </w:t>
      </w:r>
      <w:r w:rsidRPr="006D550E">
        <w:rPr>
          <w:rFonts w:eastAsia="Times New Roman" w:cstheme="minorHAnsi"/>
          <w:color w:val="000000" w:themeColor="text1"/>
          <w:bdr w:val="none" w:sz="0" w:space="0" w:color="auto" w:frame="1"/>
        </w:rPr>
        <w:t>1%</w:t>
      </w:r>
      <w:r w:rsidRPr="0033740A">
        <w:rPr>
          <w:rFonts w:eastAsia="Times New Roman" w:cstheme="minorHAnsi"/>
          <w:color w:val="000000" w:themeColor="text1"/>
          <w:bdr w:val="none" w:sz="0" w:space="0" w:color="auto" w:frame="1"/>
        </w:rPr>
        <w:t xml:space="preserve"> of return you gained in that period from investing in the </w:t>
      </w:r>
      <w:hyperlink r:id="rId6" w:history="1">
        <w:r w:rsidRPr="0033740A">
          <w:rPr>
            <w:rFonts w:eastAsia="Times New Roman" w:cstheme="minorHAnsi"/>
            <w:color w:val="000000" w:themeColor="text1"/>
            <w:bdr w:val="none" w:sz="0" w:space="0" w:color="auto" w:frame="1"/>
          </w:rPr>
          <w:t>Moderate Mix themed ETF</w:t>
        </w:r>
      </w:hyperlink>
      <w:r w:rsidRPr="0033740A">
        <w:rPr>
          <w:rFonts w:eastAsia="Times New Roman" w:cstheme="minorHAnsi"/>
          <w:color w:val="000000" w:themeColor="text1"/>
          <w:bdr w:val="none" w:sz="0" w:space="0" w:color="auto" w:frame="1"/>
        </w:rPr>
        <w:t xml:space="preserve">, you </w:t>
      </w:r>
      <w:r w:rsidRPr="0033740A">
        <w:rPr>
          <w:rFonts w:eastAsia="Times New Roman" w:cstheme="minorHAnsi"/>
          <w:bdr w:val="none" w:sz="0" w:space="0" w:color="auto" w:frame="1"/>
        </w:rPr>
        <w:t xml:space="preserve">sacrificed 0.13% of return from the savings account. </w:t>
      </w:r>
      <w:r w:rsidRPr="006D550E">
        <w:rPr>
          <w:rFonts w:eastAsia="Times New Roman" w:cstheme="minorHAnsi"/>
          <w:bdr w:val="none" w:sz="0" w:space="0" w:color="auto" w:frame="1"/>
        </w:rPr>
        <w:t>Clearly the opportunity cost of sacrificing the Moderate Mix themed ETF in this example is higher than the opportunity cost of sacrificing the savings account</w:t>
      </w:r>
      <w:r w:rsidR="006D550E">
        <w:rPr>
          <w:rFonts w:eastAsia="Times New Roman" w:cstheme="minorHAnsi"/>
          <w:bdr w:val="none" w:sz="0" w:space="0" w:color="auto" w:frame="1"/>
        </w:rPr>
        <w:t xml:space="preserve"> (</w:t>
      </w:r>
      <w:proofErr w:type="spellStart"/>
      <w:r w:rsidR="006D550E">
        <w:rPr>
          <w:rFonts w:eastAsia="Times New Roman" w:cstheme="minorHAnsi"/>
          <w:bdr w:val="none" w:sz="0" w:space="0" w:color="auto" w:frame="1"/>
        </w:rPr>
        <w:t>ie</w:t>
      </w:r>
      <w:proofErr w:type="spellEnd"/>
      <w:r w:rsidR="006D550E">
        <w:rPr>
          <w:rFonts w:eastAsia="Times New Roman" w:cstheme="minorHAnsi"/>
          <w:bdr w:val="none" w:sz="0" w:space="0" w:color="auto" w:frame="1"/>
        </w:rPr>
        <w:t>, the opportunity cost of the ETF is less than the opportunity cost of the savings account</w:t>
      </w:r>
      <w:bookmarkStart w:id="0" w:name="_GoBack"/>
      <w:bookmarkEnd w:id="0"/>
      <w:r w:rsidR="006D550E">
        <w:rPr>
          <w:rFonts w:eastAsia="Times New Roman" w:cstheme="minorHAnsi"/>
          <w:bdr w:val="none" w:sz="0" w:space="0" w:color="auto" w:frame="1"/>
        </w:rPr>
        <w:t>).</w:t>
      </w:r>
      <w:r w:rsidRPr="0033740A">
        <w:rPr>
          <w:rFonts w:eastAsia="Times New Roman" w:cstheme="minorHAnsi"/>
          <w:bdr w:val="none" w:sz="0" w:space="0" w:color="auto" w:frame="1"/>
        </w:rPr>
        <w:t xml:space="preserve"> Looking back with perfect hindsight you would have wanted to be investing in the Moderate mix themed ETF.</w:t>
      </w:r>
    </w:p>
    <w:p w14:paraId="77B7C4DD" w14:textId="569A1B5F"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bdr w:val="none" w:sz="0" w:space="0" w:color="auto" w:frame="1"/>
        </w:rPr>
        <w:lastRenderedPageBreak/>
        <w:t xml:space="preserve">If the calculation had returned a ratio of 1%, then an investor </w:t>
      </w:r>
      <w:r w:rsidR="00660744">
        <w:rPr>
          <w:rFonts w:eastAsia="Times New Roman" w:cstheme="minorHAnsi"/>
          <w:bdr w:val="none" w:sz="0" w:space="0" w:color="auto" w:frame="1"/>
        </w:rPr>
        <w:t>w</w:t>
      </w:r>
      <w:r w:rsidRPr="0033740A">
        <w:rPr>
          <w:rFonts w:eastAsia="Times New Roman" w:cstheme="minorHAnsi"/>
          <w:bdr w:val="none" w:sz="0" w:space="0" w:color="auto" w:frame="1"/>
        </w:rPr>
        <w:t>ould be indifferent between the two investments. A ratio of 1% would mean that for every 1% per year you gained from one investment, you sacrificed the same amount by not investing in the other. The result is that these two figures net each other off, leaving you with no difference in return from investing in one versus the other.</w:t>
      </w:r>
    </w:p>
    <w:p w14:paraId="60084A65" w14:textId="77777777" w:rsidR="0033740A" w:rsidRPr="0033740A" w:rsidRDefault="0033740A" w:rsidP="0033740A">
      <w:pPr>
        <w:spacing w:beforeAutospacing="1" w:after="0" w:afterAutospacing="1" w:line="240" w:lineRule="auto"/>
        <w:textAlignment w:val="baseline"/>
        <w:rPr>
          <w:rFonts w:eastAsia="Times New Roman" w:cstheme="minorHAnsi"/>
        </w:rPr>
      </w:pPr>
      <w:r w:rsidRPr="0033740A">
        <w:rPr>
          <w:rFonts w:eastAsia="Times New Roman" w:cstheme="minorHAnsi"/>
          <w:bdr w:val="none" w:sz="0" w:space="0" w:color="auto" w:frame="1"/>
        </w:rPr>
        <w:t xml:space="preserve">You might be inclined to think that the opportunity cost of investing in moderate mix investment over a savings account is simply the difference in the total return over the </w:t>
      </w:r>
      <w:proofErr w:type="gramStart"/>
      <w:r w:rsidRPr="0033740A">
        <w:rPr>
          <w:rFonts w:eastAsia="Times New Roman" w:cstheme="minorHAnsi"/>
          <w:bdr w:val="none" w:sz="0" w:space="0" w:color="auto" w:frame="1"/>
        </w:rPr>
        <w:t>one year</w:t>
      </w:r>
      <w:proofErr w:type="gramEnd"/>
      <w:r w:rsidRPr="0033740A">
        <w:rPr>
          <w:rFonts w:eastAsia="Times New Roman" w:cstheme="minorHAnsi"/>
          <w:bdr w:val="none" w:sz="0" w:space="0" w:color="auto" w:frame="1"/>
        </w:rPr>
        <w:t xml:space="preserve"> period between the these two investments. In this case Moderate Mix returned 6.7% more than a savings account. But this approach is not entirely accurate. The reason is because we are trying to compare the value of one decision versus another. In other words, how much better or worse off are we compared to the next best alternative. You were invested in one ETF for the year, so to accurately measure the opportunity cost of not being invested in the savings account, you need to look at performance from the perspective of “for every 1% or $1 earned from making one decision, how much would you have earned from making the other.” It is the ratio of relative performance that matters, not the absolute difference.</w:t>
      </w:r>
    </w:p>
    <w:p w14:paraId="57D4CDB2" w14:textId="473BCD6E" w:rsidR="0033740A" w:rsidRPr="0033740A" w:rsidRDefault="0033740A" w:rsidP="0033740A">
      <w:pPr>
        <w:spacing w:line="240" w:lineRule="auto"/>
        <w:textAlignment w:val="baseline"/>
        <w:rPr>
          <w:rFonts w:eastAsia="Times New Roman" w:cstheme="minorHAnsi"/>
        </w:rPr>
      </w:pPr>
    </w:p>
    <w:p w14:paraId="19B9FD7E" w14:textId="22516661" w:rsidR="00F731B1" w:rsidRPr="0033740A" w:rsidRDefault="0033740A" w:rsidP="0033740A">
      <w:pPr>
        <w:spacing w:after="0" w:line="240" w:lineRule="auto"/>
        <w:rPr>
          <w:rFonts w:cstheme="minorHAnsi"/>
          <w:i/>
        </w:rPr>
      </w:pPr>
      <w:r w:rsidRPr="0033740A">
        <w:rPr>
          <w:rFonts w:cstheme="minorHAnsi"/>
          <w:i/>
        </w:rPr>
        <w:t>Stash and Learn</w:t>
      </w:r>
    </w:p>
    <w:p w14:paraId="27D14E76" w14:textId="5925A602" w:rsidR="0033740A" w:rsidRPr="0033740A" w:rsidRDefault="0033740A" w:rsidP="0033740A">
      <w:pPr>
        <w:spacing w:after="0" w:line="240" w:lineRule="auto"/>
        <w:rPr>
          <w:rFonts w:cstheme="minorHAnsi"/>
          <w:i/>
        </w:rPr>
      </w:pPr>
      <w:r w:rsidRPr="0033740A">
        <w:rPr>
          <w:rFonts w:cstheme="minorHAnsi"/>
          <w:i/>
        </w:rPr>
        <w:t>July 20, 2017</w:t>
      </w:r>
    </w:p>
    <w:sectPr w:rsidR="0033740A" w:rsidRPr="0033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0A"/>
    <w:rsid w:val="0033740A"/>
    <w:rsid w:val="00660744"/>
    <w:rsid w:val="006D550E"/>
    <w:rsid w:val="00F07BF4"/>
    <w:rsid w:val="00F7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2FF4"/>
  <w15:chartTrackingRefBased/>
  <w15:docId w15:val="{31568D2D-C834-410A-AF3A-D53D9E73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7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74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7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642379">
      <w:bodyDiv w:val="1"/>
      <w:marLeft w:val="0"/>
      <w:marRight w:val="0"/>
      <w:marTop w:val="0"/>
      <w:marBottom w:val="0"/>
      <w:divBdr>
        <w:top w:val="none" w:sz="0" w:space="0" w:color="auto"/>
        <w:left w:val="none" w:sz="0" w:space="0" w:color="auto"/>
        <w:bottom w:val="none" w:sz="0" w:space="0" w:color="auto"/>
        <w:right w:val="none" w:sz="0" w:space="0" w:color="auto"/>
      </w:divBdr>
      <w:divsChild>
        <w:div w:id="531461238">
          <w:marLeft w:val="0"/>
          <w:marRight w:val="0"/>
          <w:marTop w:val="0"/>
          <w:marBottom w:val="300"/>
          <w:divBdr>
            <w:top w:val="none" w:sz="0" w:space="0" w:color="auto"/>
            <w:left w:val="none" w:sz="0" w:space="0" w:color="auto"/>
            <w:bottom w:val="none" w:sz="0" w:space="0" w:color="auto"/>
            <w:right w:val="none" w:sz="0" w:space="0" w:color="auto"/>
          </w:divBdr>
        </w:div>
        <w:div w:id="833036871">
          <w:marLeft w:val="0"/>
          <w:marRight w:val="0"/>
          <w:marTop w:val="750"/>
          <w:marBottom w:val="750"/>
          <w:divBdr>
            <w:top w:val="none" w:sz="0" w:space="0" w:color="auto"/>
            <w:left w:val="none" w:sz="0" w:space="0" w:color="auto"/>
            <w:bottom w:val="none" w:sz="0" w:space="0" w:color="auto"/>
            <w:right w:val="none" w:sz="0" w:space="0" w:color="auto"/>
          </w:divBdr>
          <w:divsChild>
            <w:div w:id="18662840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tashinvest.com/investment-moderate-mix-2" TargetMode="External"/><Relationship Id="rId5" Type="http://schemas.openxmlformats.org/officeDocument/2006/relationships/hyperlink" Target="https://learn.stashinvest.com/investment-moderate-mix" TargetMode="External"/><Relationship Id="rId4" Type="http://schemas.openxmlformats.org/officeDocument/2006/relationships/hyperlink" Target="https://learn.stashinvest.com/stash-investments-e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2</cp:revision>
  <dcterms:created xsi:type="dcterms:W3CDTF">2023-01-29T15:52:00Z</dcterms:created>
  <dcterms:modified xsi:type="dcterms:W3CDTF">2023-01-29T15:52:00Z</dcterms:modified>
</cp:coreProperties>
</file>