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Part 1</w:t>
      </w:r>
    </w:p>
    <w:p w:rsidR="00000000" w:rsidDel="00000000" w:rsidP="00000000" w:rsidRDefault="00000000" w:rsidRPr="00000000" w14:paraId="00000003">
      <w:pPr>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For this experiment we will be testing the Bohr model of hydrogen to see how accurate it describes its emission spectrum. The model that was introduced to describe hydrogen is </w:t>
      </w:r>
      <m:oMath>
        <m:r>
          <m:t>λ</m:t>
        </m:r>
        <m:r>
          <w:rPr>
            <w:vertAlign w:val="subscript"/>
          </w:rPr>
          <m:t xml:space="preserve">nm=</m:t>
        </m:r>
        <m:sSup>
          <m:sSupPr>
            <m:ctrlPr>
              <w:rPr>
                <w:vertAlign w:val="subscript"/>
              </w:rPr>
            </m:ctrlPr>
          </m:sSupPr>
          <m:e>
            <m:r>
              <w:rPr>
                <w:vertAlign w:val="subscript"/>
              </w:rPr>
              <m:t xml:space="preserve">R</m:t>
            </m:r>
          </m:e>
          <m:sup>
            <m:r>
              <w:rPr>
                <w:vertAlign w:val="subscript"/>
              </w:rPr>
              <m:t xml:space="preserve">-1</m:t>
            </m:r>
          </m:sup>
        </m:sSup>
        <m:r>
          <w:rPr>
            <w:vertAlign w:val="subscript"/>
          </w:rPr>
          <m:t xml:space="preserve">(</m:t>
        </m:r>
        <m:f>
          <m:fPr>
            <m:ctrlPr>
              <w:rPr>
                <w:vertAlign w:val="subscript"/>
              </w:rPr>
            </m:ctrlPr>
          </m:fPr>
          <m:num>
            <m:r>
              <w:rPr>
                <w:vertAlign w:val="subscript"/>
              </w:rPr>
              <m:t xml:space="preserve">1</m:t>
            </m:r>
          </m:num>
          <m:den>
            <m:sSup>
              <m:sSupPr>
                <m:ctrlPr>
                  <w:rPr>
                    <w:vertAlign w:val="subscript"/>
                  </w:rPr>
                </m:ctrlPr>
              </m:sSupPr>
              <m:e>
                <m:r>
                  <w:rPr>
                    <w:vertAlign w:val="subscript"/>
                  </w:rPr>
                  <m:t xml:space="preserve">m</m:t>
                </m:r>
              </m:e>
              <m:sup>
                <m:r>
                  <w:rPr>
                    <w:vertAlign w:val="subscript"/>
                  </w:rPr>
                  <m:t xml:space="preserve">2</m:t>
                </m:r>
              </m:sup>
            </m:sSup>
          </m:den>
        </m:f>
        <m:r>
          <w:rPr>
            <w:vertAlign w:val="subscript"/>
          </w:rPr>
          <m:t xml:space="preserve">-</m:t>
        </m:r>
        <m:f>
          <m:fPr>
            <m:ctrlPr>
              <w:rPr>
                <w:vertAlign w:val="subscript"/>
              </w:rPr>
            </m:ctrlPr>
          </m:fPr>
          <m:num>
            <m:r>
              <w:rPr>
                <w:vertAlign w:val="subscript"/>
              </w:rPr>
              <m:t xml:space="preserve">1</m:t>
            </m:r>
          </m:num>
          <m:den>
            <m:sSup>
              <m:sSupPr>
                <m:ctrlPr>
                  <w:rPr>
                    <w:vertAlign w:val="subscript"/>
                  </w:rPr>
                </m:ctrlPr>
              </m:sSupPr>
              <m:e>
                <m:r>
                  <w:rPr>
                    <w:vertAlign w:val="subscript"/>
                  </w:rPr>
                  <m:t xml:space="preserve">n</m:t>
                </m:r>
              </m:e>
              <m:sup>
                <m:r>
                  <w:rPr>
                    <w:vertAlign w:val="subscript"/>
                  </w:rPr>
                  <m:t xml:space="preserve">2</m:t>
                </m:r>
              </m:sup>
            </m:sSup>
          </m:den>
        </m:f>
        <m:sSup>
          <m:sSupPr>
            <m:ctrlPr>
              <w:rPr>
                <w:vertAlign w:val="subscript"/>
              </w:rPr>
            </m:ctrlPr>
          </m:sSupPr>
          <m:e>
            <m:r>
              <w:rPr>
                <w:vertAlign w:val="subscript"/>
              </w:rPr>
              <m:t xml:space="preserve">)</m:t>
            </m:r>
          </m:e>
          <m:sup>
            <m:r>
              <w:rPr>
                <w:vertAlign w:val="subscript"/>
              </w:rPr>
              <m:t xml:space="preserve">-2</m:t>
            </m:r>
          </m:sup>
        </m:sSup>
      </m:oMath>
      <w:r w:rsidDel="00000000" w:rsidR="00000000" w:rsidRPr="00000000">
        <w:rPr>
          <w:rtl w:val="0"/>
        </w:rPr>
        <w:t xml:space="preserve"> where </w:t>
      </w:r>
      <m:oMath>
        <m:r>
          <w:rPr/>
          <m:t xml:space="preserve">n＞m</m:t>
        </m:r>
      </m:oMath>
      <w:r w:rsidDel="00000000" w:rsidR="00000000" w:rsidRPr="00000000">
        <w:rPr>
          <w:rtl w:val="0"/>
        </w:rPr>
        <w:t xml:space="preserve">. We are able to describe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n</w:t>
      </w:r>
      <w:r w:rsidDel="00000000" w:rsidR="00000000" w:rsidRPr="00000000">
        <w:rPr>
          <w:rtl w:val="0"/>
        </w:rPr>
        <w:t xml:space="preserve"> as integers that correspond to energy levels for the electron. </w:t>
      </w:r>
      <w:r w:rsidDel="00000000" w:rsidR="00000000" w:rsidRPr="00000000">
        <w:rPr>
          <w:i w:val="1"/>
          <w:iCs w:val="1"/>
          <w:rtl w:val="0"/>
        </w:rPr>
        <w:t xml:space="preserve">R</w:t>
      </w:r>
      <w:r w:rsidDel="00000000" w:rsidR="00000000" w:rsidRPr="00000000">
        <w:rPr>
          <w:rtl w:val="0"/>
        </w:rPr>
        <w:t xml:space="preserve"> is a constant that describes the electrical attraction between the electron and the nucleus. To test the Bohr model we will be utilizing a hydrogen lamp, a flashlight, a spectrometer, and PASCO spectrometry software. We are predicting that the Bohr model is accurate and will provide predicted data for hydrogen. Ensuring that the spectrometer was correctly positioned to the hydrogen lamp, we were able to record all values of wavelengths ranging from 350 to 1000nm. There was an initial testing performed using a flashlight and red laser to ensure that the spectrometer was running. We made sure to get a correct reading that had all peaks in the correct range. There were four major peaks that we saw that made up the spectrum. When looking at the lamp, a pinkish purple color was observed. Using a T-score analysis, we are able to determine if there is a significant difference in the data and test our hypothesis.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Equipment/experimental systems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Hydrogen lamp: used to measure and test Bohr model accuracy</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Flashlight: used to test spectrometer</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Laser (red): used to test spectrometer</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Spectrometer: measured emission spectrum</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PASCO Spectrometry Software: recorded and graphed data from spectrometer</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Variables</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Constant variables: Gas source, light conditions, PASCO spectrometer settings and calibration</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Independent variables: Energy level transition</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Dependent variables: Measured wavelength of emission peaks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Analysis tools</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T-score</w:t>
      </w:r>
    </w:p>
    <w:p w:rsidR="00000000" w:rsidDel="00000000" w:rsidP="00000000" w:rsidRDefault="00000000" w:rsidRPr="00000000" w14:paraId="00000012">
      <w:pPr>
        <w:numPr>
          <w:ilvl w:val="2"/>
          <w:numId w:val="2"/>
        </w:numPr>
        <w:ind w:left="2160" w:hanging="360"/>
      </w:pPr>
      <w:r w:rsidDel="00000000" w:rsidR="00000000" w:rsidRPr="00000000">
        <w:rPr>
          <w:rtl w:val="0"/>
        </w:rPr>
        <w:t xml:space="preserve"> </w:t>
      </w:r>
      <m:oMath>
        <m:r>
          <w:rPr/>
          <m:t xml:space="preserve">t=</m:t>
        </m:r>
        <m:f>
          <m:fPr>
            <m:ctrlPr>
              <w:rPr/>
            </m:ctrlPr>
          </m:fPr>
          <m:num>
            <m:d>
              <m:dPr>
                <m:begChr m:val="|"/>
                <m:endChr m:val="|"/>
                <m:ctrlPr>
                  <w:rPr/>
                </m:ctrlPr>
              </m:dPr>
              <m:e>
                <m:bar>
                  <m:barPr>
                    <m:pos/>
                    <m:ctrlPr>
                      <w:rPr/>
                    </m:ctrlPr>
                  </m:barPr>
                  <m:e>
                    <m:sSub>
                      <m:sSubPr>
                        <m:ctrlPr>
                          <w:rPr/>
                        </m:ctrlPr>
                      </m:sSubPr>
                      <m:e>
                        <m:r>
                          <w:rPr/>
                          <m:t xml:space="preserve">x</m:t>
                        </m:r>
                      </m:e>
                      <m:sub>
                        <m:r>
                          <w:rPr/>
                          <m:t xml:space="preserve">s</m:t>
                        </m:r>
                      </m:sub>
                    </m:sSub>
                  </m:e>
                </m:bar>
                <m:r>
                  <w:rPr/>
                  <m:t xml:space="preserve">-</m:t>
                </m:r>
                <m:bar>
                  <m:barPr>
                    <m:pos/>
                    <m:ctrlPr>
                      <w:rPr/>
                    </m:ctrlPr>
                  </m:barPr>
                  <m:e>
                    <m:sSub>
                      <m:sSubPr>
                        <m:ctrlPr>
                          <w:rPr/>
                        </m:ctrlPr>
                      </m:sSubPr>
                      <m:e>
                        <m:r>
                          <w:rPr/>
                          <m:t xml:space="preserve">x</m:t>
                        </m:r>
                      </m:e>
                      <m:sub>
                        <m:r>
                          <w:rPr/>
                          <m:t xml:space="preserve">b</m:t>
                        </m:r>
                      </m:sub>
                    </m:sSub>
                  </m:e>
                </m:bar>
              </m:e>
            </m:d>
          </m:num>
          <m:den>
            <m:rad>
              <m:radPr>
                <m:degHide m:val="1"/>
                <m:ctrlPr>
                  <w:rPr/>
                </m:ctrlPr>
              </m:radPr>
              <m:e>
                <m:r>
                  <w:rPr/>
                  <m:t xml:space="preserve">(</m:t>
                </m:r>
                <m:r>
                  <w:rPr/>
                  <m:t>δ</m:t>
                </m:r>
                <m:bar>
                  <m:barPr>
                    <m:pos/>
                    <m:ctrlPr>
                      <w:rPr/>
                    </m:ctrlPr>
                  </m:barPr>
                  <m:e>
                    <m:sSub>
                      <m:sSubPr>
                        <m:ctrlPr>
                          <w:rPr/>
                        </m:ctrlPr>
                      </m:sSubPr>
                      <m:e>
                        <m:r>
                          <w:rPr/>
                          <m:t xml:space="preserve">x</m:t>
                        </m:r>
                      </m:e>
                      <m:sub>
                        <m:r>
                          <w:rPr/>
                          <m:t xml:space="preserve">s</m:t>
                        </m:r>
                      </m:sub>
                    </m:sSub>
                  </m:e>
                </m:bar>
                <m:sSup>
                  <m:sSupPr>
                    <m:ctrlPr>
                      <w:rPr/>
                    </m:ctrlPr>
                  </m:sSupPr>
                  <m:e>
                    <m:r>
                      <w:rPr/>
                      <m:t xml:space="preserve">)</m:t>
                    </m:r>
                  </m:e>
                  <m:sup>
                    <m:r>
                      <w:rPr/>
                      <m:t xml:space="preserve">2</m:t>
                    </m:r>
                  </m:sup>
                </m:sSup>
                <m:r>
                  <w:rPr/>
                  <m:t xml:space="preserve">+(</m:t>
                </m:r>
                <m:sSup>
                  <m:sSupPr>
                    <m:ctrlPr>
                      <w:rPr/>
                    </m:ctrlPr>
                  </m:sSupPr>
                  <m:e>
                    <m:r>
                      <w:rPr/>
                      <m:t>δ</m:t>
                    </m:r>
                    <m:bar>
                      <m:barPr>
                        <m:pos/>
                        <m:ctrlPr>
                          <w:rPr/>
                        </m:ctrlPr>
                      </m:barPr>
                      <m:e>
                        <m:sSub>
                          <m:sSubPr>
                            <m:ctrlPr>
                              <w:rPr/>
                            </m:ctrlPr>
                          </m:sSubPr>
                          <m:e>
                            <m:r>
                              <w:rPr/>
                              <m:t xml:space="preserve">x</m:t>
                            </m:r>
                          </m:e>
                          <m:sub>
                            <m:r>
                              <w:rPr/>
                              <m:t xml:space="preserve">b</m:t>
                            </m:r>
                          </m:sub>
                        </m:sSub>
                      </m:e>
                    </m:bar>
                    <m:r>
                      <w:rPr/>
                      <m:t xml:space="preserve">)</m:t>
                    </m:r>
                  </m:e>
                  <m:sup>
                    <m:r>
                      <w:rPr/>
                      <m:t xml:space="preserve">2</m:t>
                    </m:r>
                  </m:sup>
                </m:sSup>
              </m:e>
            </m:rad>
          </m:den>
        </m:f>
      </m:oMath>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14">
      <w:pPr>
        <w:jc w:val="center"/>
        <w:rPr>
          <w:b w:val="1"/>
          <w:bCs w:val="1"/>
          <w:i w:val="1"/>
          <w:iCs w:val="1"/>
        </w:rPr>
      </w:pPr>
      <w:r w:rsidDel="00000000" w:rsidR="00000000" w:rsidRPr="00000000">
        <w:rPr>
          <w:b w:val="1"/>
          <w:bCs w:val="1"/>
          <w:i w:val="1"/>
          <w:iCs w:val="1"/>
          <w:rtl w:val="0"/>
        </w:rPr>
        <w:t xml:space="preserve">The Predicted Wavelengths using Bohr’s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12368</w:t>
            </w:r>
          </w:p>
        </w:tc>
      </w:tr>
    </w:tbl>
    <w:p w:rsidR="00000000" w:rsidDel="00000000" w:rsidP="00000000" w:rsidRDefault="00000000" w:rsidRPr="00000000" w14:paraId="0000005D">
      <w:pPr>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6341463414633"/>
        <w:gridCol w:w="1141.4634146341464"/>
        <w:gridCol w:w="2054.6341463414633"/>
        <w:gridCol w:w="2054.6341463414633"/>
        <w:gridCol w:w="2054.6341463414633"/>
        <w:tblGridChange w:id="0">
          <w:tblGrid>
            <w:gridCol w:w="2054.6341463414633"/>
            <w:gridCol w:w="1141.4634146341464"/>
            <w:gridCol w:w="2054.6341463414633"/>
            <w:gridCol w:w="2054.6341463414633"/>
            <w:gridCol w:w="2054.6341463414633"/>
          </w:tblGrid>
        </w:tblGridChange>
      </w:tblGrid>
      <w:tr>
        <w:trPr>
          <w:cantSplit w:val="0"/>
          <w:trHeight w:val="31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Roboto" w:cs="Roboto" w:eastAsia="Roboto" w:hAnsi="Roboto"/>
                <w:color w:val="ffffff"/>
                <w:sz w:val="20"/>
                <w:szCs w:val="20"/>
                <w:rtl w:val="0"/>
              </w:rPr>
              <w:t xml:space="preserve">Observed Wavelength (nm)</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ffffff"/>
                <w:sz w:val="20"/>
                <w:szCs w:val="20"/>
                <w:rtl w:val="0"/>
              </w:rPr>
              <w:t xml:space="preserve">Uncertainty (nm)</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0">
            <w:pPr>
              <w:widowControl w:val="0"/>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Predicted Wavelength (nm)</w:t>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1">
            <w:pPr>
              <w:widowControl w:val="0"/>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Predicted Uncertainty (nm)</w:t>
            </w:r>
          </w:p>
        </w:tc>
        <w:tc>
          <w:tcPr>
            <w:tcBorders>
              <w:top w:color="284e3f" w:space="0" w:sz="4" w:val="single"/>
              <w:left w:color="356854"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ffffff"/>
                <w:sz w:val="20"/>
                <w:szCs w:val="20"/>
                <w:rtl w:val="0"/>
              </w:rPr>
              <w:t xml:space="preserve">intensity (I)</w:t>
            </w:r>
            <w:r w:rsidDel="00000000" w:rsidR="00000000" w:rsidRPr="00000000">
              <w:rPr>
                <w:rtl w:val="0"/>
              </w:rPr>
            </w:r>
          </w:p>
        </w:tc>
      </w:tr>
      <w:tr>
        <w:trPr>
          <w:cantSplit w:val="0"/>
          <w:trHeight w:val="31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Roboto" w:cs="Roboto" w:eastAsia="Roboto" w:hAnsi="Roboto"/>
                <w:color w:val="434343"/>
                <w:sz w:val="20"/>
                <w:szCs w:val="20"/>
                <w:rtl w:val="0"/>
              </w:rPr>
              <w:t xml:space="preserve">411.6</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+/- 0.5</w:t>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410.2</w:t>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+/- 1.0</w:t>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rFonts w:ascii="Roboto" w:cs="Roboto" w:eastAsia="Roboto" w:hAnsi="Roboto"/>
                <w:color w:val="434343"/>
                <w:sz w:val="20"/>
                <w:szCs w:val="20"/>
                <w:rtl w:val="0"/>
              </w:rPr>
              <w:t xml:space="preserve">14.733</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rFonts w:ascii="Roboto" w:cs="Roboto" w:eastAsia="Roboto" w:hAnsi="Roboto"/>
                <w:color w:val="434343"/>
                <w:sz w:val="20"/>
                <w:szCs w:val="20"/>
                <w:rtl w:val="0"/>
              </w:rPr>
              <w:t xml:space="preserve">435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+/- 0.5</w:t>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434</w:t>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+/- 1.0</w:t>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rFonts w:ascii="Roboto" w:cs="Roboto" w:eastAsia="Roboto" w:hAnsi="Roboto"/>
                <w:color w:val="434343"/>
                <w:sz w:val="20"/>
                <w:szCs w:val="20"/>
                <w:rtl w:val="0"/>
              </w:rPr>
              <w:t xml:space="preserve">49.061</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rFonts w:ascii="Roboto" w:cs="Roboto" w:eastAsia="Roboto" w:hAnsi="Roboto"/>
                <w:color w:val="434343"/>
                <w:sz w:val="20"/>
                <w:szCs w:val="20"/>
                <w:rtl w:val="0"/>
              </w:rPr>
              <w:t xml:space="preserve">487.6</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+/- 0.5</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486.1</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+/- 1.0</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rFonts w:ascii="Roboto" w:cs="Roboto" w:eastAsia="Roboto" w:hAnsi="Roboto"/>
                <w:color w:val="434343"/>
                <w:sz w:val="20"/>
                <w:szCs w:val="20"/>
                <w:rtl w:val="0"/>
              </w:rPr>
              <w:t xml:space="preserve">89.326</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rFonts w:ascii="Roboto" w:cs="Roboto" w:eastAsia="Roboto" w:hAnsi="Roboto"/>
                <w:color w:val="434343"/>
                <w:sz w:val="20"/>
                <w:szCs w:val="20"/>
                <w:rtl w:val="0"/>
              </w:rPr>
              <w:t xml:space="preserve">659.1</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+/- 0.5</w:t>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656.3</w:t>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jc w:val="center"/>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+/- 1.0</w:t>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rFonts w:ascii="Roboto" w:cs="Roboto" w:eastAsia="Roboto" w:hAnsi="Roboto"/>
                <w:color w:val="434343"/>
                <w:sz w:val="20"/>
                <w:szCs w:val="20"/>
                <w:rtl w:val="0"/>
              </w:rPr>
              <w:t xml:space="preserve">106.867</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Sample Calculation</w:t>
      </w:r>
      <w:r w:rsidDel="00000000" w:rsidR="00000000" w:rsidRPr="00000000">
        <w:rPr>
          <w:rtl w:val="0"/>
        </w:rPr>
      </w:r>
    </w:p>
    <w:p w:rsidR="00000000" w:rsidDel="00000000" w:rsidP="00000000" w:rsidRDefault="00000000" w:rsidRPr="00000000" w14:paraId="00000079">
      <w:pPr>
        <w:spacing w:line="280.582363636363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==========Data Output==========</w:t>
      </w:r>
    </w:p>
    <w:p w:rsidR="00000000" w:rsidDel="00000000" w:rsidP="00000000" w:rsidRDefault="00000000" w:rsidRPr="00000000" w14:paraId="0000007A">
      <w:pPr>
        <w:spacing w:line="280.582363636363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Transition</w:t>
        <w:tab/>
        <w:t xml:space="preserve">Observed</w:t>
        <w:tab/>
        <w:t xml:space="preserve">Predicted</w:t>
        <w:tab/>
        <w:t xml:space="preserve">t-score</w:t>
      </w:r>
    </w:p>
    <w:p w:rsidR="00000000" w:rsidDel="00000000" w:rsidP="00000000" w:rsidRDefault="00000000" w:rsidRPr="00000000" w14:paraId="0000007B">
      <w:pPr>
        <w:spacing w:line="280.5823636363636" w:lineRule="auto"/>
        <w:rPr>
          <w:rFonts w:ascii="Courier New" w:cs="Courier New" w:eastAsia="Courier New" w:hAnsi="Courier New"/>
        </w:rPr>
      </w:pPr>
      <w:r w:rsidDel="00000000" w:rsidR="00000000" w:rsidRPr="00000000">
        <w:rPr>
          <w:rFonts w:ascii="Fira Mono" w:cs="Fira Mono" w:eastAsia="Fira Mono" w:hAnsi="Fira Mono"/>
          <w:rtl w:val="0"/>
        </w:rPr>
        <w:t xml:space="preserve">6→2</w:t>
        <w:tab/>
        <w:tab/>
        <w:t xml:space="preserve">411.6</w:t>
        <w:tab/>
        <w:tab/>
        <w:t xml:space="preserve">410.2</w:t>
        <w:tab/>
        <w:tab/>
        <w:t xml:space="preserve">0.990</w:t>
      </w:r>
    </w:p>
    <w:p w:rsidR="00000000" w:rsidDel="00000000" w:rsidP="00000000" w:rsidRDefault="00000000" w:rsidRPr="00000000" w14:paraId="0000007C">
      <w:pPr>
        <w:spacing w:line="280.5823636363636" w:lineRule="auto"/>
        <w:rPr>
          <w:rFonts w:ascii="Courier New" w:cs="Courier New" w:eastAsia="Courier New" w:hAnsi="Courier New"/>
        </w:rPr>
      </w:pPr>
      <w:r w:rsidDel="00000000" w:rsidR="00000000" w:rsidRPr="00000000">
        <w:rPr>
          <w:rFonts w:ascii="Fira Mono" w:cs="Fira Mono" w:eastAsia="Fira Mono" w:hAnsi="Fira Mono"/>
          <w:rtl w:val="0"/>
        </w:rPr>
        <w:t xml:space="preserve">5→2</w:t>
        <w:tab/>
        <w:tab/>
        <w:t xml:space="preserve">435.0</w:t>
        <w:tab/>
        <w:tab/>
        <w:t xml:space="preserve">434.0</w:t>
        <w:tab/>
        <w:tab/>
        <w:t xml:space="preserve">0.707</w:t>
      </w:r>
    </w:p>
    <w:p w:rsidR="00000000" w:rsidDel="00000000" w:rsidP="00000000" w:rsidRDefault="00000000" w:rsidRPr="00000000" w14:paraId="0000007D">
      <w:pPr>
        <w:spacing w:line="280.5823636363636" w:lineRule="auto"/>
        <w:rPr>
          <w:rFonts w:ascii="Courier New" w:cs="Courier New" w:eastAsia="Courier New" w:hAnsi="Courier New"/>
        </w:rPr>
      </w:pPr>
      <w:r w:rsidDel="00000000" w:rsidR="00000000" w:rsidRPr="00000000">
        <w:rPr>
          <w:rFonts w:ascii="Fira Mono" w:cs="Fira Mono" w:eastAsia="Fira Mono" w:hAnsi="Fira Mono"/>
          <w:rtl w:val="0"/>
        </w:rPr>
        <w:t xml:space="preserve">4→2</w:t>
        <w:tab/>
        <w:tab/>
        <w:t xml:space="preserve">487.6</w:t>
        <w:tab/>
        <w:tab/>
        <w:t xml:space="preserve">486.1</w:t>
        <w:tab/>
        <w:tab/>
        <w:t xml:space="preserve">1.061</w:t>
      </w:r>
    </w:p>
    <w:p w:rsidR="00000000" w:rsidDel="00000000" w:rsidP="00000000" w:rsidRDefault="00000000" w:rsidRPr="00000000" w14:paraId="0000007E">
      <w:pPr>
        <w:spacing w:line="280.5823636363636" w:lineRule="auto"/>
        <w:rPr/>
      </w:pPr>
      <w:r w:rsidDel="00000000" w:rsidR="00000000" w:rsidRPr="00000000">
        <w:rPr>
          <w:rFonts w:ascii="Fira Mono" w:cs="Fira Mono" w:eastAsia="Fira Mono" w:hAnsi="Fira Mono"/>
          <w:rtl w:val="0"/>
        </w:rPr>
        <w:t xml:space="preserve">3→2</w:t>
        <w:tab/>
        <w:tab/>
        <w:t xml:space="preserve">659.1</w:t>
        <w:tab/>
        <w:tab/>
        <w:t xml:space="preserve">656.3</w:t>
        <w:tab/>
        <w:tab/>
        <w:t xml:space="preserve">1.980</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this experiment, we investigated the emission spectra of light on a hydrogen bulb to test the Bohr model. Our data supported our hypothesis that the Bohr model is accurate in describing the emission spectrum of hydrogen. We observed four different wave lengths: 411.6 nm, 435.0nm, 487.6 nm, and 659.1nm. These observed wavelengths were closely related to the predicted wavelengths of the Bohr model : 410.2 nm, 434.0 nm, 486.1 nm, and 656.3 nm. To verify this conclusion a t-score analysis was performed to compare the measured and predicted values, giving us t-scores that all fell below the significance threshold of 2. This indicated that there was no statistically significant difference between our measured and predicted wavelengths. In addition, when comparing our observed data range to the possible radioactivity ranges we found that the visible range. Our data had a range of 400 - 700 relating to a transition of n=2. This indicated that the spectrum lines noted related to the Balmer series, the only visible aries to the human eye. Overall, these results support the Bohr model providing accurate hydrogen emission spectrum descriptions while identifying the proper spectrum series: Balmer series.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future iterations</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Perform more trials to ensure that the identified peaks are all in close proximity to each other.</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Use a hygiene bulb that is not close to burning out, ensuring it has enough light to read proper data.</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Using a mechanical set up that allows the fiber optic cable to be held at a steady constant location away from the hydrogen bulb.</w:t>
        <w:tab/>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Part 2</w:t>
      </w:r>
    </w:p>
    <w:p w:rsidR="00000000" w:rsidDel="00000000" w:rsidP="00000000" w:rsidRDefault="00000000" w:rsidRPr="00000000" w14:paraId="00000089">
      <w:pPr>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In Part 2 of this lab, we will be testing how a spectrum of light changes due to transmission. For this we will be utilizing a flashlight as the source and a light filter as the change in transmission. A spectrometer and the PASCO spectrometry software will also be used to find the intensity and wavelength. We are predicting that the addition of the light filter will cause no change to the spectrum. To find the transition coefficient we will be using the following formula: </w:t>
      </w:r>
    </w:p>
    <w:p w:rsidR="00000000" w:rsidDel="00000000" w:rsidP="00000000" w:rsidRDefault="00000000" w:rsidRPr="00000000" w14:paraId="0000008C">
      <w:pPr>
        <w:ind w:left="0" w:firstLine="0"/>
        <w:rPr/>
      </w:pPr>
      <w:r w:rsidDel="00000000" w:rsidR="00000000" w:rsidRPr="00000000">
        <w:rPr>
          <w:i w:val="1"/>
          <w:iCs w:val="1"/>
          <w:rtl w:val="0"/>
        </w:rPr>
        <w:t xml:space="preserve">T = I</w:t>
      </w:r>
      <w:r w:rsidDel="00000000" w:rsidR="00000000" w:rsidRPr="00000000">
        <w:rPr>
          <w:i w:val="1"/>
          <w:iCs w:val="1"/>
          <w:vertAlign w:val="subscript"/>
          <w:rtl w:val="0"/>
        </w:rPr>
        <w:t xml:space="preserve">transmitted</w:t>
      </w:r>
      <w:r w:rsidDel="00000000" w:rsidR="00000000" w:rsidRPr="00000000">
        <w:rPr>
          <w:i w:val="1"/>
          <w:iCs w:val="1"/>
          <w:rtl w:val="0"/>
        </w:rPr>
        <w:t xml:space="preserve"> (λ) / I</w:t>
      </w:r>
      <w:r w:rsidDel="00000000" w:rsidR="00000000" w:rsidRPr="00000000">
        <w:rPr>
          <w:i w:val="1"/>
          <w:iCs w:val="1"/>
          <w:vertAlign w:val="subscript"/>
          <w:rtl w:val="0"/>
        </w:rPr>
        <w:t xml:space="preserve">source</w:t>
      </w:r>
      <w:r w:rsidDel="00000000" w:rsidR="00000000" w:rsidRPr="00000000">
        <w:rPr>
          <w:i w:val="1"/>
          <w:iCs w:val="1"/>
          <w:rtl w:val="0"/>
        </w:rPr>
        <w:t xml:space="preserve"> (λ)</w:t>
      </w:r>
      <w:r w:rsidDel="00000000" w:rsidR="00000000" w:rsidRPr="00000000">
        <w:rPr>
          <w:rtl w:val="0"/>
        </w:rPr>
        <w:t xml:space="preserve">. If there is no change in the spectrum then we should get a transmission percentage of 100%. We will be looking at a range of wavelengths starting from 450 through 700nm. We will first find the spectrum of just the flashlight and record the intensity and for each wavelength. Then we will place the blue light filter over the flashlight and record for the same ranges.</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Equipment/experimental systems</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Flashlight: used to measure spectrum to compare to spectrum with light filter</w:t>
      </w:r>
    </w:p>
    <w:p w:rsidR="00000000" w:rsidDel="00000000" w:rsidP="00000000" w:rsidRDefault="00000000" w:rsidRPr="00000000" w14:paraId="0000008F">
      <w:pPr>
        <w:numPr>
          <w:ilvl w:val="1"/>
          <w:numId w:val="2"/>
        </w:numPr>
        <w:ind w:left="1440" w:hanging="360"/>
        <w:rPr>
          <w:u w:val="none"/>
        </w:rPr>
      </w:pPr>
      <w:r w:rsidDel="00000000" w:rsidR="00000000" w:rsidRPr="00000000">
        <w:rPr>
          <w:rtl w:val="0"/>
        </w:rPr>
        <w:t xml:space="preserve">Light filter (blue): parameter that is tested to find if causes change to spectrum of flashlight</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Spectrometer: measured emission spectrum</w:t>
      </w:r>
    </w:p>
    <w:p w:rsidR="00000000" w:rsidDel="00000000" w:rsidP="00000000" w:rsidRDefault="00000000" w:rsidRPr="00000000" w14:paraId="00000091">
      <w:pPr>
        <w:numPr>
          <w:ilvl w:val="1"/>
          <w:numId w:val="2"/>
        </w:numPr>
        <w:ind w:left="1440" w:hanging="360"/>
      </w:pPr>
      <w:r w:rsidDel="00000000" w:rsidR="00000000" w:rsidRPr="00000000">
        <w:rPr>
          <w:rtl w:val="0"/>
        </w:rPr>
        <w:t xml:space="preserve">PASCO Spectrometry Software: recorded and graphed data from spectrometer</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Variables</w:t>
      </w:r>
    </w:p>
    <w:p w:rsidR="00000000" w:rsidDel="00000000" w:rsidP="00000000" w:rsidRDefault="00000000" w:rsidRPr="00000000" w14:paraId="00000093">
      <w:pPr>
        <w:numPr>
          <w:ilvl w:val="1"/>
          <w:numId w:val="2"/>
        </w:numPr>
        <w:ind w:left="1440" w:hanging="360"/>
      </w:pPr>
      <w:r w:rsidDel="00000000" w:rsidR="00000000" w:rsidRPr="00000000">
        <w:rPr>
          <w:rtl w:val="0"/>
        </w:rPr>
        <w:t xml:space="preserve">Constant variables: flashlight brightness, spectrometer calibration, light conditions, wavelength range</w:t>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Independent variables: presence or absence of light filter</w:t>
      </w:r>
    </w:p>
    <w:p w:rsidR="00000000" w:rsidDel="00000000" w:rsidP="00000000" w:rsidRDefault="00000000" w:rsidRPr="00000000" w14:paraId="00000095">
      <w:pPr>
        <w:numPr>
          <w:ilvl w:val="1"/>
          <w:numId w:val="2"/>
        </w:numPr>
        <w:ind w:left="1440" w:hanging="360"/>
      </w:pPr>
      <w:r w:rsidDel="00000000" w:rsidR="00000000" w:rsidRPr="00000000">
        <w:rPr>
          <w:rtl w:val="0"/>
        </w:rPr>
        <w:t xml:space="preserve">Dependent variables: intensity at each wavelength</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Analysis tools</w:t>
      </w:r>
    </w:p>
    <w:p w:rsidR="00000000" w:rsidDel="00000000" w:rsidP="00000000" w:rsidRDefault="00000000" w:rsidRPr="00000000" w14:paraId="00000097">
      <w:pPr>
        <w:numPr>
          <w:ilvl w:val="1"/>
          <w:numId w:val="2"/>
        </w:numPr>
        <w:ind w:left="1440" w:hanging="360"/>
      </w:pPr>
      <w:r w:rsidDel="00000000" w:rsidR="00000000" w:rsidRPr="00000000">
        <w:rPr>
          <w:i w:val="1"/>
          <w:iCs w:val="1"/>
          <w:rtl w:val="0"/>
        </w:rPr>
        <w:t xml:space="preserve">T = I</w:t>
      </w:r>
      <w:r w:rsidDel="00000000" w:rsidR="00000000" w:rsidRPr="00000000">
        <w:rPr>
          <w:i w:val="1"/>
          <w:iCs w:val="1"/>
          <w:vertAlign w:val="subscript"/>
          <w:rtl w:val="0"/>
        </w:rPr>
        <w:t xml:space="preserve">transmitted</w:t>
      </w:r>
      <w:r w:rsidDel="00000000" w:rsidR="00000000" w:rsidRPr="00000000">
        <w:rPr>
          <w:i w:val="1"/>
          <w:iCs w:val="1"/>
          <w:rtl w:val="0"/>
        </w:rPr>
        <w:t xml:space="preserve"> (λ) / I</w:t>
      </w:r>
      <w:r w:rsidDel="00000000" w:rsidR="00000000" w:rsidRPr="00000000">
        <w:rPr>
          <w:i w:val="1"/>
          <w:iCs w:val="1"/>
          <w:vertAlign w:val="subscript"/>
          <w:rtl w:val="0"/>
        </w:rPr>
        <w:t xml:space="preserve">source</w:t>
      </w:r>
      <w:r w:rsidDel="00000000" w:rsidR="00000000" w:rsidRPr="00000000">
        <w:rPr>
          <w:i w:val="1"/>
          <w:iCs w:val="1"/>
          <w:rtl w:val="0"/>
        </w:rPr>
        <w:t xml:space="preserve"> (λ)</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9A">
      <w:pPr>
        <w:jc w:val="center"/>
        <w:rPr>
          <w:b w:val="1"/>
          <w:bCs w:val="1"/>
          <w:i w:val="1"/>
          <w:iCs w:val="1"/>
        </w:rPr>
      </w:pPr>
      <w:r w:rsidDel="00000000" w:rsidR="00000000" w:rsidRPr="00000000">
        <w:rPr>
          <w:b w:val="1"/>
          <w:bCs w:val="1"/>
          <w:i w:val="1"/>
          <w:iCs w:val="1"/>
          <w:rtl w:val="0"/>
        </w:rPr>
        <w:t xml:space="preserve">Dataset for spectrum of light change due to transmission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460"/>
        <w:gridCol w:w="1780"/>
        <w:gridCol w:w="1700"/>
        <w:gridCol w:w="2440"/>
        <w:tblGridChange w:id="0">
          <w:tblGrid>
            <w:gridCol w:w="1980"/>
            <w:gridCol w:w="1460"/>
            <w:gridCol w:w="1780"/>
            <w:gridCol w:w="1700"/>
            <w:gridCol w:w="2440"/>
          </w:tblGrid>
        </w:tblGridChange>
      </w:tblGrid>
      <w:tr>
        <w:trPr>
          <w:cantSplit w:val="0"/>
          <w:trHeight w:val="79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ffffff"/>
                <w:sz w:val="20"/>
                <w:szCs w:val="20"/>
                <w:rtl w:val="0"/>
              </w:rPr>
              <w:t xml:space="preserve">Wavelength (nm)</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Roboto" w:cs="Roboto" w:eastAsia="Roboto" w:hAnsi="Roboto"/>
                <w:color w:val="ffffff"/>
                <w:sz w:val="20"/>
                <w:szCs w:val="20"/>
                <w:rtl w:val="0"/>
              </w:rPr>
              <w:t xml:space="preserve">Intensity without transmission (I)</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color w:val="ffffff"/>
                <w:sz w:val="20"/>
                <w:szCs w:val="20"/>
                <w:rtl w:val="0"/>
              </w:rPr>
              <w:t xml:space="preserve">Intensity with transmission (I)</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Roboto" w:cs="Roboto" w:eastAsia="Roboto" w:hAnsi="Roboto"/>
                <w:color w:val="ffffff"/>
                <w:sz w:val="20"/>
                <w:szCs w:val="20"/>
                <w:rtl w:val="0"/>
              </w:rPr>
              <w:t xml:space="preserve">Transmission Coefficient (T\lambda)</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color w:val="ffffff"/>
                <w:sz w:val="20"/>
                <w:szCs w:val="20"/>
                <w:rtl w:val="0"/>
              </w:rPr>
              <w:t xml:space="preserve">Transmission Percentage</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rFonts w:ascii="Roboto" w:cs="Roboto" w:eastAsia="Roboto" w:hAnsi="Roboto"/>
                <w:color w:val="434343"/>
                <w:sz w:val="20"/>
                <w:szCs w:val="20"/>
                <w:rtl w:val="0"/>
              </w:rPr>
              <w:t xml:space="preserve">450</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jc w:val="right"/>
              <w:rPr>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jc w:val="right"/>
              <w:rPr>
                <w:sz w:val="20"/>
                <w:szCs w:val="20"/>
              </w:rPr>
            </w:pPr>
            <w:r w:rsidDel="00000000" w:rsidR="00000000" w:rsidRPr="00000000">
              <w:rPr>
                <w:rFonts w:ascii="Roboto" w:cs="Roboto" w:eastAsia="Roboto" w:hAnsi="Roboto"/>
                <w:color w:val="434343"/>
                <w:sz w:val="20"/>
                <w:szCs w:val="20"/>
                <w:rtl w:val="0"/>
              </w:rPr>
              <w:t xml:space="preserve">550</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jc w:val="right"/>
              <w:rPr>
                <w:sz w:val="20"/>
                <w:szCs w:val="20"/>
              </w:rPr>
            </w:pPr>
            <w:r w:rsidDel="00000000" w:rsidR="00000000" w:rsidRPr="00000000">
              <w:rPr>
                <w:rFonts w:ascii="Roboto" w:cs="Roboto" w:eastAsia="Roboto" w:hAnsi="Roboto"/>
                <w:color w:val="434343"/>
                <w:sz w:val="20"/>
                <w:szCs w:val="20"/>
                <w:rtl w:val="0"/>
              </w:rPr>
              <w:t xml:space="preserve">600</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jc w:val="right"/>
              <w:rPr>
                <w:sz w:val="20"/>
                <w:szCs w:val="20"/>
              </w:rPr>
            </w:pPr>
            <w:r w:rsidDel="00000000" w:rsidR="00000000" w:rsidRPr="00000000">
              <w:rPr>
                <w:rFonts w:ascii="Roboto" w:cs="Roboto" w:eastAsia="Roboto" w:hAnsi="Roboto"/>
                <w:color w:val="434343"/>
                <w:sz w:val="20"/>
                <w:szCs w:val="20"/>
                <w:rtl w:val="0"/>
              </w:rPr>
              <w:t xml:space="preserve">650</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rFonts w:ascii="Roboto" w:cs="Roboto" w:eastAsia="Roboto" w:hAnsi="Roboto"/>
                <w:color w:val="434343"/>
                <w:sz w:val="20"/>
                <w:szCs w:val="20"/>
                <w:rtl w:val="0"/>
              </w:rPr>
              <w:t xml:space="preserve">700</w:t>
            </w:r>
            <w:r w:rsidDel="00000000" w:rsidR="00000000" w:rsidRPr="00000000">
              <w:rPr>
                <w:rtl w:val="0"/>
              </w:rPr>
            </w:r>
          </w:p>
        </w:tc>
        <w:tc>
          <w:tcPr>
            <w:tcBorders>
              <w:top w:color="cccccc" w:space="0" w:sz="4" w:val="single"/>
              <w:left w:color="cccccc" w:space="0" w:sz="4" w:val="single"/>
              <w:bottom w:color="284e3f"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Conclusion</w:t>
      </w:r>
    </w:p>
    <w:p w:rsidR="00000000" w:rsidDel="00000000" w:rsidP="00000000" w:rsidRDefault="00000000" w:rsidRPr="00000000" w14:paraId="000000C0">
      <w:pPr>
        <w:rPr/>
      </w:pPr>
      <w:r w:rsidDel="00000000" w:rsidR="00000000" w:rsidRPr="00000000">
        <w:rPr>
          <w:b w:val="1"/>
          <w:bCs w:val="1"/>
          <w:rtl w:val="0"/>
        </w:rPr>
        <w:tab/>
        <w:t xml:space="preserve"> </w:t>
      </w:r>
      <w:r w:rsidDel="00000000" w:rsidR="00000000" w:rsidRPr="00000000">
        <w:rPr>
          <w:rtl w:val="0"/>
        </w:rPr>
        <w:t xml:space="preserve">In the second part of the experiment, we investigated whether transmission, color filter, would affect the intensity of the emission spectrum. Our prediction was that the transmission would have no effect on the emission spectrum. This data supported this prediction, with the cyan color filter in place the emission spectrum displaced a single broad peak with the intensity remaining at 100 for the wavelengths ranging from 400 - 700nm. Similarly, without the cyan color filter the intensity also remained at 100 for the wavelengths from 400 - 700 nm. These results then support our prediction that the transition through the color filter would not be altered meaning the effects of color filters are negligible in regards to the spectrometer.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future iterations we could</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Perform multiple trials to ensure that the intensity was consistent across all trials.</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Use different color filters such as red, blue, orange, yellow, etc. over the flashlight.</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Using a mechanical set up that allows the fiber optic cable to be held at a steady constant location away from the flashlight.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t xml:space="preserve">Lab 8 Report: Spectrometry</w:t>
    </w:r>
  </w:p>
  <w:p w:rsidR="00000000" w:rsidDel="00000000" w:rsidP="00000000" w:rsidRDefault="00000000" w:rsidRPr="00000000" w14:paraId="000000C7">
    <w:pPr>
      <w:rPr/>
    </w:pPr>
    <w:r w:rsidDel="00000000" w:rsidR="00000000" w:rsidRPr="00000000">
      <w:rPr>
        <w:rtl w:val="0"/>
      </w:rPr>
      <w:t xml:space="preserve">Nov 11, 2025</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Abdon M., Lourdes Z., </w:t>
    </w:r>
  </w:p>
  <w:p w:rsidR="00000000" w:rsidDel="00000000" w:rsidP="00000000" w:rsidRDefault="00000000" w:rsidRPr="00000000" w14:paraId="000000C9">
    <w:pPr>
      <w:rPr/>
    </w:pPr>
    <w:r w:rsidDel="00000000" w:rsidR="00000000" w:rsidRPr="00000000">
      <w:rPr>
        <w:rtl w:val="0"/>
      </w:rPr>
      <w:t xml:space="preserve">Melody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