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C92C" w14:textId="20015B89" w:rsidR="00B4031B" w:rsidRDefault="00F56F95" w:rsidP="00972961">
      <w:pPr>
        <w:pStyle w:val="Heading1"/>
      </w:pPr>
      <w:r>
        <w:t xml:space="preserve">Statistical methods and when to use </w:t>
      </w:r>
      <w:proofErr w:type="gramStart"/>
      <w:r>
        <w:t>them</w:t>
      </w:r>
      <w:proofErr w:type="gramEnd"/>
    </w:p>
    <w:p w14:paraId="60E84DA9" w14:textId="5E10E651" w:rsidR="007F1253" w:rsidRDefault="007F1253" w:rsidP="00972961">
      <w:pPr>
        <w:pStyle w:val="Heading2"/>
      </w:pPr>
      <w:r>
        <w:t>Systematic uncertainties</w:t>
      </w:r>
    </w:p>
    <w:p w14:paraId="0A115EA0" w14:textId="7A2D1CA6" w:rsidR="007363B3" w:rsidRDefault="00DD20E3" w:rsidP="007F1253">
      <w:r>
        <w:t xml:space="preserve">Experimental uncertainties that cannot be measured by repetition of the measurements are known as </w:t>
      </w:r>
      <w:r>
        <w:rPr>
          <w:i/>
          <w:iCs/>
        </w:rPr>
        <w:t>systematic uncertainties</w:t>
      </w:r>
      <w:r>
        <w:t>. These are either due a</w:t>
      </w:r>
      <w:r w:rsidR="007F6522">
        <w:t>n</w:t>
      </w:r>
      <w:r>
        <w:t xml:space="preserve"> </w:t>
      </w:r>
      <w:r w:rsidR="007F6522">
        <w:t>imperfection</w:t>
      </w:r>
      <w:r>
        <w:t xml:space="preserve"> of the measurement device (say, a slow stopwatch) or an inability to measure more precisely. </w:t>
      </w:r>
      <w:r w:rsidR="007363B3">
        <w:t>The first case can be corrected by standardizing or calibrating the instrument to known behaviors but most of the time will be smaller than the precision of the instrument.</w:t>
      </w:r>
    </w:p>
    <w:p w14:paraId="5DE7053E" w14:textId="79BD9D8B" w:rsidR="00DD20E3" w:rsidRDefault="007363B3" w:rsidP="00D64A21">
      <w:r>
        <w:t xml:space="preserve">For the latter case, it depends on the style of the instrument. If it is an </w:t>
      </w:r>
      <w:r>
        <w:rPr>
          <w:i/>
          <w:iCs/>
        </w:rPr>
        <w:t>analog</w:t>
      </w:r>
      <w:r>
        <w:t xml:space="preserve"> device, then the uncertainty due to its precision is given as half the increment of the markings. If the device is </w:t>
      </w:r>
      <w:r>
        <w:rPr>
          <w:i/>
          <w:iCs/>
        </w:rPr>
        <w:t>digital</w:t>
      </w:r>
      <w:r>
        <w:t xml:space="preserve">, then the uncertainty is the smallest digit since we cannot see indications between the final </w:t>
      </w:r>
      <w:proofErr w:type="gramStart"/>
      <w:r>
        <w:t>digit</w:t>
      </w:r>
      <w:proofErr w:type="gramEnd"/>
      <w:r>
        <w:t>.</w:t>
      </w:r>
    </w:p>
    <w:p w14:paraId="7A51C964" w14:textId="7A555874" w:rsidR="007363B3" w:rsidRPr="007363B3" w:rsidRDefault="007363B3" w:rsidP="007F1253">
      <w:pPr>
        <w:rPr>
          <w:i/>
          <w:iCs/>
        </w:rPr>
      </w:pPr>
      <w:r>
        <w:t xml:space="preserve">A measurement is then reported as </w:t>
      </w:r>
      <m:oMath>
        <m:r>
          <w:rPr>
            <w:rFonts w:ascii="Cambria Math" w:hAnsi="Cambria Math"/>
          </w:rPr>
          <m:t>x</m:t>
        </m:r>
        <m:r>
          <m:rPr>
            <m:sty m:val="p"/>
          </m:rPr>
          <w:rPr>
            <w:rFonts w:ascii="Cambria Math" w:hAnsi="Cambria Math"/>
          </w:rPr>
          <m:t>±</m:t>
        </m:r>
        <m:r>
          <m:rPr>
            <m:sty m:val="p"/>
          </m:rPr>
          <w:rPr>
            <w:rFonts w:ascii="Cambria Math" w:eastAsiaTheme="minorEastAsia" w:hAnsi="Cambria Math"/>
          </w:rPr>
          <m:t>δ</m:t>
        </m:r>
        <m:r>
          <m:rPr>
            <m:sty m:val="p"/>
          </m:rPr>
          <w:rPr>
            <w:rFonts w:ascii="Cambria Math" w:hAnsi="Cambria Math"/>
          </w:rPr>
          <m:t>x</m:t>
        </m:r>
      </m:oMath>
      <w:r>
        <w:rPr>
          <w:rFonts w:eastAsiaTheme="minorEastAsia"/>
        </w:rPr>
        <w:t xml:space="preserve"> [units].</w:t>
      </w:r>
    </w:p>
    <w:p w14:paraId="6842BFB3" w14:textId="647468E0" w:rsidR="00972961" w:rsidRDefault="00972961" w:rsidP="00972961">
      <w:pPr>
        <w:pStyle w:val="Heading2"/>
      </w:pPr>
      <w:r>
        <w:t>Mean and associated uncertainty (st</w:t>
      </w:r>
      <w:r w:rsidR="00312EA2">
        <w:t>andard</w:t>
      </w:r>
      <w:r>
        <w:t xml:space="preserve"> dev</w:t>
      </w:r>
      <w:r w:rsidR="00312EA2">
        <w:t>iation</w:t>
      </w:r>
      <w:r>
        <w:t xml:space="preserve"> of the mean)</w:t>
      </w:r>
    </w:p>
    <w:p w14:paraId="323EFC8C" w14:textId="14484E21" w:rsidR="00972961" w:rsidRPr="00972961" w:rsidRDefault="00972961" w:rsidP="00972961">
      <w:r>
        <w:t xml:space="preserve">When taking many points </w:t>
      </w:r>
      <w:r>
        <w:rPr>
          <w:i/>
          <w:iCs/>
        </w:rPr>
        <w:t>of the same thing</w:t>
      </w:r>
      <w:r>
        <w:t xml:space="preserve">, </w:t>
      </w:r>
      <w:r w:rsidR="007363B3">
        <w:t xml:space="preserve">we can find the </w:t>
      </w:r>
      <w:r w:rsidR="007363B3">
        <w:rPr>
          <w:i/>
          <w:iCs/>
        </w:rPr>
        <w:t xml:space="preserve">random </w:t>
      </w:r>
      <w:r w:rsidR="007363B3" w:rsidRPr="007363B3">
        <w:t>uncertainty</w:t>
      </w:r>
      <w:r w:rsidR="007363B3">
        <w:t xml:space="preserve"> associated to conducting the experiment. W</w:t>
      </w:r>
      <w:r w:rsidRPr="007363B3">
        <w:t>e</w:t>
      </w:r>
      <w:r>
        <w:t xml:space="preserve"> can take the mean </w:t>
      </w:r>
      <m:oMath>
        <m:acc>
          <m:accPr>
            <m:chr m:val="̅"/>
            <m:ctrlPr>
              <w:rPr>
                <w:rFonts w:ascii="Cambria Math" w:hAnsi="Cambria Math"/>
                <w:i/>
              </w:rPr>
            </m:ctrlPr>
          </m:accPr>
          <m:e>
            <m:r>
              <w:rPr>
                <w:rFonts w:ascii="Cambria Math" w:hAnsi="Cambria Math"/>
              </w:rPr>
              <m:t>x</m:t>
            </m:r>
          </m:e>
        </m:acc>
      </m:oMath>
      <w:r>
        <w:rPr>
          <w:rFonts w:eastAsiaTheme="minorEastAsia"/>
        </w:rPr>
        <w:t xml:space="preserve"> and associated uncertainty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to summarize all the trials conducted. We expect that the uncertainty decreases with an increased number of repeated measurements.</w:t>
      </w:r>
      <w:r w:rsidR="007363B3">
        <w:rPr>
          <w:rFonts w:eastAsiaTheme="minorEastAsia"/>
        </w:rPr>
        <w:t xml:space="preserve"> </w:t>
      </w:r>
      <w:r>
        <w:rPr>
          <w:rFonts w:eastAsiaTheme="minorEastAsia"/>
        </w:rPr>
        <w:t xml:space="preserve">You would then report the measurement as </w:t>
      </w:r>
      <m:oMath>
        <m:acc>
          <m:accPr>
            <m:chr m:val="̅"/>
            <m:ctrlPr>
              <w:rPr>
                <w:rFonts w:ascii="Cambria Math" w:hAnsi="Cambria Math"/>
                <w:i/>
                <w:iCs/>
              </w:rPr>
            </m:ctrlPr>
          </m:accPr>
          <m:e>
            <m:r>
              <w:rPr>
                <w:rFonts w:ascii="Cambria Math" w:hAnsi="Cambria Math"/>
              </w:rPr>
              <m:t>x</m:t>
            </m:r>
          </m:e>
        </m:acc>
        <m:r>
          <m:rPr>
            <m:sty m:val="p"/>
          </m:rP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[units].</w:t>
      </w:r>
    </w:p>
    <w:p w14:paraId="4047A41F" w14:textId="17701401" w:rsidR="00972961" w:rsidRDefault="00000000" w:rsidP="00972961">
      <w:pPr>
        <w:jc w:val="center"/>
        <w:rPr>
          <w:rFonts w:eastAsiaTheme="minorEastAsia"/>
        </w:rPr>
      </w:pPr>
      <m:oMathPara>
        <m:oMath>
          <m:acc>
            <m:accPr>
              <m:chr m:val="̅"/>
              <m:ctrlPr>
                <w:rPr>
                  <w:rFonts w:ascii="Cambria Math" w:hAnsi="Cambria Math"/>
                  <w:i/>
                  <w:iCs/>
                </w:rPr>
              </m:ctrlPr>
            </m:accPr>
            <m:e>
              <m:r>
                <w:rPr>
                  <w:rFonts w:ascii="Cambria Math" w:hAnsi="Cambria Math"/>
                </w:rPr>
                <m:t>x</m:t>
              </m:r>
            </m:e>
          </m:acc>
          <m:r>
            <m:rPr>
              <m:sty m:val="p"/>
            </m:rPr>
            <w:rPr>
              <w:rFonts w:ascii="Cambria Math" w:hAnsi="Cambria Math"/>
            </w:rPr>
            <m:t>=</m:t>
          </m:r>
          <m:f>
            <m:fPr>
              <m:ctrlPr>
                <w:rPr>
                  <w:rFonts w:ascii="Cambria Math" w:hAnsi="Cambria Math"/>
                  <w:i/>
                  <w:iCs/>
                </w:rPr>
              </m:ctrlPr>
            </m:fPr>
            <m:num>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N</m:t>
              </m:r>
            </m:den>
          </m:f>
        </m:oMath>
      </m:oMathPara>
    </w:p>
    <w:p w14:paraId="4F4419AC" w14:textId="02A5F2EA" w:rsidR="00F56F95" w:rsidRDefault="00F56F95" w:rsidP="00972961">
      <w:pPr>
        <w:jc w:val="center"/>
        <w:rPr>
          <w:rFonts w:eastAsiaTheme="minorEastAsia"/>
          <w:iCs/>
        </w:rPr>
      </w:pPr>
      <m:oMath>
        <m:r>
          <w:rPr>
            <w:rFonts w:ascii="Cambria Math" w:hAnsi="Cambria Math"/>
          </w:rPr>
          <m:t>σ</m:t>
        </m:r>
        <m:r>
          <m:rPr>
            <m:sty m:val="p"/>
          </m:rP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i/>
                                <w:iCs/>
                              </w:rPr>
                            </m:ctrlPr>
                          </m:accPr>
                          <m:e>
                            <m:r>
                              <w:rPr>
                                <w:rFonts w:ascii="Cambria Math" w:hAnsi="Cambria Math"/>
                              </w:rPr>
                              <m:t>x</m:t>
                            </m:r>
                          </m:e>
                        </m:acc>
                      </m:e>
                    </m:d>
                  </m:e>
                  <m:sup>
                    <m:r>
                      <m:rPr>
                        <m:sty m:val="p"/>
                      </m:rPr>
                      <w:rPr>
                        <w:rFonts w:ascii="Cambria Math" w:hAnsi="Cambria Math"/>
                      </w:rPr>
                      <m:t>2</m:t>
                    </m:r>
                  </m:sup>
                </m:sSup>
              </m:num>
              <m:den>
                <m:r>
                  <w:rPr>
                    <w:rFonts w:ascii="Cambria Math" w:hAnsi="Cambria Math"/>
                  </w:rPr>
                  <m:t>N</m:t>
                </m:r>
                <m:r>
                  <m:rPr>
                    <m:sty m:val="p"/>
                  </m:rPr>
                  <w:rPr>
                    <w:rFonts w:ascii="Cambria Math" w:hAnsi="Cambria Math"/>
                  </w:rPr>
                  <m:t>-1</m:t>
                </m:r>
              </m:den>
            </m:f>
          </m:e>
        </m:rad>
      </m:oMath>
      <w:r w:rsidR="00972961">
        <w:t xml:space="preserve">;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eastAsiaTheme="minorEastAsia" w:hAnsi="Cambria Math"/>
          </w:rPr>
          <m:t xml:space="preserve"> = </m:t>
        </m:r>
        <m:f>
          <m:fPr>
            <m:ctrlPr>
              <w:rPr>
                <w:rFonts w:ascii="Cambria Math" w:hAnsi="Cambria Math"/>
                <w:i/>
                <w:iCs/>
              </w:rPr>
            </m:ctrlPr>
          </m:fPr>
          <m:num>
            <m:r>
              <m:rPr>
                <m:sty m:val="p"/>
              </m:rPr>
              <w:rPr>
                <w:rFonts w:ascii="Cambria Math" w:hAnsi="Cambria Math"/>
              </w:rPr>
              <m:t>σ</m:t>
            </m:r>
          </m:num>
          <m:den>
            <m:rad>
              <m:radPr>
                <m:degHide m:val="1"/>
                <m:ctrlPr>
                  <w:rPr>
                    <w:rFonts w:ascii="Cambria Math" w:hAnsi="Cambria Math"/>
                    <w:i/>
                    <w:iCs/>
                  </w:rPr>
                </m:ctrlPr>
              </m:radPr>
              <m:deg/>
              <m:e>
                <m:r>
                  <m:rPr>
                    <m:sty m:val="p"/>
                  </m:rPr>
                  <w:rPr>
                    <w:rFonts w:ascii="Cambria Math" w:hAnsi="Cambria Math"/>
                  </w:rPr>
                  <m:t>N</m:t>
                </m:r>
              </m:e>
            </m:rad>
          </m:den>
        </m:f>
      </m:oMath>
    </w:p>
    <w:p w14:paraId="2A7952E2" w14:textId="326558B4" w:rsidR="00577EBB" w:rsidRDefault="00577EBB" w:rsidP="00577EBB">
      <w:pPr>
        <w:pStyle w:val="Heading2"/>
      </w:pPr>
      <w:r>
        <w:t>Propagation of uncertainty</w:t>
      </w:r>
    </w:p>
    <w:p w14:paraId="0B6D6D57" w14:textId="5D6BF560" w:rsidR="00577EBB" w:rsidRPr="00837FA7" w:rsidRDefault="00577EBB" w:rsidP="00577EBB">
      <w:r>
        <w:t xml:space="preserve">Whenever we carry out a calculation of multiple variables with uncertainties, we need to make sure to propagate our uncertainty. If we have a function </w:t>
      </w:r>
      <w:r>
        <w:rPr>
          <w:i/>
          <w:iCs/>
        </w:rPr>
        <w:t>f</w:t>
      </w:r>
      <w:r>
        <w:t xml:space="preserve"> that is made up of many variables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B</m:t>
            </m:r>
          </m:sub>
        </m:sSub>
      </m:oMath>
      <w:r>
        <w:rPr>
          <w:rFonts w:eastAsiaTheme="minorEastAsia"/>
        </w:rPr>
        <w:t xml:space="preserve">, etc.) with associated uncertainties </w:t>
      </w:r>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i</m:t>
            </m:r>
          </m:sub>
        </m:sSub>
      </m:oMath>
      <w:r>
        <w:rPr>
          <w:rFonts w:eastAsiaTheme="minorEastAsia"/>
        </w:rPr>
        <w:t xml:space="preserve">, then the uncertainty in the function </w:t>
      </w:r>
      <m:oMath>
        <m:r>
          <w:rPr>
            <w:rFonts w:ascii="Cambria Math" w:hAnsi="Cambria Math"/>
          </w:rPr>
          <m:t>δf</m:t>
        </m:r>
      </m:oMath>
      <w:r>
        <w:rPr>
          <w:rFonts w:eastAsiaTheme="minorEastAsia"/>
        </w:rPr>
        <w:t xml:space="preserve"> is given </w:t>
      </w:r>
      <w:proofErr w:type="gramStart"/>
      <w:r>
        <w:rPr>
          <w:rFonts w:eastAsiaTheme="minorEastAsia"/>
        </w:rPr>
        <w:t>by</w:t>
      </w:r>
      <w:proofErr w:type="gramEnd"/>
    </w:p>
    <w:p w14:paraId="00084FCB" w14:textId="77777777" w:rsidR="00577EBB" w:rsidRPr="00837FA7" w:rsidRDefault="00577EBB" w:rsidP="00577EBB">
      <w:pPr>
        <w:rPr>
          <w:rFonts w:eastAsiaTheme="minorEastAsia"/>
        </w:rPr>
      </w:pPr>
      <m:oMathPara>
        <m:oMathParaPr>
          <m:jc m:val="centerGroup"/>
        </m:oMathParaPr>
        <m:oMath>
          <m:r>
            <w:rPr>
              <w:rFonts w:ascii="Cambria Math" w:hAnsi="Cambria Math"/>
            </w:rPr>
            <m:t>δf</m:t>
          </m:r>
          <m:r>
            <m:rPr>
              <m:sty m:val="p"/>
            </m:rPr>
            <w:rPr>
              <w:rFonts w:ascii="Cambria Math" w:hAnsi="Cambria Math"/>
            </w:rPr>
            <m:t>= </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sSub>
                            <m:sSubPr>
                              <m:ctrlPr>
                                <w:rPr>
                                  <w:rFonts w:ascii="Cambria Math" w:hAnsi="Cambria Math"/>
                                </w:rPr>
                              </m:ctrlPr>
                            </m:sSubPr>
                            <m:e>
                              <m:r>
                                <w:rPr>
                                  <w:rFonts w:ascii="Cambria Math" w:hAnsi="Cambria Math"/>
                                </w:rPr>
                                <m:t>δx</m:t>
                              </m:r>
                            </m:e>
                            <m:sub>
                              <m:r>
                                <w:rPr>
                                  <w:rFonts w:ascii="Cambria Math" w:hAnsi="Cambria Math"/>
                                </w:rPr>
                                <m:t>i</m:t>
                              </m:r>
                            </m:sub>
                          </m:sSub>
                        </m:e>
                      </m:d>
                    </m:e>
                    <m:sup>
                      <m:r>
                        <m:rPr>
                          <m:sty m:val="p"/>
                        </m:rPr>
                        <w:rPr>
                          <w:rFonts w:ascii="Cambria Math" w:hAnsi="Cambria Math"/>
                        </w:rPr>
                        <m:t>2</m:t>
                      </m:r>
                    </m:sup>
                  </m:sSup>
                </m:e>
              </m:nary>
            </m:e>
          </m:rad>
        </m:oMath>
      </m:oMathPara>
    </w:p>
    <w:p w14:paraId="0DC71B91" w14:textId="7E315E8B" w:rsidR="00577EBB" w:rsidRDefault="00577EBB" w:rsidP="00577EBB">
      <w:pPr>
        <w:rPr>
          <w:rFonts w:eastAsiaTheme="minorEastAsia"/>
        </w:rPr>
      </w:pPr>
      <w:r>
        <w:rPr>
          <w:rFonts w:eastAsiaTheme="minorEastAsia"/>
        </w:rPr>
        <w:t xml:space="preserve">where </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w:r>
        <w:rPr>
          <w:rFonts w:eastAsiaTheme="minorEastAsia"/>
        </w:rPr>
        <w:t xml:space="preserve"> is the derivative of the function </w:t>
      </w:r>
      <w:r>
        <w:rPr>
          <w:rFonts w:eastAsiaTheme="minorEastAsia"/>
          <w:i/>
          <w:iCs/>
        </w:rPr>
        <w:t xml:space="preserve">f </w:t>
      </w:r>
      <w:r>
        <w:rPr>
          <w:rFonts w:eastAsiaTheme="minorEastAsia"/>
        </w:rPr>
        <w:t xml:space="preserve">with respect to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w:t>
      </w:r>
    </w:p>
    <w:p w14:paraId="24ADDB3A" w14:textId="0178C89C" w:rsidR="00577EBB" w:rsidRDefault="00577EBB" w:rsidP="00577EBB">
      <w:pPr>
        <w:pStyle w:val="Heading2"/>
      </w:pPr>
      <w:r>
        <w:t>Statistics vs Propagation of uncertainty: which to use?</w:t>
      </w:r>
    </w:p>
    <w:p w14:paraId="05492948" w14:textId="07D77E41" w:rsidR="00577EBB" w:rsidRPr="00D64A21" w:rsidRDefault="00577EBB" w:rsidP="00577EBB">
      <w:r>
        <w:t>The roles of statistical analysis and uncertainty propagations are complimentary. Most experiments should be able to be analyzed using both methods. If both are possible, you ought to do so both ways to check what they give. The expectation is that both give similar results, but in the cases that one is larger than the other, you would have to choose which one is a better description for your results.</w:t>
      </w:r>
    </w:p>
    <w:p w14:paraId="1E23F7D8" w14:textId="2111BABE" w:rsidR="00972961" w:rsidRDefault="00972961" w:rsidP="00972961">
      <w:pPr>
        <w:pStyle w:val="Heading2"/>
      </w:pPr>
      <w:r>
        <w:t>t-score</w:t>
      </w:r>
    </w:p>
    <w:p w14:paraId="4035DEDE" w14:textId="4B456006" w:rsidR="00972961" w:rsidRPr="00972961" w:rsidRDefault="00972961" w:rsidP="00972961">
      <w:r>
        <w:t xml:space="preserve">We can use the t-score to compare two values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oMath>
      <w:r>
        <w:rPr>
          <w:rFonts w:eastAsiaTheme="minorEastAsia"/>
        </w:rPr>
        <w:t xml:space="preserve"> if and only if we also know the associated uncertainties </w:t>
      </w:r>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oMath>
      <w:r>
        <w:rPr>
          <w:rFonts w:eastAsiaTheme="minorEastAsia"/>
        </w:rPr>
        <w:t>, respectively.</w:t>
      </w:r>
    </w:p>
    <w:p w14:paraId="4470D21E" w14:textId="0EF70BAA" w:rsidR="00F56F95" w:rsidRPr="00972961" w:rsidRDefault="00F56F95" w:rsidP="00F56F95">
      <w:pPr>
        <w:rPr>
          <w:rFonts w:eastAsiaTheme="minorEastAsia"/>
        </w:rPr>
      </w:pPr>
      <m:oMathPara>
        <m:oMathParaPr>
          <m:jc m:val="centerGroup"/>
        </m:oMathParaPr>
        <m:oMath>
          <m:r>
            <w:rPr>
              <w:rFonts w:ascii="Cambria Math" w:hAnsi="Cambria Math"/>
            </w:rPr>
            <w:lastRenderedPageBreak/>
            <m:t>t</m:t>
          </m:r>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m:t>
                  </m:r>
                  <m:r>
                    <m:rPr>
                      <m:sty m:val="p"/>
                    </m:rPr>
                    <w:rPr>
                      <w:rFonts w:ascii="Cambria Math" w:eastAsiaTheme="minorEastAsia" w:hAnsi="Cambria Math"/>
                    </w:rPr>
                    <m:t>x</m:t>
                  </m:r>
                </m:e>
                <m:sub>
                  <m:r>
                    <w:rPr>
                      <w:rFonts w:ascii="Cambria Math" w:hAnsi="Cambria Math"/>
                    </w:rPr>
                    <m:t>A</m:t>
                  </m:r>
                </m:sub>
              </m:sSub>
              <m:r>
                <m:rPr>
                  <m:sty m:val="p"/>
                </m:rP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r>
                <w:rPr>
                  <w:rFonts w:ascii="Cambria Math" w:eastAsiaTheme="minorEastAsia" w:hAnsi="Cambria Math"/>
                </w:rPr>
                <m:t>|</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hAnsi="Cambria Math"/>
                        </w:rPr>
                        <m:t>δ</m:t>
                      </m:r>
                      <m:r>
                        <m:rPr>
                          <m:sty m:val="p"/>
                        </m:rPr>
                        <w:rPr>
                          <w:rFonts w:ascii="Cambria Math" w:eastAsiaTheme="minorEastAsia" w:hAnsi="Cambria Math"/>
                        </w:rPr>
                        <m:t>x</m:t>
                      </m:r>
                    </m:e>
                    <m:sub>
                      <m:r>
                        <w:rPr>
                          <w:rFonts w:ascii="Cambria Math" w:hAnsi="Cambria Math"/>
                        </w:rPr>
                        <m:t>A</m:t>
                      </m:r>
                    </m:sub>
                    <m:sup>
                      <m:r>
                        <m:rPr>
                          <m:sty m:val="p"/>
                        </m:rPr>
                        <w:rPr>
                          <w:rFonts w:ascii="Cambria Math" w:hAnsi="Cambria Math"/>
                        </w:rPr>
                        <m:t>2</m:t>
                      </m:r>
                    </m:sup>
                  </m:sSubSup>
                  <m:r>
                    <m:rPr>
                      <m:sty m:val="p"/>
                    </m:rPr>
                    <w:rPr>
                      <w:rFonts w:ascii="Cambria Math" w:hAnsi="Cambria Math"/>
                    </w:rPr>
                    <m:t>+</m:t>
                  </m:r>
                  <m:sSubSup>
                    <m:sSubSupPr>
                      <m:ctrlPr>
                        <w:rPr>
                          <w:rFonts w:ascii="Cambria Math" w:eastAsiaTheme="minorEastAsia" w:hAnsi="Cambria Math"/>
                        </w:rPr>
                      </m:ctrlPr>
                    </m:sSubSupPr>
                    <m:e>
                      <m:r>
                        <w:rPr>
                          <w:rFonts w:ascii="Cambria Math" w:hAnsi="Cambria Math"/>
                        </w:rPr>
                        <m:t>δ</m:t>
                      </m:r>
                      <m:r>
                        <m:rPr>
                          <m:sty m:val="p"/>
                        </m:rPr>
                        <w:rPr>
                          <w:rFonts w:ascii="Cambria Math" w:eastAsiaTheme="minorEastAsia" w:hAnsi="Cambria Math"/>
                        </w:rPr>
                        <m:t>x</m:t>
                      </m:r>
                    </m:e>
                    <m:sub>
                      <m:r>
                        <w:rPr>
                          <w:rFonts w:ascii="Cambria Math" w:hAnsi="Cambria Math"/>
                        </w:rPr>
                        <m:t>B</m:t>
                      </m:r>
                    </m:sub>
                    <m:sup>
                      <m:r>
                        <m:rPr>
                          <m:sty m:val="p"/>
                        </m:rPr>
                        <w:rPr>
                          <w:rFonts w:ascii="Cambria Math" w:hAnsi="Cambria Math"/>
                        </w:rPr>
                        <m:t>2</m:t>
                      </m:r>
                    </m:sup>
                  </m:sSubSup>
                </m:e>
              </m:rad>
            </m:den>
          </m:f>
        </m:oMath>
      </m:oMathPara>
    </w:p>
    <w:p w14:paraId="39DC7134" w14:textId="101DC6AC" w:rsidR="00972961" w:rsidRDefault="00972961" w:rsidP="00F56F95">
      <w:pPr>
        <w:rPr>
          <w:rFonts w:eastAsiaTheme="minorEastAsia"/>
        </w:rPr>
      </w:pPr>
      <w:r>
        <w:rPr>
          <w:rFonts w:eastAsiaTheme="minorEastAsia"/>
        </w:rPr>
        <w:t xml:space="preserve">The resulting t-score can then tell us if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hAnsi="Cambria Math"/>
                  </w:rPr>
                  <m:t>x</m:t>
                </m:r>
              </m:e>
            </m:acc>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hAnsi="Cambria Math"/>
                  </w:rPr>
                  <m:t>x</m:t>
                </m:r>
              </m:e>
            </m:acc>
          </m:e>
          <m:sub>
            <m:r>
              <w:rPr>
                <w:rFonts w:ascii="Cambria Math" w:hAnsi="Cambria Math"/>
              </w:rPr>
              <m:t>B</m:t>
            </m:r>
          </m:sub>
        </m:sSub>
      </m:oMath>
      <w:r>
        <w:rPr>
          <w:rFonts w:eastAsiaTheme="minorEastAsia"/>
        </w:rPr>
        <w:t xml:space="preserve"> are </w:t>
      </w:r>
      <w:r w:rsidR="00DC1F3D">
        <w:rPr>
          <w:rFonts w:eastAsiaTheme="minorEastAsia"/>
        </w:rPr>
        <w:t xml:space="preserve">distinguishable or indistinguishable. See Table 1 for the exact scaling. One thing to note is that if your result is inconclusive, then we are obligated to take more data until you can make a conclusion. </w:t>
      </w:r>
      <w:proofErr w:type="gramStart"/>
      <w:r w:rsidR="00DC1F3D">
        <w:rPr>
          <w:rFonts w:eastAsiaTheme="minorEastAsia"/>
        </w:rPr>
        <w:t>By definition, we</w:t>
      </w:r>
      <w:proofErr w:type="gramEnd"/>
      <w:r w:rsidR="00DC1F3D">
        <w:rPr>
          <w:rFonts w:eastAsiaTheme="minorEastAsia"/>
        </w:rPr>
        <w:t xml:space="preserve"> cannot make a conclusion on something that is inconclusive.</w:t>
      </w:r>
    </w:p>
    <w:p w14:paraId="615B729A" w14:textId="473ECF69" w:rsidR="00DC1F3D" w:rsidRDefault="00DC1F3D" w:rsidP="00F56F95">
      <w:pPr>
        <w:rPr>
          <w:rFonts w:eastAsiaTheme="minorEastAsia"/>
        </w:rPr>
      </w:pPr>
      <w:r w:rsidRPr="00312EA2">
        <w:rPr>
          <w:rFonts w:eastAsiaTheme="minorEastAsia"/>
          <w:b/>
          <w:bCs/>
        </w:rPr>
        <w:t>Table 1</w:t>
      </w:r>
      <w:r>
        <w:rPr>
          <w:rFonts w:eastAsiaTheme="minorEastAsia"/>
        </w:rPr>
        <w:t xml:space="preserve">: Results of the t-score and the conclusions that can be made. Also given is the appropriate follow up to the </w:t>
      </w:r>
      <w:proofErr w:type="gramStart"/>
      <w:r>
        <w:rPr>
          <w:rFonts w:eastAsiaTheme="minorEastAsia"/>
        </w:rPr>
        <w:t>conclusion</w:t>
      </w:r>
      <w:proofErr w:type="gramEnd"/>
    </w:p>
    <w:tbl>
      <w:tblPr>
        <w:tblStyle w:val="TableGrid"/>
        <w:tblW w:w="0" w:type="auto"/>
        <w:tblLook w:val="04A0" w:firstRow="1" w:lastRow="0" w:firstColumn="1" w:lastColumn="0" w:noHBand="0" w:noVBand="1"/>
      </w:tblPr>
      <w:tblGrid>
        <w:gridCol w:w="1975"/>
        <w:gridCol w:w="2610"/>
        <w:gridCol w:w="4765"/>
      </w:tblGrid>
      <w:tr w:rsidR="00312EA2" w14:paraId="7F9768EE" w14:textId="77777777" w:rsidTr="00E42FBC">
        <w:tc>
          <w:tcPr>
            <w:tcW w:w="1975" w:type="dxa"/>
          </w:tcPr>
          <w:p w14:paraId="1EFA7003" w14:textId="0A8DC260" w:rsidR="00312EA2" w:rsidRPr="00312EA2" w:rsidRDefault="00312EA2" w:rsidP="00312EA2">
            <w:pPr>
              <w:jc w:val="center"/>
              <w:rPr>
                <w:b/>
                <w:bCs/>
              </w:rPr>
            </w:pPr>
            <w:r>
              <w:rPr>
                <w:b/>
                <w:bCs/>
              </w:rPr>
              <w:t>t-score</w:t>
            </w:r>
          </w:p>
        </w:tc>
        <w:tc>
          <w:tcPr>
            <w:tcW w:w="2610" w:type="dxa"/>
          </w:tcPr>
          <w:p w14:paraId="08A7E8ED" w14:textId="08BAF98D" w:rsidR="00312EA2" w:rsidRPr="00312EA2" w:rsidRDefault="00312EA2" w:rsidP="00312EA2">
            <w:pPr>
              <w:jc w:val="center"/>
              <w:rPr>
                <w:b/>
                <w:bCs/>
              </w:rPr>
            </w:pPr>
            <w:r>
              <w:rPr>
                <w:b/>
                <w:bCs/>
              </w:rPr>
              <w:t>Conclusion</w:t>
            </w:r>
          </w:p>
        </w:tc>
        <w:tc>
          <w:tcPr>
            <w:tcW w:w="4765" w:type="dxa"/>
          </w:tcPr>
          <w:p w14:paraId="2C9F8AAA" w14:textId="70C99DB5" w:rsidR="00312EA2" w:rsidRPr="00312EA2" w:rsidRDefault="00312EA2" w:rsidP="00312EA2">
            <w:pPr>
              <w:jc w:val="center"/>
              <w:rPr>
                <w:b/>
                <w:bCs/>
              </w:rPr>
            </w:pPr>
            <w:r>
              <w:rPr>
                <w:b/>
                <w:bCs/>
              </w:rPr>
              <w:t>Follow up</w:t>
            </w:r>
          </w:p>
        </w:tc>
      </w:tr>
      <w:tr w:rsidR="00312EA2" w14:paraId="2106FC03" w14:textId="77777777" w:rsidTr="00E42FBC">
        <w:tc>
          <w:tcPr>
            <w:tcW w:w="1975" w:type="dxa"/>
          </w:tcPr>
          <w:p w14:paraId="6EA1761C" w14:textId="56C7BBD9" w:rsidR="00312EA2" w:rsidRDefault="00312EA2" w:rsidP="00312EA2">
            <w:pPr>
              <w:jc w:val="center"/>
            </w:pPr>
            <w:r>
              <w:t>|t| &lt; 1</w:t>
            </w:r>
          </w:p>
        </w:tc>
        <w:tc>
          <w:tcPr>
            <w:tcW w:w="2610" w:type="dxa"/>
          </w:tcPr>
          <w:p w14:paraId="433CEF8E" w14:textId="1053C4B7" w:rsidR="00312EA2" w:rsidRDefault="00312EA2" w:rsidP="00312EA2">
            <w:pPr>
              <w:jc w:val="center"/>
            </w:pPr>
            <w:r>
              <w:t>Indistinguishable</w:t>
            </w:r>
          </w:p>
        </w:tc>
        <w:tc>
          <w:tcPr>
            <w:tcW w:w="4765" w:type="dxa"/>
          </w:tcPr>
          <w:p w14:paraId="13BEFD45" w14:textId="26960341" w:rsidR="00312EA2" w:rsidRDefault="00312EA2" w:rsidP="00312EA2">
            <w:pPr>
              <w:jc w:val="center"/>
            </w:pPr>
            <w:r>
              <w:t>Collect more data or decrease uncertainty to determine distinguishability</w:t>
            </w:r>
          </w:p>
        </w:tc>
      </w:tr>
      <w:tr w:rsidR="00312EA2" w14:paraId="0EDD20F4" w14:textId="77777777" w:rsidTr="00E42FBC">
        <w:tc>
          <w:tcPr>
            <w:tcW w:w="1975" w:type="dxa"/>
          </w:tcPr>
          <w:p w14:paraId="23FEBE8E" w14:textId="0C226346" w:rsidR="00312EA2" w:rsidRDefault="00312EA2" w:rsidP="00312EA2">
            <w:pPr>
              <w:jc w:val="center"/>
            </w:pPr>
            <w:r>
              <w:t>1 &lt; |t| &lt; 3</w:t>
            </w:r>
          </w:p>
        </w:tc>
        <w:tc>
          <w:tcPr>
            <w:tcW w:w="2610" w:type="dxa"/>
          </w:tcPr>
          <w:p w14:paraId="7EE121A7" w14:textId="6F4C458D" w:rsidR="00312EA2" w:rsidRDefault="00312EA2" w:rsidP="00312EA2">
            <w:pPr>
              <w:jc w:val="center"/>
            </w:pPr>
            <w:r>
              <w:t>Inconclusive</w:t>
            </w:r>
          </w:p>
        </w:tc>
        <w:tc>
          <w:tcPr>
            <w:tcW w:w="4765" w:type="dxa"/>
          </w:tcPr>
          <w:p w14:paraId="1DD4FC3B" w14:textId="156CCCC4" w:rsidR="00312EA2" w:rsidRDefault="00312EA2" w:rsidP="00312EA2">
            <w:pPr>
              <w:jc w:val="center"/>
            </w:pPr>
            <w:r>
              <w:t>Collect more data or decrease uncertainty to determine (in)distinguishability</w:t>
            </w:r>
          </w:p>
        </w:tc>
      </w:tr>
      <w:tr w:rsidR="00312EA2" w14:paraId="58DC7D5D" w14:textId="77777777" w:rsidTr="00E42FBC">
        <w:tc>
          <w:tcPr>
            <w:tcW w:w="1975" w:type="dxa"/>
          </w:tcPr>
          <w:p w14:paraId="5445E8FC" w14:textId="4A8AB66E" w:rsidR="00312EA2" w:rsidRDefault="00312EA2" w:rsidP="00312EA2">
            <w:pPr>
              <w:jc w:val="center"/>
            </w:pPr>
            <w:r>
              <w:t>|t| &gt; 3</w:t>
            </w:r>
          </w:p>
        </w:tc>
        <w:tc>
          <w:tcPr>
            <w:tcW w:w="2610" w:type="dxa"/>
          </w:tcPr>
          <w:p w14:paraId="1907FC2B" w14:textId="1CE5BEF9" w:rsidR="00312EA2" w:rsidRDefault="00312EA2" w:rsidP="00312EA2">
            <w:pPr>
              <w:jc w:val="center"/>
            </w:pPr>
            <w:r>
              <w:t>Distinguishable</w:t>
            </w:r>
          </w:p>
        </w:tc>
        <w:tc>
          <w:tcPr>
            <w:tcW w:w="4765" w:type="dxa"/>
          </w:tcPr>
          <w:p w14:paraId="6261B152" w14:textId="248D5849" w:rsidR="00312EA2" w:rsidRDefault="00312EA2" w:rsidP="00312EA2">
            <w:pPr>
              <w:jc w:val="center"/>
            </w:pPr>
            <w:r>
              <w:t>Re-evaluate or revise model</w:t>
            </w:r>
          </w:p>
        </w:tc>
      </w:tr>
    </w:tbl>
    <w:p w14:paraId="4FA7C097" w14:textId="77777777" w:rsidR="00312EA2" w:rsidRPr="00F56F95" w:rsidRDefault="00312EA2" w:rsidP="00F56F95"/>
    <w:p w14:paraId="5683053C" w14:textId="6E37D9AA" w:rsidR="009219C6" w:rsidRDefault="009219C6" w:rsidP="007F1253">
      <w:pPr>
        <w:pStyle w:val="Heading2"/>
      </w:pPr>
      <w:r>
        <w:t xml:space="preserve">Fitting data to extract a </w:t>
      </w:r>
      <w:proofErr w:type="gramStart"/>
      <w:r>
        <w:t>slope</w:t>
      </w:r>
      <w:proofErr w:type="gramEnd"/>
    </w:p>
    <w:p w14:paraId="6FA63BDA" w14:textId="3B654704" w:rsidR="009219C6" w:rsidRDefault="009219C6" w:rsidP="009219C6">
      <w:r>
        <w:t>If we have a set of data and we know that the two variables (</w:t>
      </w:r>
      <m:oMath>
        <m:r>
          <w:rPr>
            <w:rFonts w:ascii="Cambria Math" w:hAnsi="Cambria Math"/>
          </w:rPr>
          <m:t>f</m:t>
        </m:r>
        <m:d>
          <m:dPr>
            <m:ctrlPr>
              <w:rPr>
                <w:rFonts w:ascii="Cambria Math" w:hAnsi="Cambria Math"/>
                <w:i/>
              </w:rPr>
            </m:ctrlPr>
          </m:dPr>
          <m:e>
            <m:r>
              <w:rPr>
                <w:rFonts w:ascii="Cambria Math" w:hAnsi="Cambria Math"/>
              </w:rPr>
              <m:t>x</m:t>
            </m:r>
          </m:e>
        </m:d>
      </m:oMath>
      <w:r>
        <w:t xml:space="preserve">and </w:t>
      </w:r>
      <m:oMath>
        <m:r>
          <m:rPr>
            <m:sty m:val="p"/>
          </m:rPr>
          <w:rPr>
            <w:rFonts w:ascii="Cambria Math" w:hAnsi="Cambria Math"/>
          </w:rPr>
          <m:t>x</m:t>
        </m:r>
      </m:oMath>
      <w:r>
        <w:t>) are related by a linear relationship, we can extract the proportionality constant</w:t>
      </w:r>
      <w:r w:rsidR="00405829">
        <w:t>,</w:t>
      </w:r>
      <w:r w:rsidR="00405829">
        <w:rPr>
          <w:rFonts w:ascii="Cambria Math" w:eastAsiaTheme="minorEastAsia" w:hAnsi="Cambria Math"/>
        </w:rPr>
        <w:t xml:space="preserve"> </w:t>
      </w:r>
      <m:oMath>
        <m:r>
          <w:rPr>
            <w:rFonts w:ascii="Cambria Math" w:hAnsi="Cambria Math"/>
          </w:rPr>
          <m:t>m</m:t>
        </m:r>
      </m:oMath>
      <w:r w:rsidR="00405829">
        <w:t>. The relationship can be written as:</w:t>
      </w:r>
    </w:p>
    <w:p w14:paraId="32D7573C" w14:textId="56B3835B" w:rsidR="00405829" w:rsidRPr="00405829" w:rsidRDefault="00EF56DB" w:rsidP="00405829">
      <w:pPr>
        <w:jc w:val="center"/>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=mx</m:t>
        </m:r>
      </m:oMath>
      <w:r w:rsidR="00405829">
        <w:rPr>
          <w:rFonts w:eastAsiaTheme="minorEastAsia"/>
        </w:rPr>
        <w:t>.</w:t>
      </w:r>
    </w:p>
    <w:p w14:paraId="67784E63" w14:textId="3228CC27" w:rsidR="00405829" w:rsidRDefault="00405829" w:rsidP="009219C6">
      <w:pPr>
        <w:rPr>
          <w:rFonts w:eastAsiaTheme="minorEastAsia"/>
        </w:rPr>
      </w:pPr>
      <w:r>
        <w:rPr>
          <w:rFonts w:eastAsiaTheme="minorEastAsia"/>
        </w:rPr>
        <w:t xml:space="preserve">To do this, we can take the “instantaneous” slope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for each data point and then do a weighted </w:t>
      </w:r>
      <w:proofErr w:type="gramStart"/>
      <w:r>
        <w:rPr>
          <w:rFonts w:eastAsiaTheme="minorEastAsia"/>
        </w:rPr>
        <w:t>average</w:t>
      </w:r>
      <w:proofErr w:type="gramEnd"/>
    </w:p>
    <w:p w14:paraId="41FE0C77" w14:textId="34BE6193" w:rsidR="00405829" w:rsidRPr="00405829" w:rsidRDefault="00405829" w:rsidP="009219C6">
      <w:pPr>
        <w:rPr>
          <w:rFonts w:eastAsiaTheme="minorEastAsia"/>
        </w:rPr>
      </w:pPr>
      <m:oMathPara>
        <m:oMath>
          <m:r>
            <w:rPr>
              <w:rFonts w:ascii="Cambria Math" w:hAnsi="Cambria Math"/>
            </w:rPr>
            <m:t>m=</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14:paraId="06B21434" w14:textId="18DDCDFA" w:rsidR="00405829" w:rsidRDefault="00405829" w:rsidP="009219C6">
      <w:pPr>
        <w:rPr>
          <w:rFonts w:eastAsiaTheme="minorEastAsia"/>
        </w:rPr>
      </w:pPr>
      <w:r>
        <w:rPr>
          <w:rFonts w:eastAsiaTheme="minorEastAsia"/>
        </w:rPr>
        <w:t xml:space="preserve">The uncertainty associated with this weighted average </w:t>
      </w:r>
      <w:proofErr w:type="gramStart"/>
      <w:r>
        <w:rPr>
          <w:rFonts w:eastAsiaTheme="minorEastAsia"/>
        </w:rPr>
        <w:t>is</w:t>
      </w:r>
      <w:proofErr w:type="gramEnd"/>
    </w:p>
    <w:p w14:paraId="65E3E251" w14:textId="748CB052" w:rsidR="00EF56DB" w:rsidRPr="00EF56DB" w:rsidRDefault="00EF56DB" w:rsidP="009219C6">
      <w:pPr>
        <w:rPr>
          <w:rFonts w:eastAsiaTheme="minorEastAsia"/>
        </w:rPr>
      </w:pPr>
      <m:oMathPara>
        <m:oMath>
          <m:r>
            <m:rPr>
              <m:sty m:val="p"/>
            </m:rPr>
            <w:rPr>
              <w:rFonts w:ascii="Cambria Math" w:hAnsi="Cambria Math"/>
            </w:rPr>
            <m:t>δ</m:t>
          </m:r>
          <m:r>
            <w:rPr>
              <w:rFonts w:ascii="Cambria Math" w:hAnsi="Cambria Math"/>
            </w:rPr>
            <m:t xml:space="preserve">m =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eastAsiaTheme="minorEastAsia"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m:t>
                              </m:r>
                              <m:ctrlPr>
                                <w:rPr>
                                  <w:rFonts w:ascii="Cambria Math" w:eastAsiaTheme="minorEastAsia" w:hAnsi="Cambria Math"/>
                                  <w:i/>
                                </w:rPr>
                              </m:ctrlPr>
                            </m:e>
                          </m:d>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e>
          </m:rad>
        </m:oMath>
      </m:oMathPara>
    </w:p>
    <w:p w14:paraId="364C09FD" w14:textId="208E9CC0" w:rsidR="00EF56DB" w:rsidRDefault="00EF56DB" w:rsidP="007F1253">
      <w:pPr>
        <w:pStyle w:val="Heading2"/>
      </w:pPr>
      <w:r>
        <w:t>Determining “goodness” of fit</w:t>
      </w:r>
    </w:p>
    <w:p w14:paraId="1A202A06" w14:textId="641FFE8D" w:rsidR="00EF56DB" w:rsidRDefault="00EF56DB" w:rsidP="00EF56DB">
      <w:r>
        <w:t xml:space="preserve">To determine whether data agrees with a fit, we will use a “goodness-of-fit” parameter,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eastAsiaTheme="minorEastAsia"/>
        </w:rPr>
        <w:t xml:space="preserve">. To calculate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eastAsiaTheme="minorEastAsia"/>
        </w:rPr>
        <w:t xml:space="preserve">, we need to know the uncertainty </w:t>
      </w:r>
      <m:oMath>
        <m:r>
          <m:rPr>
            <m:sty m:val="p"/>
          </m:rPr>
          <w:rPr>
            <w:rFonts w:ascii="Cambria Math" w:hAnsi="Cambria Math"/>
          </w:rPr>
          <m:t>δy</m:t>
        </m:r>
      </m:oMath>
      <w:r>
        <w:rPr>
          <w:rFonts w:eastAsiaTheme="minorEastAsia"/>
        </w:rPr>
        <w:t xml:space="preserve"> in our </w:t>
      </w:r>
      <m:oMath>
        <m:r>
          <m:rPr>
            <m:sty m:val="p"/>
          </m:rPr>
          <w:rPr>
            <w:rFonts w:ascii="Cambria Math" w:hAnsi="Cambria Math"/>
          </w:rPr>
          <m:t>y</m:t>
        </m:r>
      </m:oMath>
      <w:r>
        <w:rPr>
          <w:rFonts w:eastAsiaTheme="minorEastAsia"/>
        </w:rPr>
        <w:t xml:space="preserve"> variable. The </w:t>
      </w:r>
      <w:r w:rsidR="00A925D5">
        <w:rPr>
          <w:rFonts w:eastAsiaTheme="minorEastAsia"/>
        </w:rPr>
        <w:t xml:space="preserve">fitted function </w:t>
      </w:r>
      <m:oMath>
        <m:r>
          <w:rPr>
            <w:rFonts w:ascii="Cambria Math" w:hAnsi="Cambria Math"/>
          </w:rPr>
          <m:t>f</m:t>
        </m:r>
        <m:d>
          <m:dPr>
            <m:ctrlPr>
              <w:rPr>
                <w:rFonts w:ascii="Cambria Math" w:hAnsi="Cambria Math"/>
                <w:i/>
              </w:rPr>
            </m:ctrlPr>
          </m:dPr>
          <m:e>
            <m:r>
              <w:rPr>
                <w:rFonts w:ascii="Cambria Math" w:hAnsi="Cambria Math"/>
              </w:rPr>
              <m:t>x</m:t>
            </m:r>
          </m:e>
        </m:d>
      </m:oMath>
      <w:r w:rsidR="00A925D5">
        <w:rPr>
          <w:rFonts w:eastAsiaTheme="minorEastAsia"/>
        </w:rPr>
        <w:t xml:space="preserve"> will give us the comparison between the data and the prediction. The </w:t>
      </w:r>
      <w:r w:rsidR="00A925D5">
        <w:t>“goodness-of-fit” parameter is calculated as:</w:t>
      </w:r>
    </w:p>
    <w:p w14:paraId="3A75578A" w14:textId="2CF612EA" w:rsidR="00A925D5" w:rsidRPr="00A925D5" w:rsidRDefault="00000000" w:rsidP="00EF56DB">
      <w:pPr>
        <w:rPr>
          <w:rFonts w:eastAsiaTheme="minorEastAsia"/>
        </w:rPr>
      </w:pPr>
      <m:oMathPara>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num>
                <m:den>
                  <m:r>
                    <m:rPr>
                      <m:sty m:val="p"/>
                    </m:rPr>
                    <w:rPr>
                      <w:rFonts w:ascii="Cambria Math" w:hAnsi="Cambria Math"/>
                    </w:rPr>
                    <m:t>δ</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den>
              </m:f>
            </m:e>
          </m:nary>
        </m:oMath>
      </m:oMathPara>
    </w:p>
    <w:p w14:paraId="36EC329C" w14:textId="1E579C32" w:rsidR="00A925D5" w:rsidRDefault="000736B6" w:rsidP="00EF56DB">
      <w:pPr>
        <w:rPr>
          <w:rFonts w:eastAsiaTheme="minorEastAsia"/>
        </w:rPr>
      </w:pPr>
      <w:r>
        <w:rPr>
          <w:rFonts w:eastAsiaTheme="minorEastAsia"/>
        </w:rPr>
        <w:t>w</w:t>
      </w:r>
      <w:r w:rsidR="00A27284">
        <w:rPr>
          <w:rFonts w:eastAsiaTheme="minorEastAsia"/>
        </w:rPr>
        <w:t>here d is the number of parameters in our fitted function</w:t>
      </w:r>
      <w:r w:rsidR="00F87154">
        <w:rPr>
          <w:rFonts w:eastAsiaTheme="minorEastAsia"/>
        </w:rPr>
        <w:t xml:space="preserve"> (</w:t>
      </w:r>
      <w:r w:rsidR="000F38A8">
        <w:rPr>
          <w:rFonts w:eastAsiaTheme="minorEastAsia"/>
        </w:rPr>
        <w:t xml:space="preserve">or </w:t>
      </w:r>
      <w:r w:rsidR="00F87154">
        <w:rPr>
          <w:rFonts w:eastAsiaTheme="minorEastAsia"/>
        </w:rPr>
        <w:t>degrees of freedom)</w:t>
      </w:r>
      <w:r w:rsidR="00A27284">
        <w:rPr>
          <w:rFonts w:eastAsiaTheme="minorEastAsia"/>
        </w:rPr>
        <w:t xml:space="preserve">. </w:t>
      </w:r>
      <w:r w:rsidR="00A925D5">
        <w:rPr>
          <w:rFonts w:eastAsiaTheme="minorEastAsia"/>
        </w:rPr>
        <w:t xml:space="preserve">We can use this in the same way as the t-score such that the results give the conclusions in Table 2. Note that the value used for the comparison is </w:t>
      </w:r>
      <m:oMath>
        <m:r>
          <m:rPr>
            <m:sty m:val="p"/>
          </m:rPr>
          <w:rPr>
            <w:rFonts w:ascii="Cambria Math" w:hAnsi="Cambria Math"/>
          </w:rPr>
          <m:t>χ</m:t>
        </m:r>
      </m:oMath>
      <w:r w:rsidR="00A925D5">
        <w:rPr>
          <w:rFonts w:eastAsiaTheme="minorEastAsia"/>
        </w:rPr>
        <w:t xml:space="preserve">, not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A925D5">
        <w:rPr>
          <w:rFonts w:eastAsiaTheme="minorEastAsia"/>
        </w:rPr>
        <w:t>.</w:t>
      </w:r>
    </w:p>
    <w:p w14:paraId="7B509C1B" w14:textId="77777777" w:rsidR="00A925D5" w:rsidRDefault="00A925D5" w:rsidP="00A925D5">
      <w:pPr>
        <w:rPr>
          <w:rFonts w:eastAsiaTheme="minorEastAsia"/>
          <w:b/>
          <w:bCs/>
        </w:rPr>
      </w:pPr>
    </w:p>
    <w:p w14:paraId="722D97DF" w14:textId="1B35D59D" w:rsidR="00A925D5" w:rsidRDefault="00A925D5" w:rsidP="00A925D5">
      <w:pPr>
        <w:rPr>
          <w:rFonts w:eastAsiaTheme="minorEastAsia"/>
        </w:rPr>
      </w:pPr>
      <w:r w:rsidRPr="00312EA2">
        <w:rPr>
          <w:rFonts w:eastAsiaTheme="minorEastAsia"/>
          <w:b/>
          <w:bCs/>
        </w:rPr>
        <w:t xml:space="preserve">Table </w:t>
      </w:r>
      <w:r>
        <w:rPr>
          <w:rFonts w:eastAsiaTheme="minorEastAsia"/>
          <w:b/>
          <w:bCs/>
        </w:rPr>
        <w:t>2</w:t>
      </w:r>
      <w:r>
        <w:rPr>
          <w:rFonts w:eastAsiaTheme="minorEastAsia"/>
        </w:rPr>
        <w:t xml:space="preserve">: Results of </w:t>
      </w:r>
      <m:oMath>
        <m:r>
          <m:rPr>
            <m:sty m:val="p"/>
          </m:rPr>
          <w:rPr>
            <w:rFonts w:ascii="Cambria Math" w:hAnsi="Cambria Math"/>
          </w:rPr>
          <m:t>χ</m:t>
        </m:r>
      </m:oMath>
      <w:r>
        <w:rPr>
          <w:rFonts w:eastAsiaTheme="minorEastAsia"/>
        </w:rPr>
        <w:t xml:space="preserve"> and the conclusions that can be made. Also given is the appropriate follow up to the </w:t>
      </w:r>
      <w:proofErr w:type="gramStart"/>
      <w:r>
        <w:rPr>
          <w:rFonts w:eastAsiaTheme="minorEastAsia"/>
        </w:rPr>
        <w:t>conclusion</w:t>
      </w:r>
      <w:proofErr w:type="gramEnd"/>
    </w:p>
    <w:tbl>
      <w:tblPr>
        <w:tblStyle w:val="TableGrid"/>
        <w:tblW w:w="0" w:type="auto"/>
        <w:tblLook w:val="04A0" w:firstRow="1" w:lastRow="0" w:firstColumn="1" w:lastColumn="0" w:noHBand="0" w:noVBand="1"/>
      </w:tblPr>
      <w:tblGrid>
        <w:gridCol w:w="1975"/>
        <w:gridCol w:w="2610"/>
        <w:gridCol w:w="4765"/>
      </w:tblGrid>
      <w:tr w:rsidR="00A925D5" w14:paraId="23DC58D8" w14:textId="77777777" w:rsidTr="00CB7C3E">
        <w:tc>
          <w:tcPr>
            <w:tcW w:w="1975" w:type="dxa"/>
          </w:tcPr>
          <w:p w14:paraId="5A282D30" w14:textId="77777777" w:rsidR="00A925D5" w:rsidRPr="00312EA2" w:rsidRDefault="00A925D5" w:rsidP="00CB7C3E">
            <w:pPr>
              <w:jc w:val="center"/>
              <w:rPr>
                <w:b/>
                <w:bCs/>
              </w:rPr>
            </w:pPr>
            <w:r>
              <w:rPr>
                <w:b/>
                <w:bCs/>
              </w:rPr>
              <w:t>t-score</w:t>
            </w:r>
          </w:p>
        </w:tc>
        <w:tc>
          <w:tcPr>
            <w:tcW w:w="2610" w:type="dxa"/>
          </w:tcPr>
          <w:p w14:paraId="525A68EC" w14:textId="77777777" w:rsidR="00A925D5" w:rsidRPr="00312EA2" w:rsidRDefault="00A925D5" w:rsidP="00CB7C3E">
            <w:pPr>
              <w:jc w:val="center"/>
              <w:rPr>
                <w:b/>
                <w:bCs/>
              </w:rPr>
            </w:pPr>
            <w:r>
              <w:rPr>
                <w:b/>
                <w:bCs/>
              </w:rPr>
              <w:t>Conclusion</w:t>
            </w:r>
          </w:p>
        </w:tc>
        <w:tc>
          <w:tcPr>
            <w:tcW w:w="4765" w:type="dxa"/>
          </w:tcPr>
          <w:p w14:paraId="71780172" w14:textId="77777777" w:rsidR="00A925D5" w:rsidRPr="00312EA2" w:rsidRDefault="00A925D5" w:rsidP="00CB7C3E">
            <w:pPr>
              <w:jc w:val="center"/>
              <w:rPr>
                <w:b/>
                <w:bCs/>
              </w:rPr>
            </w:pPr>
            <w:r>
              <w:rPr>
                <w:b/>
                <w:bCs/>
              </w:rPr>
              <w:t>Follow up</w:t>
            </w:r>
          </w:p>
        </w:tc>
      </w:tr>
      <w:tr w:rsidR="00A925D5" w14:paraId="27565CF6" w14:textId="77777777" w:rsidTr="00CB7C3E">
        <w:tc>
          <w:tcPr>
            <w:tcW w:w="1975" w:type="dxa"/>
          </w:tcPr>
          <w:p w14:paraId="574915A2" w14:textId="2059AA3D" w:rsidR="00A925D5" w:rsidRDefault="00A925D5" w:rsidP="00CB7C3E">
            <w:pPr>
              <w:jc w:val="center"/>
            </w:pPr>
            <w:r>
              <w:t>|</w:t>
            </w:r>
            <m:oMath>
              <m:r>
                <m:rPr>
                  <m:sty m:val="p"/>
                </m:rPr>
                <w:rPr>
                  <w:rFonts w:ascii="Cambria Math" w:hAnsi="Cambria Math"/>
                </w:rPr>
                <m:t>χ</m:t>
              </m:r>
            </m:oMath>
            <w:r>
              <w:t>| &lt; 1</w:t>
            </w:r>
          </w:p>
        </w:tc>
        <w:tc>
          <w:tcPr>
            <w:tcW w:w="2610" w:type="dxa"/>
          </w:tcPr>
          <w:p w14:paraId="29CFC66A" w14:textId="77777777" w:rsidR="00A925D5" w:rsidRDefault="00A925D5" w:rsidP="00CB7C3E">
            <w:pPr>
              <w:jc w:val="center"/>
            </w:pPr>
            <w:r>
              <w:t>Indistinguishable</w:t>
            </w:r>
          </w:p>
        </w:tc>
        <w:tc>
          <w:tcPr>
            <w:tcW w:w="4765" w:type="dxa"/>
          </w:tcPr>
          <w:p w14:paraId="22FB8CD4" w14:textId="2AB335D8" w:rsidR="00A925D5" w:rsidRDefault="00A925D5" w:rsidP="00CB7C3E">
            <w:pPr>
              <w:jc w:val="center"/>
            </w:pPr>
            <w:r>
              <w:t>If you have multiple models indistinguishable from the data, you should choose the simplest one. Collect more data or decrease uncertainty to determine distinguishability.</w:t>
            </w:r>
          </w:p>
        </w:tc>
      </w:tr>
      <w:tr w:rsidR="00A925D5" w14:paraId="058D0C44" w14:textId="77777777" w:rsidTr="00CB7C3E">
        <w:tc>
          <w:tcPr>
            <w:tcW w:w="1975" w:type="dxa"/>
          </w:tcPr>
          <w:p w14:paraId="373908D5" w14:textId="0153F3DB" w:rsidR="00A925D5" w:rsidRDefault="00A925D5" w:rsidP="00CB7C3E">
            <w:pPr>
              <w:jc w:val="center"/>
            </w:pPr>
            <w:r>
              <w:t>1 &lt;|</w:t>
            </w:r>
            <m:oMath>
              <m:r>
                <m:rPr>
                  <m:sty m:val="p"/>
                </m:rPr>
                <w:rPr>
                  <w:rFonts w:ascii="Cambria Math" w:hAnsi="Cambria Math"/>
                </w:rPr>
                <m:t>χ</m:t>
              </m:r>
            </m:oMath>
            <w:r>
              <w:t>|&lt; 3</w:t>
            </w:r>
          </w:p>
        </w:tc>
        <w:tc>
          <w:tcPr>
            <w:tcW w:w="2610" w:type="dxa"/>
          </w:tcPr>
          <w:p w14:paraId="2214A773" w14:textId="77777777" w:rsidR="00A925D5" w:rsidRDefault="00A925D5" w:rsidP="00CB7C3E">
            <w:pPr>
              <w:jc w:val="center"/>
            </w:pPr>
            <w:r>
              <w:t>Inconclusive</w:t>
            </w:r>
          </w:p>
        </w:tc>
        <w:tc>
          <w:tcPr>
            <w:tcW w:w="4765" w:type="dxa"/>
          </w:tcPr>
          <w:p w14:paraId="0D68B8FA" w14:textId="38257749" w:rsidR="00A925D5" w:rsidRDefault="00A925D5" w:rsidP="00CB7C3E">
            <w:pPr>
              <w:jc w:val="center"/>
            </w:pPr>
            <w:r>
              <w:t>Collect more data or decrease uncertainty to determine (in)distinguishability.</w:t>
            </w:r>
          </w:p>
        </w:tc>
      </w:tr>
      <w:tr w:rsidR="00A925D5" w14:paraId="656FA6D2" w14:textId="77777777" w:rsidTr="00CB7C3E">
        <w:tc>
          <w:tcPr>
            <w:tcW w:w="1975" w:type="dxa"/>
          </w:tcPr>
          <w:p w14:paraId="0F1C3E16" w14:textId="6EFB8058" w:rsidR="00A925D5" w:rsidRDefault="00A925D5" w:rsidP="00CB7C3E">
            <w:pPr>
              <w:jc w:val="center"/>
            </w:pPr>
            <m:oMath>
              <m:r>
                <m:rPr>
                  <m:sty m:val="p"/>
                </m:rPr>
                <w:rPr>
                  <w:rFonts w:ascii="Cambria Math" w:hAnsi="Cambria Math"/>
                </w:rPr>
                <m:t>|χ</m:t>
              </m:r>
            </m:oMath>
            <w:r>
              <w:t>|&gt; 3</w:t>
            </w:r>
          </w:p>
        </w:tc>
        <w:tc>
          <w:tcPr>
            <w:tcW w:w="2610" w:type="dxa"/>
          </w:tcPr>
          <w:p w14:paraId="49867A01" w14:textId="77777777" w:rsidR="00A925D5" w:rsidRDefault="00A925D5" w:rsidP="00CB7C3E">
            <w:pPr>
              <w:jc w:val="center"/>
            </w:pPr>
            <w:r>
              <w:t>Distinguishable</w:t>
            </w:r>
          </w:p>
        </w:tc>
        <w:tc>
          <w:tcPr>
            <w:tcW w:w="4765" w:type="dxa"/>
          </w:tcPr>
          <w:p w14:paraId="4703520D" w14:textId="105E00DE" w:rsidR="00A925D5" w:rsidRDefault="00A925D5" w:rsidP="00CB7C3E">
            <w:pPr>
              <w:jc w:val="center"/>
            </w:pPr>
            <w:r>
              <w:t>The fit does not agree with the data. Re-evaluate or revise mode.</w:t>
            </w:r>
          </w:p>
        </w:tc>
      </w:tr>
    </w:tbl>
    <w:p w14:paraId="2F6FE193" w14:textId="77777777" w:rsidR="00A925D5" w:rsidRPr="00EF56DB" w:rsidRDefault="00A925D5" w:rsidP="00EF56DB"/>
    <w:p w14:paraId="18A839A3" w14:textId="0822B37A" w:rsidR="007F1253" w:rsidRDefault="007F1253" w:rsidP="007F1253">
      <w:pPr>
        <w:pStyle w:val="Heading2"/>
      </w:pPr>
      <w:r>
        <w:t>Last and most definitely least, Percent difference</w:t>
      </w:r>
    </w:p>
    <w:p w14:paraId="08B7EDE5" w14:textId="57E7A995" w:rsidR="007F1253" w:rsidRDefault="007F1253" w:rsidP="007F1253">
      <w:pPr>
        <w:rPr>
          <w:rFonts w:eastAsiaTheme="minorEastAsia"/>
        </w:rPr>
      </w:pPr>
      <w:r>
        <w:t xml:space="preserve">Whenever we need to compare two values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oMath>
      <w:r>
        <w:rPr>
          <w:rFonts w:eastAsiaTheme="minorEastAsia"/>
        </w:rPr>
        <w:t xml:space="preserve"> </w:t>
      </w:r>
      <w:r w:rsidRPr="007F1253">
        <w:rPr>
          <w:rFonts w:eastAsiaTheme="minorEastAsia"/>
          <w:i/>
          <w:iCs/>
        </w:rPr>
        <w:t>but we are not able to get the uncertainty in at least one of the values</w:t>
      </w:r>
      <w:r>
        <w:rPr>
          <w:rFonts w:eastAsiaTheme="minorEastAsia"/>
        </w:rPr>
        <w:t xml:space="preserve">, then we can use percent difference. </w:t>
      </w:r>
      <w:r w:rsidR="00CA2933">
        <w:rPr>
          <w:rFonts w:eastAsiaTheme="minorEastAsia"/>
        </w:rPr>
        <w:t xml:space="preserve">This should be the last resort. </w:t>
      </w:r>
      <w:r>
        <w:rPr>
          <w:rFonts w:eastAsiaTheme="minorEastAsia"/>
        </w:rPr>
        <w:t>Percent difference is typically calculated as</w:t>
      </w:r>
    </w:p>
    <w:p w14:paraId="132E2F34" w14:textId="77777777" w:rsidR="007F1253" w:rsidRPr="00E42FBC" w:rsidRDefault="007F1253" w:rsidP="007F1253">
      <w:pPr>
        <w:rPr>
          <w:rFonts w:eastAsiaTheme="minorEastAsia"/>
        </w:rPr>
      </w:pPr>
      <m:oMathPara>
        <m:oMath>
          <m:r>
            <w:rPr>
              <w:rFonts w:ascii="Cambria Math" w:hAnsi="Cambria Math"/>
            </w:rPr>
            <m:t>% difference=</m:t>
          </m:r>
          <m:r>
            <w:rPr>
              <w:rFonts w:ascii="Cambria Math" w:eastAsiaTheme="minorEastAsia" w:hAnsi="Cambria Math"/>
            </w:rPr>
            <m:t>100</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num>
            <m:den>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den>
          </m:f>
        </m:oMath>
      </m:oMathPara>
    </w:p>
    <w:p w14:paraId="6DD59C87" w14:textId="65802424" w:rsidR="007F1253" w:rsidRPr="00312EA2" w:rsidRDefault="007F1253" w:rsidP="007F1253">
      <w:r>
        <w:rPr>
          <w:rFonts w:eastAsiaTheme="minorEastAsia"/>
        </w:rPr>
        <w:t xml:space="preserve">The difficulty with percent difference is that we don’t know what an (un)acceptable value should be. We need to make sure to set a standard or contextualize our results for </w:t>
      </w:r>
      <w:r w:rsidR="00CA2933">
        <w:rPr>
          <w:rFonts w:eastAsiaTheme="minorEastAsia"/>
        </w:rPr>
        <w:t>percent differences</w:t>
      </w:r>
      <w:r>
        <w:rPr>
          <w:rFonts w:eastAsiaTheme="minorEastAsia"/>
        </w:rPr>
        <w:t>.</w:t>
      </w:r>
    </w:p>
    <w:p w14:paraId="30967F8E" w14:textId="77777777" w:rsidR="007F1253" w:rsidRPr="00CF42A9" w:rsidRDefault="007F1253" w:rsidP="00F56F95">
      <w:pPr>
        <w:rPr>
          <w:rFonts w:eastAsiaTheme="minorEastAsia"/>
        </w:rPr>
      </w:pPr>
    </w:p>
    <w:sectPr w:rsidR="007F1253" w:rsidRPr="00CF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95"/>
    <w:rsid w:val="000736B6"/>
    <w:rsid w:val="000F38A8"/>
    <w:rsid w:val="00312EA2"/>
    <w:rsid w:val="003A0BB5"/>
    <w:rsid w:val="00405829"/>
    <w:rsid w:val="00577EBB"/>
    <w:rsid w:val="0064111A"/>
    <w:rsid w:val="006A75F7"/>
    <w:rsid w:val="007363B3"/>
    <w:rsid w:val="007F1253"/>
    <w:rsid w:val="007F6522"/>
    <w:rsid w:val="00837FA7"/>
    <w:rsid w:val="009219C6"/>
    <w:rsid w:val="00972961"/>
    <w:rsid w:val="00A27284"/>
    <w:rsid w:val="00A925D5"/>
    <w:rsid w:val="00B4031B"/>
    <w:rsid w:val="00CA2933"/>
    <w:rsid w:val="00CF42A9"/>
    <w:rsid w:val="00D64A21"/>
    <w:rsid w:val="00DC1F3D"/>
    <w:rsid w:val="00DD20E3"/>
    <w:rsid w:val="00E42FBC"/>
    <w:rsid w:val="00EF56DB"/>
    <w:rsid w:val="00F56F95"/>
    <w:rsid w:val="00F8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A891"/>
  <w15:chartTrackingRefBased/>
  <w15:docId w15:val="{23303385-AFA9-40E0-8FF8-FB43FB75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9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1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2"/>
    <w:rPr>
      <w:color w:val="808080"/>
    </w:rPr>
  </w:style>
  <w:style w:type="paragraph" w:styleId="NoSpacing">
    <w:name w:val="No Spacing"/>
    <w:uiPriority w:val="1"/>
    <w:qFormat/>
    <w:rsid w:val="00D64A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8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Ponti, Gregorio</dc:creator>
  <cp:keywords/>
  <dc:description/>
  <cp:lastModifiedBy>Erik Hansen</cp:lastModifiedBy>
  <cp:revision>13</cp:revision>
  <dcterms:created xsi:type="dcterms:W3CDTF">2021-10-15T20:05:00Z</dcterms:created>
  <dcterms:modified xsi:type="dcterms:W3CDTF">2024-03-07T00:58:00Z</dcterms:modified>
</cp:coreProperties>
</file>