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B16C3E">
      <w:pPr>
        <w:spacing w:after="40"/>
        <w:jc w:val="center"/>
      </w:pPr>
      <w:r>
        <w:rPr>
          <w:rFonts w:ascii="Calibri" w:hAnsi="Calibri"/>
          <w:b/>
          <w:color w:val="1E3A5F"/>
          <w:sz w:val="72"/>
        </w:rPr>
        <w:t>ATLANTIC RE</w:t>
      </w:r>
    </w:p>
    <w:p w:rsidR="00C930BF" w:rsidRDefault="00B16C3E">
      <w:pPr>
        <w:spacing w:after="40"/>
        <w:jc w:val="center"/>
      </w:pPr>
      <w:r>
        <w:rPr>
          <w:rFonts w:ascii="Calibri" w:hAnsi="Calibri"/>
          <w:color w:val="4E6820"/>
          <w:sz w:val="28"/>
        </w:rPr>
        <w:t>CDG GROUP</w:t>
      </w:r>
    </w:p>
    <w:p w:rsidR="00C930BF" w:rsidRDefault="00B16C3E">
      <w:pPr>
        <w:shd w:val="clear" w:color="auto" w:fill="1E3A5F"/>
        <w:spacing w:before="160" w:after="160"/>
        <w:jc w:val="center"/>
      </w:pPr>
      <w:r>
        <w:rPr>
          <w:rFonts w:ascii="Calibri" w:hAnsi="Calibri"/>
          <w:sz w:val="8"/>
        </w:rPr>
        <w:t xml:space="preserve">                                                                                                                        </w:t>
      </w: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B16C3E">
      <w:pPr>
        <w:spacing w:after="80"/>
        <w:jc w:val="center"/>
      </w:pPr>
      <w:r>
        <w:rPr>
          <w:rFonts w:ascii="Calibri" w:hAnsi="Calibri"/>
          <w:b/>
          <w:color w:val="1E3A5F"/>
          <w:sz w:val="52"/>
        </w:rPr>
        <w:t>Guide de Démarrage</w:t>
      </w:r>
    </w:p>
    <w:p w:rsidR="00C930BF" w:rsidRDefault="00B16C3E">
      <w:pPr>
        <w:spacing w:after="80"/>
        <w:jc w:val="center"/>
      </w:pPr>
      <w:r>
        <w:rPr>
          <w:rFonts w:ascii="Calibri" w:hAnsi="Calibri"/>
          <w:color w:val="1E3A5F"/>
          <w:sz w:val="44"/>
        </w:rPr>
        <w:t>et Présentation Fonctionnelle</w:t>
      </w: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B16C3E">
      <w:pPr>
        <w:spacing w:after="80"/>
        <w:jc w:val="center"/>
      </w:pPr>
      <w:r>
        <w:rPr>
          <w:rFonts w:ascii="Calibri" w:hAnsi="Calibri"/>
          <w:i/>
          <w:color w:val="444444"/>
          <w:sz w:val="26"/>
        </w:rPr>
        <w:t>Guide destiné à l'encadrant</w:t>
      </w:r>
    </w:p>
    <w:p w:rsidR="00C930BF" w:rsidRDefault="00B16C3E">
      <w:pPr>
        <w:spacing w:before="80" w:after="0"/>
        <w:jc w:val="center"/>
      </w:pPr>
      <w:r>
        <w:rPr>
          <w:rFonts w:ascii="Calibri" w:hAnsi="Calibri"/>
          <w:color w:val="444444"/>
          <w:sz w:val="24"/>
        </w:rPr>
        <w:t>Avril 2026</w:t>
      </w: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B16C3E">
      <w:pPr>
        <w:shd w:val="clear" w:color="auto" w:fill="4E6820"/>
        <w:spacing w:before="160" w:after="160"/>
        <w:jc w:val="center"/>
      </w:pPr>
      <w:r>
        <w:rPr>
          <w:rFonts w:ascii="Calibri" w:hAnsi="Calibri"/>
          <w:sz w:val="8"/>
        </w:rPr>
        <w:t xml:space="preserve">                                                                                                                        </w:t>
      </w:r>
    </w:p>
    <w:p w:rsidR="00C930BF" w:rsidRDefault="00B16C3E">
      <w:pPr>
        <w:spacing w:before="120" w:after="0"/>
        <w:jc w:val="center"/>
      </w:pPr>
      <w:r>
        <w:rPr>
          <w:rFonts w:ascii="Calibri" w:hAnsi="Calibri"/>
          <w:i/>
          <w:color w:val="444444"/>
          <w:sz w:val="20"/>
        </w:rPr>
        <w:t>Plateforme de Réassurance — Version 2.0</w:t>
      </w:r>
    </w:p>
    <w:p w:rsidR="00C930BF" w:rsidRDefault="00B16C3E">
      <w:r>
        <w:br w:type="page"/>
      </w:r>
    </w:p>
    <w:p w:rsidR="00C930BF" w:rsidRDefault="00B16C3E">
      <w:r>
        <w:rPr>
          <w:rFonts w:ascii="Calibri" w:hAnsi="Calibri"/>
          <w:b/>
          <w:color w:val="1E3A5F"/>
          <w:sz w:val="32"/>
        </w:rPr>
        <w:lastRenderedPageBreak/>
        <w:t>SOMMAIRE</w:t>
      </w:r>
    </w:p>
    <w:p w:rsidR="00C930BF" w:rsidRDefault="00B16C3E">
      <w:pPr>
        <w:spacing w:before="40" w:after="40"/>
      </w:pPr>
      <w:r>
        <w:rPr>
          <w:rFonts w:ascii="Calibri" w:hAnsi="Calibri"/>
          <w:b/>
          <w:color w:val="1E3A5F"/>
          <w:sz w:val="21"/>
        </w:rPr>
        <w:t>Partie 1   Guide de démarrage</w:t>
      </w:r>
      <w:r>
        <w:rPr>
          <w:rFonts w:ascii="Calibri" w:hAnsi="Calibri"/>
          <w:color w:val="999999"/>
          <w:sz w:val="20"/>
        </w:rPr>
        <w:t xml:space="preserve"> .................................. 3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1.1   Prérequis e</w:t>
      </w:r>
      <w:r>
        <w:rPr>
          <w:rFonts w:ascii="Calibri" w:hAnsi="Calibri"/>
          <w:color w:val="444444"/>
          <w:sz w:val="21"/>
        </w:rPr>
        <w:t>t mise à jour</w:t>
      </w:r>
      <w:r>
        <w:rPr>
          <w:rFonts w:ascii="Calibri" w:hAnsi="Calibri"/>
          <w:color w:val="999999"/>
          <w:sz w:val="20"/>
        </w:rPr>
        <w:t xml:space="preserve"> ............................... 3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1.2   Lancement du backend</w:t>
      </w:r>
      <w:r>
        <w:rPr>
          <w:rFonts w:ascii="Calibri" w:hAnsi="Calibri"/>
          <w:color w:val="999999"/>
          <w:sz w:val="20"/>
        </w:rPr>
        <w:t xml:space="preserve"> ................................... 3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1.3   Lancement du frontend</w:t>
      </w:r>
      <w:r>
        <w:rPr>
          <w:rFonts w:ascii="Calibri" w:hAnsi="Calibri"/>
          <w:color w:val="999999"/>
          <w:sz w:val="20"/>
        </w:rPr>
        <w:t xml:space="preserve"> .................................. 4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1.4   Connexion et configuration</w:t>
      </w:r>
      <w:r>
        <w:rPr>
          <w:rFonts w:ascii="Calibri" w:hAnsi="Calibri"/>
          <w:color w:val="999999"/>
          <w:sz w:val="20"/>
        </w:rPr>
        <w:t xml:space="preserve"> ............................. 4</w:t>
      </w:r>
    </w:p>
    <w:p w:rsidR="00C930BF" w:rsidRDefault="00B16C3E">
      <w:pPr>
        <w:spacing w:before="40" w:after="40"/>
      </w:pPr>
      <w:r>
        <w:rPr>
          <w:rFonts w:ascii="Calibri" w:hAnsi="Calibri"/>
          <w:b/>
          <w:color w:val="1E3A5F"/>
          <w:sz w:val="21"/>
        </w:rPr>
        <w:t>Partie 2</w:t>
      </w:r>
      <w:r>
        <w:rPr>
          <w:rFonts w:ascii="Calibri" w:hAnsi="Calibri"/>
          <w:b/>
          <w:color w:val="1E3A5F"/>
          <w:sz w:val="21"/>
        </w:rPr>
        <w:t xml:space="preserve">   Guide des fonctionnalités</w:t>
      </w:r>
      <w:r>
        <w:rPr>
          <w:rFonts w:ascii="Calibri" w:hAnsi="Calibri"/>
          <w:color w:val="999999"/>
          <w:sz w:val="20"/>
        </w:rPr>
        <w:t xml:space="preserve"> ........................... 5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2.1   Tableau de bord</w:t>
      </w:r>
      <w:r>
        <w:rPr>
          <w:rFonts w:ascii="Calibri" w:hAnsi="Calibri"/>
          <w:color w:val="999999"/>
          <w:sz w:val="20"/>
        </w:rPr>
        <w:t xml:space="preserve"> ........................................ 5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2.2   Analyse</w:t>
      </w:r>
      <w:r>
        <w:rPr>
          <w:rFonts w:ascii="Calibri" w:hAnsi="Calibri"/>
          <w:color w:val="999999"/>
          <w:sz w:val="20"/>
        </w:rPr>
        <w:t xml:space="preserve"> ................................................ 6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2.3   Comparaison</w:t>
      </w:r>
      <w:r>
        <w:rPr>
          <w:rFonts w:ascii="Calibri" w:hAnsi="Calibri"/>
          <w:color w:val="999999"/>
          <w:sz w:val="20"/>
        </w:rPr>
        <w:t xml:space="preserve"> ............................................ 8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2.</w:t>
      </w:r>
      <w:r>
        <w:rPr>
          <w:rFonts w:ascii="Calibri" w:hAnsi="Calibri"/>
          <w:color w:val="444444"/>
          <w:sz w:val="21"/>
        </w:rPr>
        <w:t>4   Pilotage</w:t>
      </w:r>
      <w:r>
        <w:rPr>
          <w:rFonts w:ascii="Calibri" w:hAnsi="Calibri"/>
          <w:color w:val="999999"/>
          <w:sz w:val="20"/>
        </w:rPr>
        <w:t xml:space="preserve"> ............................................... 9</w:t>
      </w:r>
    </w:p>
    <w:p w:rsidR="00C930BF" w:rsidRDefault="00B16C3E">
      <w:pPr>
        <w:spacing w:before="40" w:after="40"/>
      </w:pPr>
      <w:r>
        <w:rPr>
          <w:rFonts w:ascii="Calibri" w:hAnsi="Calibri"/>
          <w:color w:val="444444"/>
          <w:sz w:val="21"/>
        </w:rPr>
        <w:t>2.5   Rétrocession</w:t>
      </w:r>
      <w:r>
        <w:rPr>
          <w:rFonts w:ascii="Calibri" w:hAnsi="Calibri"/>
          <w:color w:val="999999"/>
          <w:sz w:val="20"/>
        </w:rPr>
        <w:t xml:space="preserve"> ........................................... 10</w:t>
      </w:r>
    </w:p>
    <w:p w:rsidR="00C930BF" w:rsidRDefault="00B16C3E">
      <w:r>
        <w:br w:type="page"/>
      </w:r>
    </w:p>
    <w:p w:rsidR="00C930BF" w:rsidRDefault="00B16C3E">
      <w:pPr>
        <w:pBdr>
          <w:bottom w:val="single" w:sz="6" w:space="1" w:color="1E3A5F"/>
        </w:pBdr>
        <w:spacing w:before="360" w:after="120"/>
      </w:pPr>
      <w:r>
        <w:rPr>
          <w:rFonts w:ascii="Calibri" w:hAnsi="Calibri"/>
          <w:b/>
          <w:color w:val="1E3A5F"/>
          <w:sz w:val="32"/>
        </w:rPr>
        <w:lastRenderedPageBreak/>
        <w:t>Partie 1 — Guide de démarrage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Cette partie décrit les étapes nécessaires pour lancer l'application Atlantic Re sur votre post</w:t>
      </w:r>
      <w:r>
        <w:rPr>
          <w:rFonts w:ascii="Calibri" w:hAnsi="Calibri"/>
          <w:color w:val="444444"/>
          <w:sz w:val="21"/>
        </w:rPr>
        <w:t>e à partir du dépôt déjà cloné. Ouvrez deux fenêtres de terminal (CMD ou PowerShell) avant de commencer : l'une pour le backend, l'autre pour le frontend.</w:t>
      </w: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1.1  Prérequis et mise à jour du code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Avant de lancer l'application, récupérez les dernières modifica</w:t>
      </w:r>
      <w:r>
        <w:rPr>
          <w:rFonts w:ascii="Calibri" w:hAnsi="Calibri"/>
          <w:color w:val="444444"/>
          <w:sz w:val="21"/>
        </w:rPr>
        <w:t>tions depuis le dépôt distant.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1.  </w:t>
      </w:r>
      <w:r>
        <w:rPr>
          <w:rFonts w:ascii="Calibri" w:hAnsi="Calibri"/>
          <w:color w:val="444444"/>
          <w:sz w:val="21"/>
        </w:rPr>
        <w:t>Ouvrez un terminal et naviguez vers le répertoire racine du projet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cd C:\chemin\vers\AtlanticRe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2.  </w:t>
      </w:r>
      <w:r>
        <w:rPr>
          <w:rFonts w:ascii="Calibri" w:hAnsi="Calibri"/>
          <w:color w:val="444444"/>
          <w:sz w:val="21"/>
        </w:rPr>
        <w:t>Récupérez les dernières modifications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proofErr w:type="spellStart"/>
      <w:r>
        <w:rPr>
          <w:rFonts w:ascii="Courier New" w:hAnsi="Courier New"/>
          <w:color w:val="1A1A1A"/>
          <w:sz w:val="19"/>
        </w:rPr>
        <w:t>git</w:t>
      </w:r>
      <w:proofErr w:type="spellEnd"/>
      <w:r>
        <w:rPr>
          <w:rFonts w:ascii="Courier New" w:hAnsi="Courier New"/>
          <w:color w:val="1A1A1A"/>
          <w:sz w:val="19"/>
        </w:rPr>
        <w:t xml:space="preserve"> pull origin main</w:t>
      </w:r>
      <w:bookmarkStart w:id="0" w:name="_GoBack"/>
      <w:bookmarkEnd w:id="0"/>
    </w:p>
    <w:p w:rsidR="00C930BF" w:rsidRDefault="00B16C3E">
      <w:pPr>
        <w:spacing w:before="240" w:after="80"/>
      </w:pPr>
      <w:proofErr w:type="gramStart"/>
      <w:r>
        <w:rPr>
          <w:rFonts w:ascii="Calibri" w:hAnsi="Calibri"/>
          <w:b/>
          <w:color w:val="4E6820"/>
          <w:sz w:val="26"/>
        </w:rPr>
        <w:t>1.2  Lancement</w:t>
      </w:r>
      <w:proofErr w:type="gramEnd"/>
      <w:r>
        <w:rPr>
          <w:rFonts w:ascii="Calibri" w:hAnsi="Calibri"/>
          <w:b/>
          <w:color w:val="4E6820"/>
          <w:sz w:val="26"/>
        </w:rPr>
        <w:t xml:space="preserve"> du backend (Terminal 1)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Le backend est développé en </w:t>
      </w:r>
      <w:r>
        <w:rPr>
          <w:rFonts w:ascii="Calibri" w:hAnsi="Calibri"/>
          <w:color w:val="444444"/>
          <w:sz w:val="21"/>
        </w:rPr>
        <w:t>Python avec le framework FastAPI. Il expose une API REST sur le port 8000.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1.  </w:t>
      </w:r>
      <w:r>
        <w:rPr>
          <w:rFonts w:ascii="Calibri" w:hAnsi="Calibri"/>
          <w:color w:val="444444"/>
          <w:sz w:val="21"/>
        </w:rPr>
        <w:t>Dans le premier terminal, déplacez-vous dans le dossier backend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cd backend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2.  </w:t>
      </w:r>
      <w:r>
        <w:rPr>
          <w:rFonts w:ascii="Calibri" w:hAnsi="Calibri"/>
          <w:color w:val="444444"/>
          <w:sz w:val="21"/>
        </w:rPr>
        <w:t>Créez l'environnement virtuel Python (à effectuer une seule fois)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python -m venv venv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3.  </w:t>
      </w:r>
      <w:r>
        <w:rPr>
          <w:rFonts w:ascii="Calibri" w:hAnsi="Calibri"/>
          <w:color w:val="444444"/>
          <w:sz w:val="21"/>
        </w:rPr>
        <w:t>Acti</w:t>
      </w:r>
      <w:r>
        <w:rPr>
          <w:rFonts w:ascii="Calibri" w:hAnsi="Calibri"/>
          <w:color w:val="444444"/>
          <w:sz w:val="21"/>
        </w:rPr>
        <w:t>vez l'environnement virtuel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venv\Scripts\activate          (Windows)</w:t>
      </w:r>
      <w:r>
        <w:rPr>
          <w:rFonts w:ascii="Courier New" w:hAnsi="Courier New"/>
          <w:color w:val="1A1A1A"/>
          <w:sz w:val="19"/>
        </w:rPr>
        <w:br/>
        <w:t>source venv/bin/activate        (Mac / Linux)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4.  </w:t>
      </w:r>
      <w:r>
        <w:rPr>
          <w:rFonts w:ascii="Calibri" w:hAnsi="Calibri"/>
          <w:color w:val="444444"/>
          <w:sz w:val="21"/>
        </w:rPr>
        <w:t>Installez les dépendances Python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pip install -r requirements.txt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5.  </w:t>
      </w:r>
      <w:r>
        <w:rPr>
          <w:rFonts w:ascii="Calibri" w:hAnsi="Calibri"/>
          <w:color w:val="444444"/>
          <w:sz w:val="21"/>
        </w:rPr>
        <w:t>Lancez le serveur backend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 xml:space="preserve">uvicorn main:app --reload --port </w:t>
      </w:r>
      <w:r>
        <w:rPr>
          <w:rFonts w:ascii="Courier New" w:hAnsi="Courier New"/>
          <w:color w:val="1A1A1A"/>
          <w:sz w:val="19"/>
        </w:rPr>
        <w:t>8000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Le backend est opérationnel lorsque le terminal affiche :</w:t>
      </w:r>
      <w:r>
        <w:rPr>
          <w:rFonts w:ascii="Calibri" w:hAnsi="Calibri"/>
          <w:color w:val="444444"/>
          <w:sz w:val="21"/>
        </w:rPr>
        <w:br/>
        <w:t xml:space="preserve">  Application startup complete.</w:t>
      </w:r>
    </w:p>
    <w:p w:rsidR="00C930BF" w:rsidRDefault="00B16C3E">
      <w:pPr>
        <w:shd w:val="clear" w:color="auto" w:fill="FFF3CD"/>
        <w:spacing w:before="120" w:after="120"/>
        <w:ind w:left="283"/>
      </w:pPr>
      <w:r>
        <w:rPr>
          <w:rFonts w:ascii="Calibri" w:hAnsi="Calibri"/>
          <w:b/>
          <w:color w:val="856000"/>
          <w:sz w:val="20"/>
        </w:rPr>
        <w:t xml:space="preserve">  ⚠</w:t>
      </w:r>
      <w:r>
        <w:rPr>
          <w:rFonts w:ascii="Calibri" w:hAnsi="Calibri"/>
          <w:b/>
          <w:color w:val="856000"/>
          <w:sz w:val="20"/>
        </w:rPr>
        <w:t>️</w:t>
      </w:r>
      <w:r>
        <w:rPr>
          <w:rFonts w:ascii="Calibri" w:hAnsi="Calibri"/>
          <w:b/>
          <w:color w:val="856000"/>
          <w:sz w:val="20"/>
        </w:rPr>
        <w:t xml:space="preserve">  Note : </w:t>
      </w:r>
      <w:r>
        <w:rPr>
          <w:rFonts w:ascii="Calibri" w:hAnsi="Calibri"/>
          <w:color w:val="5C4000"/>
          <w:sz w:val="20"/>
        </w:rPr>
        <w:t>Si le port 8000 est déjà utilisé par une autre application, arrêtez le processus concerné avant de relancer le serveur.</w:t>
      </w: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1.3  Lancement du frontend (</w:t>
      </w:r>
      <w:r>
        <w:rPr>
          <w:rFonts w:ascii="Calibri" w:hAnsi="Calibri"/>
          <w:b/>
          <w:color w:val="4E6820"/>
          <w:sz w:val="26"/>
        </w:rPr>
        <w:t>Terminal 2)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Le frontend est développé en React (TypeScript) avec Vite. Il est accessible sur le port 5173 et communique avec le backend via un proxy.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1.  </w:t>
      </w:r>
      <w:r>
        <w:rPr>
          <w:rFonts w:ascii="Calibri" w:hAnsi="Calibri"/>
          <w:color w:val="444444"/>
          <w:sz w:val="21"/>
        </w:rPr>
        <w:t>Dans le second terminal, déplacez-vous dans le dossier frontend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cd frontend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2.  </w:t>
      </w:r>
      <w:r>
        <w:rPr>
          <w:rFonts w:ascii="Calibri" w:hAnsi="Calibri"/>
          <w:color w:val="444444"/>
          <w:sz w:val="21"/>
        </w:rPr>
        <w:t>Installez les dépend</w:t>
      </w:r>
      <w:r>
        <w:rPr>
          <w:rFonts w:ascii="Calibri" w:hAnsi="Calibri"/>
          <w:color w:val="444444"/>
          <w:sz w:val="21"/>
        </w:rPr>
        <w:t>ances Node.js (à effectuer une seule fois ou après mise à jour)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npm install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3.  </w:t>
      </w:r>
      <w:r>
        <w:rPr>
          <w:rFonts w:ascii="Calibri" w:hAnsi="Calibri"/>
          <w:color w:val="444444"/>
          <w:sz w:val="21"/>
        </w:rPr>
        <w:t>Lancez le serveur de développement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npm run dev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lastRenderedPageBreak/>
        <w:t xml:space="preserve">4.  </w:t>
      </w:r>
      <w:r>
        <w:rPr>
          <w:rFonts w:ascii="Calibri" w:hAnsi="Calibri"/>
          <w:color w:val="444444"/>
          <w:sz w:val="21"/>
        </w:rPr>
        <w:t>Copiez l'URL affichée dans le terminal et ouvrez-la dans votre navigateur :</w:t>
      </w:r>
    </w:p>
    <w:p w:rsidR="00C930BF" w:rsidRDefault="00B16C3E">
      <w:pPr>
        <w:shd w:val="clear" w:color="auto" w:fill="EBEBEB"/>
        <w:spacing w:before="60" w:after="60"/>
        <w:ind w:left="567" w:right="283"/>
      </w:pPr>
      <w:r>
        <w:rPr>
          <w:rFonts w:ascii="Courier New" w:hAnsi="Courier New"/>
          <w:color w:val="1A1A1A"/>
          <w:sz w:val="19"/>
        </w:rPr>
        <w:t>http://localhost:5173</w:t>
      </w: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 xml:space="preserve">1.4  Connexion et </w:t>
      </w:r>
      <w:r>
        <w:rPr>
          <w:rFonts w:ascii="Calibri" w:hAnsi="Calibri"/>
          <w:b/>
          <w:color w:val="4E6820"/>
          <w:sz w:val="26"/>
        </w:rPr>
        <w:t>configuration initiale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Une fois les deux serveurs lancés, connectez-vous à l'application et renseignez les chemins des fichiers Excel sur votre poste.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1.  </w:t>
      </w:r>
      <w:r>
        <w:rPr>
          <w:rFonts w:ascii="Calibri" w:hAnsi="Calibri"/>
          <w:color w:val="444444"/>
          <w:sz w:val="21"/>
        </w:rPr>
        <w:t>Sur la page de connexion, saisissez vos identifiants administrateur (compte créé lors de la mise en p</w:t>
      </w:r>
      <w:r>
        <w:rPr>
          <w:rFonts w:ascii="Calibri" w:hAnsi="Calibri"/>
          <w:color w:val="444444"/>
          <w:sz w:val="21"/>
        </w:rPr>
        <w:t>lace initiale).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2.  </w:t>
      </w:r>
      <w:r>
        <w:rPr>
          <w:rFonts w:ascii="Calibri" w:hAnsi="Calibri"/>
          <w:color w:val="444444"/>
          <w:sz w:val="21"/>
        </w:rPr>
        <w:t>Accédez au menu Administration → Configuration.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3.  </w:t>
      </w:r>
      <w:r>
        <w:rPr>
          <w:rFonts w:ascii="Calibri" w:hAnsi="Calibri"/>
          <w:color w:val="444444"/>
          <w:sz w:val="21"/>
        </w:rPr>
        <w:t>Renseignez les chemins locaux des trois fichiers Excel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Fichier Excel Données de Base — données principales de réassurance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Fichier Excel Rétrocession par Traités — données de placemen</w:t>
      </w:r>
      <w:r>
        <w:rPr>
          <w:rFonts w:ascii="Calibri" w:hAnsi="Calibri"/>
          <w:color w:val="444444"/>
          <w:sz w:val="21"/>
        </w:rPr>
        <w:t>t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Fichier Excel FCM Partenaires (FAC-to-FAC) — données partenaires FAC</w:t>
      </w:r>
    </w:p>
    <w:p w:rsidR="00C930BF" w:rsidRDefault="00B16C3E">
      <w:pPr>
        <w:spacing w:before="60" w:after="60"/>
        <w:ind w:left="283"/>
      </w:pPr>
      <w:r>
        <w:rPr>
          <w:rFonts w:ascii="Calibri" w:hAnsi="Calibri"/>
          <w:b/>
          <w:color w:val="1E3A5F"/>
          <w:sz w:val="21"/>
        </w:rPr>
        <w:t xml:space="preserve">4.  </w:t>
      </w:r>
      <w:r>
        <w:rPr>
          <w:rFonts w:ascii="Calibri" w:hAnsi="Calibri"/>
          <w:color w:val="444444"/>
          <w:sz w:val="21"/>
        </w:rPr>
        <w:t>Cliquez sur Sauvegarder pour chaque chemin. L'application charge automatiquement les données et est prête à utiliser.</w:t>
      </w:r>
    </w:p>
    <w:p w:rsidR="00C930BF" w:rsidRDefault="00B16C3E">
      <w:pPr>
        <w:shd w:val="clear" w:color="auto" w:fill="FFF3CD"/>
        <w:spacing w:before="120" w:after="120"/>
        <w:ind w:left="283"/>
      </w:pPr>
      <w:r>
        <w:rPr>
          <w:rFonts w:ascii="Calibri" w:hAnsi="Calibri"/>
          <w:b/>
          <w:color w:val="856000"/>
          <w:sz w:val="20"/>
        </w:rPr>
        <w:t xml:space="preserve">  ⚠</w:t>
      </w:r>
      <w:r>
        <w:rPr>
          <w:rFonts w:ascii="Calibri" w:hAnsi="Calibri"/>
          <w:b/>
          <w:color w:val="856000"/>
          <w:sz w:val="20"/>
        </w:rPr>
        <w:t>️</w:t>
      </w:r>
      <w:r>
        <w:rPr>
          <w:rFonts w:ascii="Calibri" w:hAnsi="Calibri"/>
          <w:b/>
          <w:color w:val="856000"/>
          <w:sz w:val="20"/>
        </w:rPr>
        <w:t xml:space="preserve">  Note : </w:t>
      </w:r>
      <w:r>
        <w:rPr>
          <w:rFonts w:ascii="Calibri" w:hAnsi="Calibri"/>
          <w:color w:val="5C4000"/>
          <w:sz w:val="20"/>
        </w:rPr>
        <w:t>Les trois fichiers Excel doivent rester accessible</w:t>
      </w:r>
      <w:r>
        <w:rPr>
          <w:rFonts w:ascii="Calibri" w:hAnsi="Calibri"/>
          <w:color w:val="5C4000"/>
          <w:sz w:val="20"/>
        </w:rPr>
        <w:t>s au même emplacement sur votre poste pendant toute la durée d'utilisation de l'application. Tout déplacement ou renommage de ces fichiers nécessitera une mise à jour des chemins dans la configuration.</w:t>
      </w:r>
    </w:p>
    <w:p w:rsidR="00C930BF" w:rsidRDefault="00B16C3E">
      <w:r>
        <w:br w:type="page"/>
      </w:r>
    </w:p>
    <w:p w:rsidR="00C930BF" w:rsidRDefault="00B16C3E">
      <w:pPr>
        <w:pBdr>
          <w:bottom w:val="single" w:sz="6" w:space="1" w:color="1E3A5F"/>
        </w:pBdr>
        <w:spacing w:before="360" w:after="120"/>
      </w:pPr>
      <w:r>
        <w:rPr>
          <w:rFonts w:ascii="Calibri" w:hAnsi="Calibri"/>
          <w:b/>
          <w:color w:val="1E3A5F"/>
          <w:sz w:val="32"/>
        </w:rPr>
        <w:lastRenderedPageBreak/>
        <w:t>Partie 2 — Guide des fonctionnalités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Cette partie </w:t>
      </w:r>
      <w:r>
        <w:rPr>
          <w:rFonts w:ascii="Calibri" w:hAnsi="Calibri"/>
          <w:color w:val="444444"/>
          <w:sz w:val="21"/>
        </w:rPr>
        <w:t>présente l'ensemble des sections et fonctionnalités accessibles depuis la barre de navigation de l'application Atlantic Re. Chaque section est décrite avec ses indicateurs clés, ses visualisations et son utilité métier.</w:t>
      </w: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2.1  Tableau de bord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Le tableau de </w:t>
      </w:r>
      <w:r>
        <w:rPr>
          <w:rFonts w:ascii="Calibri" w:hAnsi="Calibri"/>
          <w:color w:val="444444"/>
          <w:sz w:val="21"/>
        </w:rPr>
        <w:t>bord est la page d'accueil de l'application. Il offre une vue synthétique et globale de l'ensemble du portefeuille de réassurance d'Atlantic Re.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Indicateurs clés (KPI Cards)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Six indicateurs principaux sont affichés en haut de page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Prime écrite — volume t</w:t>
      </w:r>
      <w:r>
        <w:rPr>
          <w:rFonts w:ascii="Calibri" w:hAnsi="Calibri"/>
          <w:color w:val="444444"/>
          <w:sz w:val="21"/>
        </w:rPr>
        <w:t>otal d'affaires du portefeuille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Résultat net — agrégat technique global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Loss Ratio moyen (ULR) — indicateur de performance sinistre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Somme assurée — exposition globale en valeur assurée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Nombre de contrats — périmètre actif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Ratio Résultat / Prime — rentabili</w:t>
      </w:r>
      <w:r>
        <w:rPr>
          <w:rFonts w:ascii="Calibri" w:hAnsi="Calibri"/>
          <w:color w:val="444444"/>
          <w:sz w:val="21"/>
        </w:rPr>
        <w:t>té relative du portefeuille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Vues disponibles (onglets)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Le tableau de bord propose sept onglets de visualisation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Carte — cartographie mondiale de la distribution géographique du portefeuille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Évolution — graphiques linéaires historiques : primes, résultats</w:t>
      </w:r>
      <w:r>
        <w:rPr>
          <w:rFonts w:ascii="Calibri" w:hAnsi="Calibri"/>
          <w:color w:val="444444"/>
          <w:sz w:val="21"/>
        </w:rPr>
        <w:t>, loss ratio par année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Répartition — graphiques circulaires et à barres : distribution par branche, cédante, pays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croisé — tableau pivot paramétrable pour croiser les dimensions d'analyse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Détail contrats — tableau exhaustif des contrats avec filtre</w:t>
      </w:r>
      <w:r>
        <w:rPr>
          <w:rFonts w:ascii="Calibri" w:hAnsi="Calibri"/>
          <w:color w:val="444444"/>
          <w:sz w:val="21"/>
        </w:rPr>
        <w:t>s et tri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Finances — décomposition financière détaillée du portefeuille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Rentabilité — indicateurs et graphiques de rentabilité par segment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Filtres globaux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Un panneau de filtres latéral permet d'affiner toutes les vues par : année de souscription, branche, p</w:t>
      </w:r>
      <w:r>
        <w:rPr>
          <w:rFonts w:ascii="Calibri" w:hAnsi="Calibri"/>
          <w:color w:val="444444"/>
          <w:sz w:val="21"/>
        </w:rPr>
        <w:t>ays, cédante, courtier, type de contrat (FAC / TTY / TTE) et périmètre Vie / Non-Vie.</w:t>
      </w:r>
    </w:p>
    <w:p w:rsidR="00C930BF" w:rsidRDefault="00C930BF">
      <w:pPr>
        <w:pBdr>
          <w:bottom w:val="single" w:sz="4" w:space="1" w:color="CCCCCC"/>
        </w:pBdr>
        <w:spacing w:before="40" w:after="40"/>
      </w:pP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2.2  Analyse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La section Analyse regroupe quatre sous-pages permettant d'examiner le portefeuille selon différents axes métier : géographique, cédante, courtier et exposi</w:t>
      </w:r>
      <w:r>
        <w:rPr>
          <w:rFonts w:ascii="Calibri" w:hAnsi="Calibri"/>
          <w:color w:val="444444"/>
          <w:sz w:val="21"/>
        </w:rPr>
        <w:t>tion aux risques.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Analyse Globale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Permet une analyse approfondie du portefeuille par pays. L'utilisateur sélectionne un pays et accède à l'ensemble des indicateurs de performance associés.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lastRenderedPageBreak/>
        <w:t>KPI cards par pays sélectionné (prime,</w:t>
      </w:r>
      <w:r>
        <w:rPr>
          <w:rFonts w:ascii="Calibri" w:hAnsi="Calibri"/>
          <w:color w:val="444444"/>
          <w:sz w:val="21"/>
        </w:rPr>
        <w:t xml:space="preserve"> résultat, ULR, somme assurée, contrats)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Carte mondiale — distribution géographique de l'exposition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d'évolution annuelle — tendances primes / résultats / ULR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circulaire de répartition par branche (périmètre complet, non filtré)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10 b</w:t>
      </w:r>
      <w:r>
        <w:rPr>
          <w:rFonts w:ascii="Calibri" w:hAnsi="Calibri"/>
          <w:color w:val="444444"/>
          <w:sz w:val="21"/>
        </w:rPr>
        <w:t>ranches — graphique à barres des branches les plus significatives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10 cédantes — classement des cédantes par volume de prime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détaillé des contrats — liste filtrée et exportable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locaux disponibles : année de souscription, branche, type co</w:t>
      </w:r>
      <w:r>
        <w:rPr>
          <w:rFonts w:ascii="Calibri" w:hAnsi="Calibri"/>
          <w:color w:val="444444"/>
          <w:sz w:val="21"/>
        </w:rPr>
        <w:t>ntrat SPC, périmètre Vie/Non-Vie.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Analyse Cédante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Offre un profil analytique complet pour chaque cédante du portefeuille. Permet d'évaluer la contribution, la diversification et la qualité technique d'une cédante.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 xml:space="preserve">Fiche profil </w:t>
      </w:r>
      <w:r>
        <w:rPr>
          <w:rFonts w:ascii="Calibri" w:hAnsi="Calibri"/>
          <w:color w:val="444444"/>
          <w:sz w:val="21"/>
        </w:rPr>
        <w:t>cédante — KPIs consolidés (prime, résultat, ULR, ratio)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Courbe d'évolution annuelle — historique des primes et résultats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circulaire de répartition par branche (périmètre complet)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10 branches — barres de contribution par branche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des co</w:t>
      </w:r>
      <w:r>
        <w:rPr>
          <w:rFonts w:ascii="Calibri" w:hAnsi="Calibri"/>
          <w:color w:val="444444"/>
          <w:sz w:val="21"/>
        </w:rPr>
        <w:t>mmissions par branche — prime, résultat, ULR moyen, nombre de contrats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Analyse de diversification — comparaison avec les 12 principales branches du marché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locaux disponibles : année de souscription, branche, type contrat SPC, périmètre Vie/Non-Vie.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Analyse Courtiers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Présente le classement et l'analyse des courtiers apporteurs d'affaires. Croise les données d'analyse technique avec les données de rétrocession pour évaluer la contribution nette de chaque courtier.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 xml:space="preserve">Tableau </w:t>
      </w:r>
      <w:r>
        <w:rPr>
          <w:rFonts w:ascii="Calibri" w:hAnsi="Calibri"/>
          <w:color w:val="444444"/>
          <w:sz w:val="21"/>
        </w:rPr>
        <w:t>des top courtiers triable — prime, résultat, ULR moyen, part signée, contrats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Colonnes rétrocession — PMD placée, courtage perçu, solde net par courtier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Badge de rôle par courtier — Double Rôle (Apporteur + Placeur), Apporteur seul, Placeur seul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Accès au p</w:t>
      </w:r>
      <w:r>
        <w:rPr>
          <w:rFonts w:ascii="Calibri" w:hAnsi="Calibri"/>
          <w:color w:val="444444"/>
          <w:sz w:val="21"/>
        </w:rPr>
        <w:t>rofil détaillé — évolution annuelle, répartition par branche, liste de contrats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locaux disponibles : année de souscription, branche, type contrat SPC, périmètre Vie/Non-Vie.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Exposition &amp; Risques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Analyse l'exposition aux risques du portefeuille en </w:t>
      </w:r>
      <w:r>
        <w:rPr>
          <w:rFonts w:ascii="Calibri" w:hAnsi="Calibri"/>
          <w:color w:val="444444"/>
          <w:sz w:val="21"/>
        </w:rPr>
        <w:t>termes de concentrations géographiques et de risques unitaires. Permet d'identifier les accumulations et les contrats à fort enjeu.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KPI cards — nombre de pays exposés, somme assurée totale, part moyenne signée, top risques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Cart</w:t>
      </w:r>
      <w:r>
        <w:rPr>
          <w:rFonts w:ascii="Calibri" w:hAnsi="Calibri"/>
          <w:color w:val="444444"/>
          <w:sz w:val="21"/>
        </w:rPr>
        <w:t>e mondiale — distribution géographique des expositions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par pays — exposition, somme assurée, part signée, nombre de contrats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par branche — mêmes indicateurs par ligne d'activité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15 risques — tableau trié par exposition : police, cédante</w:t>
      </w:r>
      <w:r>
        <w:rPr>
          <w:rFonts w:ascii="Calibri" w:hAnsi="Calibri"/>
          <w:color w:val="444444"/>
          <w:sz w:val="21"/>
        </w:rPr>
        <w:t>, branche, pays, somme assurée, part, prime, ULR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lastRenderedPageBreak/>
        <w:t>Graphique à barres — top 10 risques par montant d'exposition</w:t>
      </w:r>
    </w:p>
    <w:p w:rsidR="00C930BF" w:rsidRDefault="00C930BF">
      <w:pPr>
        <w:pBdr>
          <w:bottom w:val="single" w:sz="4" w:space="1" w:color="CCCCCC"/>
        </w:pBdr>
        <w:spacing w:before="40" w:after="40"/>
      </w:pP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2.3  Comparaison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Comparaison Marché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Permet la comparaison directe de deux pays ou de deux groupes de branches côte à côte. Facilite l'arbitrage e</w:t>
      </w:r>
      <w:r>
        <w:rPr>
          <w:rFonts w:ascii="Calibri" w:hAnsi="Calibri"/>
          <w:color w:val="444444"/>
          <w:sz w:val="21"/>
        </w:rPr>
        <w:t>ntre marchés et le positionnement relatif d'Atlantic Re par rapport aux différentes zones géographiques.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Deux modes de comparaison sont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Par pays — sélection de deux pays (A et B) avec affichage des indicateurs en vis-à-vis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Par branches — comp</w:t>
      </w:r>
      <w:r>
        <w:rPr>
          <w:rFonts w:ascii="Calibri" w:hAnsi="Calibri"/>
          <w:color w:val="444444"/>
          <w:sz w:val="21"/>
        </w:rPr>
        <w:t>araison des lignes d'activité pour un ou plusieurs pays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Bandeau comparatif — KPIs des deux entités sélectionnées avec indicateurs d'écart (delta %)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Indicateurs comparés — prime écrite, résultat, ULR moyen, somme assurée, nombre</w:t>
      </w:r>
      <w:r>
        <w:rPr>
          <w:rFonts w:ascii="Calibri" w:hAnsi="Calibri"/>
          <w:color w:val="444444"/>
          <w:sz w:val="21"/>
        </w:rPr>
        <w:t xml:space="preserve"> de contrats, ratio résultat/prime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Radar — comparaison multi-dimensionnelle sur les indicateurs de performance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d'évolution annuelle — courbes superposées pour visualiser les tendances respectives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disponibles : année de souscript</w:t>
      </w:r>
      <w:r>
        <w:rPr>
          <w:rFonts w:ascii="Calibri" w:hAnsi="Calibri"/>
          <w:color w:val="444444"/>
          <w:sz w:val="21"/>
        </w:rPr>
        <w:t>ion, type de contrat, type SPC.</w:t>
      </w:r>
    </w:p>
    <w:p w:rsidR="00C930BF" w:rsidRDefault="00C930BF">
      <w:pPr>
        <w:pBdr>
          <w:bottom w:val="single" w:sz="4" w:space="1" w:color="CCCCCC"/>
        </w:pBdr>
        <w:spacing w:before="40" w:after="40"/>
      </w:pP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2.4  Pilotage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La section Pilotage regroupe les outils de suivi et d'optimisation du portefeuille : gestion des parts de marché cibles sur les traités TTY et surveillance de la saturation FAC.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Cibles TTY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Module de pilotage </w:t>
      </w:r>
      <w:r>
        <w:rPr>
          <w:rFonts w:ascii="Calibri" w:hAnsi="Calibri"/>
          <w:color w:val="444444"/>
          <w:sz w:val="21"/>
        </w:rPr>
        <w:t>des parts signées sur les traités de type TTY (Traités à Taux et Yeux). Calcule pour chaque contrat une part cible recommandée basée sur des règles métier (qualité technique, diversification, faible exposition) et compare à la part actuelle.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Indicateurs de</w:t>
      </w:r>
      <w:r>
        <w:rPr>
          <w:rFonts w:ascii="Calibri" w:hAnsi="Calibri"/>
          <w:color w:val="444444"/>
          <w:sz w:val="21"/>
        </w:rPr>
        <w:t xml:space="preserve"> synthèse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Nombre total de contrats TTY analysés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Potentiel additionnel total — écart agrégé entre part cible et part actuelle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Décompte des contrats orientés : HAUSSE / BAISSE / STABLE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 xml:space="preserve">Top 15 contrats par potentiel — tableau : </w:t>
      </w:r>
      <w:r>
        <w:rPr>
          <w:rFonts w:ascii="Calibri" w:hAnsi="Calibri"/>
          <w:color w:val="444444"/>
          <w:sz w:val="21"/>
        </w:rPr>
        <w:t>cédante, police, pays, branche, part actuelle, part cible, ajustement %, badge d'orientation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de nuage de points — part actuelle vs part cible pour visualiser les écarts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de détail — décomposition des ajustements : bonus ULR, bonus LOB, bon</w:t>
      </w:r>
      <w:r>
        <w:rPr>
          <w:rFonts w:ascii="Calibri" w:hAnsi="Calibri"/>
          <w:color w:val="444444"/>
          <w:sz w:val="21"/>
        </w:rPr>
        <w:t>us faible part, malus ULR, plafond appliqué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locaux disponibles : année de souscription, branche, type contrat SPC, périmètre Vie/Non-Vie.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lastRenderedPageBreak/>
        <w:t>Saturation FAC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Module de surveillance de la saturation des affaires facultatives (FAC) par cédante. Identifie </w:t>
      </w:r>
      <w:r>
        <w:rPr>
          <w:rFonts w:ascii="Calibri" w:hAnsi="Calibri"/>
          <w:color w:val="444444"/>
          <w:sz w:val="21"/>
        </w:rPr>
        <w:t>les cédantes dont la part des affaires FAC dépasse les seuils d'alerte fixés par branche, afin de prévenir les risques de concentration.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Indicateurs de synthèse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Nombre de branches avec activité FAC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Prime FAC totale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Taux de part FAC moyen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Score de saturat</w:t>
      </w:r>
      <w:r>
        <w:rPr>
          <w:rFonts w:ascii="Calibri" w:hAnsi="Calibri"/>
          <w:color w:val="444444"/>
          <w:sz w:val="21"/>
        </w:rPr>
        <w:t>ion maximum observé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Liste des cédantes avec score de saturation global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Modal de détail par cédante — tableau par branche : prime FAC, nombre de contrats, taux de saturation %, seuils, barre colorée (vert / orange / rouge)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Alert</w:t>
      </w:r>
      <w:r>
        <w:rPr>
          <w:rFonts w:ascii="Calibri" w:hAnsi="Calibri"/>
          <w:color w:val="444444"/>
          <w:sz w:val="21"/>
        </w:rPr>
        <w:t>es de saturation — mise en évidence des cédantes dépassant les seuils critiques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disponibles : année de souscription, nature, traité.</w:t>
      </w:r>
    </w:p>
    <w:p w:rsidR="00C930BF" w:rsidRDefault="00C930BF">
      <w:pPr>
        <w:pBdr>
          <w:bottom w:val="single" w:sz="4" w:space="1" w:color="CCCCCC"/>
        </w:pBdr>
        <w:spacing w:before="40" w:after="40"/>
      </w:pPr>
    </w:p>
    <w:p w:rsidR="00C930BF" w:rsidRDefault="00B16C3E">
      <w:pPr>
        <w:spacing w:before="240" w:after="80"/>
      </w:pPr>
      <w:r>
        <w:rPr>
          <w:rFonts w:ascii="Calibri" w:hAnsi="Calibri"/>
          <w:b/>
          <w:color w:val="4E6820"/>
          <w:sz w:val="26"/>
        </w:rPr>
        <w:t>2.5  Rétrocession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La section Rétrocession couvre l'ensemble du dispositif de cession en rétrocession d'Atlantic Re</w:t>
      </w:r>
      <w:r>
        <w:rPr>
          <w:rFonts w:ascii="Calibri" w:hAnsi="Calibri"/>
          <w:color w:val="444444"/>
          <w:sz w:val="21"/>
        </w:rPr>
        <w:t xml:space="preserve"> : traités placés, sécurités mobilisées et affaires FAC cédées à des partenaires.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Affaires Traitées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Synthèse du placement des traités de rétrocession. Permet de suivre les primes cédées, la répartition entre courtiers et le statut de placement de chaque tr</w:t>
      </w:r>
      <w:r>
        <w:rPr>
          <w:rFonts w:ascii="Calibri" w:hAnsi="Calibri"/>
          <w:color w:val="444444"/>
          <w:sz w:val="21"/>
        </w:rPr>
        <w:t>aité.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Indicateurs de synthèse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Nombre de traités placés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PMD totale placée (Prime Moyenne Développée)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Part moyenne signée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Statut global de placement du portefeuille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Deux onglets de visualisation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Vue globale — cartes dépliables par traité (nature, PMD, pa</w:t>
      </w:r>
      <w:r>
        <w:rPr>
          <w:rFonts w:ascii="Calibri" w:hAnsi="Calibri"/>
          <w:color w:val="444444"/>
          <w:sz w:val="21"/>
        </w:rPr>
        <w:t>rt, statut), graphiques d'évolution par année et par nature, tableau des courtiers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Vue par courtier — analyse détaillée des rôles (Apporteur / Placeur / Double Rôle) avec tableau croisé des flux entre courtiers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 xml:space="preserve">Filtres disponibles : année de souscription, </w:t>
      </w:r>
      <w:r>
        <w:rPr>
          <w:rFonts w:ascii="Calibri" w:hAnsi="Calibri"/>
          <w:color w:val="444444"/>
          <w:sz w:val="21"/>
        </w:rPr>
        <w:t>nature, traité, courtier, rating A+ uniquement.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Panel de Sécurité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Gestion et suivi des sécurités (réassureurs) mobilisées dans le programme de rétrocession. Permet d'évaluer la qualité du panel, la concentration par sécurité et les risques associés.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Indica</w:t>
      </w:r>
      <w:r>
        <w:rPr>
          <w:rFonts w:ascii="Calibri" w:hAnsi="Calibri"/>
          <w:color w:val="444444"/>
          <w:sz w:val="21"/>
        </w:rPr>
        <w:t>teurs de synthèse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lastRenderedPageBreak/>
        <w:t>Nombre de sécurités actives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PMD totale reçue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Pourcentage de sécurités notées ≥ A (qualité du panel)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Taux de concentration maximum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à barres horizontal — top 10 sécurités par PMD reçue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 xml:space="preserve">Fiches </w:t>
      </w:r>
      <w:r>
        <w:rPr>
          <w:rFonts w:ascii="Calibri" w:hAnsi="Calibri"/>
          <w:color w:val="444444"/>
          <w:sz w:val="21"/>
        </w:rPr>
        <w:t>sécurités — nom, note (A+ / &lt; A), PMD totale, nombre de traités, part moyenne, part maximum, concentration, traités couverts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Alertes de concentration — mise en évidence des sécurités dépassant 30 % de concentration sur un traité, avec liste récapitulative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disponibles : année de souscription, nature, traité.</w:t>
      </w:r>
    </w:p>
    <w:p w:rsidR="00C930BF" w:rsidRDefault="00B16C3E">
      <w:pPr>
        <w:spacing w:before="160" w:after="60"/>
      </w:pPr>
      <w:r>
        <w:rPr>
          <w:rFonts w:ascii="Calibri" w:hAnsi="Calibri"/>
          <w:b/>
          <w:color w:val="1E3A5F"/>
        </w:rPr>
        <w:t>FAC-to-FAC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Suivi des affaires facultatives cédées et acceptées dans le cadre des partenariats FAC-to-FAC (échanges bilatéraux de facultatives entre compagnies de réassurance). Permet de piloter l</w:t>
      </w:r>
      <w:r>
        <w:rPr>
          <w:rFonts w:ascii="Calibri" w:hAnsi="Calibri"/>
          <w:color w:val="444444"/>
          <w:sz w:val="21"/>
        </w:rPr>
        <w:t>es flux d'échanges et la réciprocité entre partenaires.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Indicateurs de synthèse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Total des engagements FAC-to-FAC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Prime totale partenaires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Taux de part moyen des partenaires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Prime Atlantic Re (part retenue)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Nombre de partenaires actifs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Visualisations disp</w:t>
      </w:r>
      <w:r>
        <w:rPr>
          <w:rFonts w:ascii="Calibri" w:hAnsi="Calibri"/>
          <w:color w:val="444444"/>
          <w:sz w:val="21"/>
        </w:rPr>
        <w:t>onibles :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Graphique d'évolution des primes — courbes annuelles des flux FAC-to-FAC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Primes par branche — graphique à barres des montants par ligne d'activité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Cartes de détail par branche — prime, engagement, part %, nombre de partenaires, mapping LOB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pa</w:t>
      </w:r>
      <w:r>
        <w:rPr>
          <w:rFonts w:ascii="Calibri" w:hAnsi="Calibri"/>
          <w:color w:val="444444"/>
          <w:sz w:val="21"/>
        </w:rPr>
        <w:t>rtenaires par prime — graphique à barres des principaux partenaires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Top partenaires par engagement — classement par montant d'engagement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Taux de part moyen — courbe d'évolution du taux de participation moyen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des partenaires — liste détaillée avec m</w:t>
      </w:r>
      <w:r>
        <w:rPr>
          <w:rFonts w:ascii="Calibri" w:hAnsi="Calibri"/>
          <w:color w:val="444444"/>
          <w:sz w:val="21"/>
        </w:rPr>
        <w:t>étriques individuelles</w:t>
      </w:r>
    </w:p>
    <w:p w:rsidR="00C930BF" w:rsidRDefault="00B16C3E">
      <w:pPr>
        <w:pStyle w:val="Listepuces"/>
        <w:spacing w:before="40" w:after="40"/>
        <w:ind w:left="454"/>
      </w:pPr>
      <w:r>
        <w:rPr>
          <w:rFonts w:ascii="Calibri" w:hAnsi="Calibri"/>
          <w:color w:val="444444"/>
          <w:sz w:val="21"/>
        </w:rPr>
        <w:t>Tableau de croisement Donneur / Preneur — matrice des échanges bilatéraux</w:t>
      </w:r>
    </w:p>
    <w:p w:rsidR="00C930BF" w:rsidRDefault="00B16C3E">
      <w:pPr>
        <w:spacing w:before="40" w:after="80"/>
      </w:pPr>
      <w:r>
        <w:rPr>
          <w:rFonts w:ascii="Calibri" w:hAnsi="Calibri"/>
          <w:color w:val="444444"/>
          <w:sz w:val="21"/>
        </w:rPr>
        <w:t>Filtres disponibles : année de souscription, LOB, branche, type de contrat.</w:t>
      </w:r>
    </w:p>
    <w:p w:rsidR="00C930BF" w:rsidRDefault="00B16C3E">
      <w:r>
        <w:br w:type="page"/>
      </w:r>
    </w:p>
    <w:p w:rsidR="00C930BF" w:rsidRDefault="00B16C3E">
      <w:pPr>
        <w:shd w:val="clear" w:color="auto" w:fill="1E3A5F"/>
        <w:spacing w:after="120"/>
      </w:pPr>
      <w:r>
        <w:rPr>
          <w:rFonts w:ascii="Calibri" w:hAnsi="Calibri"/>
          <w:sz w:val="8"/>
        </w:rPr>
        <w:lastRenderedPageBreak/>
        <w:t xml:space="preserve">                                                                                 </w:t>
      </w:r>
      <w:r>
        <w:rPr>
          <w:rFonts w:ascii="Calibri" w:hAnsi="Calibri"/>
          <w:sz w:val="8"/>
        </w:rPr>
        <w:t xml:space="preserve">                                       </w:t>
      </w:r>
    </w:p>
    <w:p w:rsidR="00C930BF" w:rsidRDefault="00C930BF">
      <w:pPr>
        <w:spacing w:after="0"/>
      </w:pPr>
    </w:p>
    <w:p w:rsidR="00C930BF" w:rsidRDefault="00C930BF">
      <w:pPr>
        <w:spacing w:after="0"/>
      </w:pPr>
    </w:p>
    <w:p w:rsidR="00C930BF" w:rsidRDefault="00B16C3E">
      <w:pPr>
        <w:jc w:val="center"/>
      </w:pPr>
      <w:r>
        <w:rPr>
          <w:rFonts w:ascii="Calibri" w:hAnsi="Calibri"/>
          <w:i/>
          <w:color w:val="444444"/>
          <w:sz w:val="18"/>
        </w:rPr>
        <w:t>Atlantic Re — CDG Group  |  Plateforme Réassurance v2.0  |  Avril 2026</w:t>
      </w:r>
    </w:p>
    <w:p w:rsidR="00C930BF" w:rsidRDefault="00B16C3E">
      <w:pPr>
        <w:jc w:val="center"/>
      </w:pPr>
      <w:r>
        <w:rPr>
          <w:rFonts w:ascii="Calibri" w:hAnsi="Calibri"/>
          <w:i/>
          <w:color w:val="444444"/>
          <w:sz w:val="18"/>
        </w:rPr>
        <w:t>Document confidentiel — Destiné à l'encadrant du projet de stage</w:t>
      </w:r>
    </w:p>
    <w:sectPr w:rsidR="00C930B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C3E"/>
    <w:rsid w:val="00B47730"/>
    <w:rsid w:val="00C930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8287D3"/>
  <w14:defaultImageDpi w14:val="300"/>
  <w15:docId w15:val="{15FFD470-AC43-4197-8203-FCBD9BD7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4696AB-F1F4-4D18-876C-69E038F1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2268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Smaiki Anas</cp:lastModifiedBy>
  <cp:revision>2</cp:revision>
  <dcterms:created xsi:type="dcterms:W3CDTF">2013-12-23T23:15:00Z</dcterms:created>
  <dcterms:modified xsi:type="dcterms:W3CDTF">2026-04-12T20:30:00Z</dcterms:modified>
  <cp:category/>
</cp:coreProperties>
</file>