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05809" w:rsidRDefault="00705809">
      <w:pPr>
        <w:spacing w:after="1000"/>
      </w:pPr>
    </w:p>
    <w:p w:rsidR="00705809" w:rsidRDefault="00FC0563">
      <w:pPr>
        <w:spacing w:after="120"/>
        <w:jc w:val="center"/>
      </w:pPr>
      <w:r>
        <w:rPr>
          <w:rFonts w:ascii="Calibri" w:hAnsi="Calibri"/>
          <w:b/>
          <w:color w:val="5D8438"/>
          <w:sz w:val="68"/>
        </w:rPr>
        <w:t>ATLANTIC RE</w:t>
      </w:r>
    </w:p>
    <w:p w:rsidR="00705809" w:rsidRDefault="00FC0563">
      <w:pPr>
        <w:spacing w:after="400"/>
        <w:jc w:val="center"/>
      </w:pPr>
      <w:r>
        <w:rPr>
          <w:rFonts w:ascii="Calibri" w:hAnsi="Calibri"/>
          <w:b/>
          <w:color w:val="595959"/>
          <w:sz w:val="48"/>
        </w:rPr>
        <w:t>Guide Méthodologique</w:t>
      </w:r>
    </w:p>
    <w:p w:rsidR="00705809" w:rsidRDefault="00FC0563">
      <w:pPr>
        <w:spacing w:after="80"/>
        <w:jc w:val="center"/>
      </w:pPr>
      <w:r>
        <w:rPr>
          <w:rFonts w:ascii="Calibri" w:hAnsi="Calibri"/>
          <w:b/>
          <w:color w:val="000000"/>
          <w:sz w:val="38"/>
        </w:rPr>
        <w:t>Prédictions &amp; Scoring des Marchés Africains</w:t>
      </w:r>
    </w:p>
    <w:p w:rsidR="00705809" w:rsidRDefault="00FC0563">
      <w:pPr>
        <w:spacing w:after="800"/>
        <w:jc w:val="center"/>
      </w:pPr>
      <w:r>
        <w:rPr>
          <w:rFonts w:ascii="Calibri" w:hAnsi="Calibri"/>
          <w:b/>
          <w:color w:val="98BA6C"/>
          <w:sz w:val="34"/>
        </w:rPr>
        <w:t>Horizon 2030</w:t>
      </w:r>
    </w:p>
    <w:p w:rsidR="00705809" w:rsidRDefault="00705809">
      <w:pPr>
        <w:pBdr>
          <w:bottom w:val="single" w:sz="10" w:space="1" w:color="5D8438"/>
        </w:pBdr>
        <w:spacing w:after="600"/>
        <w:jc w:val="center"/>
      </w:pPr>
    </w:p>
    <w:p w:rsidR="00705809" w:rsidRDefault="00FC0563">
      <w:pPr>
        <w:spacing w:after="160"/>
        <w:jc w:val="center"/>
      </w:pPr>
      <w:r>
        <w:rPr>
          <w:rFonts w:ascii="Calibri" w:hAnsi="Calibri"/>
          <w:i/>
          <w:color w:val="595959"/>
          <w:sz w:val="30"/>
        </w:rPr>
        <w:t>Mai 2025</w:t>
      </w:r>
    </w:p>
    <w:p w:rsidR="00705809" w:rsidRDefault="00FC0563">
      <w:pPr>
        <w:spacing w:after="160"/>
        <w:jc w:val="center"/>
      </w:pPr>
      <w:r>
        <w:rPr>
          <w:rFonts w:ascii="Calibri" w:hAnsi="Calibri"/>
          <w:i/>
          <w:color w:val="595959"/>
          <w:sz w:val="26"/>
        </w:rPr>
        <w:t>Pôle Business Développement  —  Document de travail confidentiel</w:t>
      </w:r>
    </w:p>
    <w:p w:rsidR="00705809" w:rsidRDefault="00FC0563">
      <w:r>
        <w:br w:type="page"/>
      </w:r>
    </w:p>
    <w:p w:rsidR="00705809" w:rsidRDefault="00FC0563">
      <w:pPr>
        <w:pBdr>
          <w:bottom w:val="single" w:sz="10" w:space="1" w:color="5D8438"/>
        </w:pBdr>
        <w:spacing w:before="360" w:after="120"/>
      </w:pPr>
      <w:r>
        <w:rPr>
          <w:rFonts w:ascii="Calibri" w:hAnsi="Calibri"/>
          <w:b/>
          <w:color w:val="5D8438"/>
          <w:sz w:val="40"/>
        </w:rPr>
        <w:lastRenderedPageBreak/>
        <w:t>PARTIE 1 — PRÉDICTIONS DES MARCHÉS AFRICAINS 2030</w:t>
      </w:r>
    </w:p>
    <w:p w:rsidR="00705809" w:rsidRDefault="00FC0563">
      <w:pPr>
        <w:spacing w:before="40" w:after="140"/>
        <w:jc w:val="both"/>
      </w:pPr>
      <w:r>
        <w:rPr>
          <w:rFonts w:ascii="Calibri" w:hAnsi="Calibri"/>
          <w:sz w:val="28"/>
        </w:rPr>
        <w:t xml:space="preserve">Objectif : projeter 10 indicateurs </w:t>
      </w:r>
      <w:r>
        <w:rPr>
          <w:rFonts w:ascii="Calibri" w:hAnsi="Calibri"/>
          <w:sz w:val="28"/>
        </w:rPr>
        <w:t>clés (macro + assurance) pour 33 pays africains à horizon 2030, afin d'alimenter la stratégie de développement d'Atlantic Re. Données historiques 2015–2024 · Sources : Swiss Re Sigma, Banque Mondiale, WGI, Axco Navigator.</w:t>
      </w:r>
    </w:p>
    <w:p w:rsidR="00705809" w:rsidRDefault="00FC0563">
      <w:pPr>
        <w:spacing w:before="240" w:after="80"/>
      </w:pPr>
      <w:r>
        <w:rPr>
          <w:rFonts w:ascii="Calibri" w:hAnsi="Calibri"/>
          <w:b/>
          <w:color w:val="5D8438"/>
          <w:sz w:val="32"/>
        </w:rPr>
        <w:t>1.  La Logique de Chaînage Séquent</w:t>
      </w:r>
      <w:r>
        <w:rPr>
          <w:rFonts w:ascii="Calibri" w:hAnsi="Calibri"/>
          <w:b/>
          <w:color w:val="5D8438"/>
          <w:sz w:val="32"/>
        </w:rPr>
        <w:t>iel</w:t>
      </w:r>
    </w:p>
    <w:p w:rsidR="00705809" w:rsidRDefault="00FC0563">
      <w:pPr>
        <w:spacing w:before="40" w:after="140"/>
        <w:jc w:val="both"/>
      </w:pPr>
      <w:r>
        <w:rPr>
          <w:rFonts w:ascii="Calibri" w:hAnsi="Calibri"/>
          <w:sz w:val="28"/>
        </w:rPr>
        <w:t>Les primes d'assurance sont une fonction de la richesse économique. On ne peut pas prédire les primes sans d'abord connaître le PIB futur. Notre pipeline respecte cette causalité en trois étapes :</w:t>
      </w:r>
    </w:p>
    <w:tbl>
      <w:tblPr>
        <w:tblW w:w="9889" w:type="dxa"/>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Look w:val="04A0" w:firstRow="1" w:lastRow="0" w:firstColumn="1" w:lastColumn="0" w:noHBand="0" w:noVBand="1"/>
      </w:tblPr>
      <w:tblGrid>
        <w:gridCol w:w="2235"/>
        <w:gridCol w:w="3969"/>
        <w:gridCol w:w="3685"/>
      </w:tblGrid>
      <w:tr w:rsidR="00705809" w:rsidTr="000A563C">
        <w:tc>
          <w:tcPr>
            <w:tcW w:w="2235" w:type="dxa"/>
            <w:shd w:val="clear" w:color="auto" w:fill="DCE7C8"/>
          </w:tcPr>
          <w:p w:rsidR="00705809" w:rsidRDefault="00FC0563">
            <w:pPr>
              <w:spacing w:before="40" w:after="40"/>
              <w:jc w:val="center"/>
            </w:pPr>
            <w:r>
              <w:rPr>
                <w:rFonts w:ascii="Calibri" w:hAnsi="Calibri"/>
                <w:b/>
                <w:color w:val="28460A"/>
                <w:sz w:val="24"/>
              </w:rPr>
              <w:t>Étape</w:t>
            </w:r>
          </w:p>
        </w:tc>
        <w:tc>
          <w:tcPr>
            <w:tcW w:w="3969" w:type="dxa"/>
            <w:shd w:val="clear" w:color="auto" w:fill="DCE7C8"/>
          </w:tcPr>
          <w:p w:rsidR="00705809" w:rsidRDefault="00FC0563">
            <w:pPr>
              <w:spacing w:before="40" w:after="40"/>
              <w:jc w:val="center"/>
            </w:pPr>
            <w:r>
              <w:rPr>
                <w:rFonts w:ascii="Calibri" w:hAnsi="Calibri"/>
                <w:b/>
                <w:color w:val="28460A"/>
                <w:sz w:val="24"/>
              </w:rPr>
              <w:t>Indicateurs</w:t>
            </w:r>
          </w:p>
        </w:tc>
        <w:tc>
          <w:tcPr>
            <w:tcW w:w="3685" w:type="dxa"/>
            <w:shd w:val="clear" w:color="auto" w:fill="DCE7C8"/>
          </w:tcPr>
          <w:p w:rsidR="00705809" w:rsidRDefault="00FC0563">
            <w:pPr>
              <w:spacing w:before="40" w:after="40"/>
              <w:jc w:val="center"/>
            </w:pPr>
            <w:r>
              <w:rPr>
                <w:rFonts w:ascii="Calibri" w:hAnsi="Calibri"/>
                <w:b/>
                <w:color w:val="28460A"/>
                <w:sz w:val="24"/>
              </w:rPr>
              <w:t>Modèle utilisé</w:t>
            </w:r>
          </w:p>
        </w:tc>
      </w:tr>
      <w:tr w:rsidR="00705809" w:rsidTr="000A563C">
        <w:tc>
          <w:tcPr>
            <w:tcW w:w="2235" w:type="dxa"/>
            <w:shd w:val="clear" w:color="auto" w:fill="FFFFFF"/>
          </w:tcPr>
          <w:p w:rsidR="00705809" w:rsidRDefault="00FC0563">
            <w:pPr>
              <w:spacing w:before="40" w:after="40"/>
            </w:pPr>
            <w:r>
              <w:rPr>
                <w:rFonts w:ascii="Calibri" w:hAnsi="Calibri"/>
                <w:sz w:val="24"/>
              </w:rPr>
              <w:t>① Fondamentaux</w:t>
            </w:r>
            <w:r>
              <w:rPr>
                <w:rFonts w:ascii="Calibri" w:hAnsi="Calibri"/>
                <w:sz w:val="24"/>
              </w:rPr>
              <w:br/>
              <w:t>macro</w:t>
            </w:r>
          </w:p>
        </w:tc>
        <w:tc>
          <w:tcPr>
            <w:tcW w:w="3969" w:type="dxa"/>
            <w:shd w:val="clear" w:color="auto" w:fill="FFFFFF"/>
          </w:tcPr>
          <w:p w:rsidR="00705809" w:rsidRDefault="00FC0563">
            <w:pPr>
              <w:spacing w:before="40" w:after="40"/>
              <w:jc w:val="center"/>
            </w:pPr>
            <w:r>
              <w:rPr>
                <w:rFonts w:ascii="Calibri" w:hAnsi="Calibri"/>
                <w:sz w:val="24"/>
              </w:rPr>
              <w:t>Population · Croissance PIB</w:t>
            </w:r>
            <w:r>
              <w:rPr>
                <w:rFonts w:ascii="Calibri" w:hAnsi="Calibri"/>
                <w:sz w:val="24"/>
              </w:rPr>
              <w:br/>
              <w:t>PIB/habitant · Stabilité politique</w:t>
            </w:r>
            <w:r>
              <w:rPr>
                <w:rFonts w:ascii="Calibri" w:hAnsi="Calibri"/>
                <w:sz w:val="24"/>
              </w:rPr>
              <w:br/>
              <w:t>Qualité réglementaire</w:t>
            </w:r>
          </w:p>
        </w:tc>
        <w:tc>
          <w:tcPr>
            <w:tcW w:w="3685" w:type="dxa"/>
            <w:shd w:val="clear" w:color="auto" w:fill="FFFFFF"/>
          </w:tcPr>
          <w:p w:rsidR="00705809" w:rsidRDefault="00FC0563">
            <w:pPr>
              <w:spacing w:before="40" w:after="40"/>
              <w:jc w:val="center"/>
            </w:pPr>
            <w:r>
              <w:rPr>
                <w:rFonts w:ascii="Calibri" w:hAnsi="Calibri"/>
                <w:sz w:val="24"/>
              </w:rPr>
              <w:t>CAGR géométrique</w:t>
            </w:r>
            <w:r>
              <w:rPr>
                <w:rFonts w:ascii="Calibri" w:hAnsi="Calibri"/>
                <w:sz w:val="24"/>
              </w:rPr>
              <w:br/>
              <w:t>AR(2) + Ridge + Axco blend</w:t>
            </w:r>
            <w:r>
              <w:rPr>
                <w:rFonts w:ascii="Calibri" w:hAnsi="Calibri"/>
                <w:sz w:val="24"/>
              </w:rPr>
              <w:br/>
              <w:t>FE-OLS + Ridge + ARIMA</w:t>
            </w:r>
            <w:r>
              <w:rPr>
                <w:rFonts w:ascii="Calibri" w:hAnsi="Calibri"/>
                <w:sz w:val="24"/>
              </w:rPr>
              <w:br/>
              <w:t>Ridge AR(1) + lag1</w:t>
            </w:r>
          </w:p>
        </w:tc>
      </w:tr>
      <w:tr w:rsidR="00705809" w:rsidTr="000A563C">
        <w:tc>
          <w:tcPr>
            <w:tcW w:w="2235" w:type="dxa"/>
            <w:shd w:val="clear" w:color="auto" w:fill="F5F5F5"/>
          </w:tcPr>
          <w:p w:rsidR="00705809" w:rsidRDefault="00FC0563">
            <w:pPr>
              <w:spacing w:before="40" w:after="40"/>
            </w:pPr>
            <w:r>
              <w:rPr>
                <w:rFonts w:ascii="Calibri" w:hAnsi="Calibri"/>
                <w:sz w:val="24"/>
              </w:rPr>
              <w:t>② Indicateurs</w:t>
            </w:r>
            <w:r>
              <w:rPr>
                <w:rFonts w:ascii="Calibri" w:hAnsi="Calibri"/>
                <w:sz w:val="24"/>
              </w:rPr>
              <w:br/>
              <w:t>assurantiels</w:t>
            </w:r>
          </w:p>
        </w:tc>
        <w:tc>
          <w:tcPr>
            <w:tcW w:w="3969" w:type="dxa"/>
            <w:shd w:val="clear" w:color="auto" w:fill="F5F5F5"/>
          </w:tcPr>
          <w:p w:rsidR="00705809" w:rsidRDefault="00FC0563">
            <w:pPr>
              <w:spacing w:before="40" w:after="40"/>
              <w:jc w:val="center"/>
            </w:pPr>
            <w:r>
              <w:rPr>
                <w:rFonts w:ascii="Calibri" w:hAnsi="Calibri"/>
                <w:sz w:val="24"/>
              </w:rPr>
              <w:t>Pénétration Non-Vie · Pénétration Vie</w:t>
            </w:r>
            <w:r>
              <w:rPr>
                <w:rFonts w:ascii="Calibri" w:hAnsi="Calibri"/>
                <w:sz w:val="24"/>
              </w:rPr>
              <w:br/>
              <w:t xml:space="preserve">Ratio </w:t>
            </w:r>
            <w:r>
              <w:rPr>
                <w:rFonts w:ascii="Calibri" w:hAnsi="Calibri"/>
                <w:sz w:val="24"/>
              </w:rPr>
              <w:t>Sinistres/Primes (S/P) NV</w:t>
            </w:r>
          </w:p>
        </w:tc>
        <w:tc>
          <w:tcPr>
            <w:tcW w:w="3685" w:type="dxa"/>
            <w:shd w:val="clear" w:color="auto" w:fill="F5F5F5"/>
          </w:tcPr>
          <w:p w:rsidR="00705809" w:rsidRDefault="00FC0563">
            <w:pPr>
              <w:spacing w:before="40" w:after="40"/>
              <w:jc w:val="center"/>
            </w:pPr>
            <w:r>
              <w:rPr>
                <w:rFonts w:ascii="Calibri" w:hAnsi="Calibri"/>
                <w:sz w:val="24"/>
              </w:rPr>
              <w:t>FE-OLS + Ridge + ARIMA</w:t>
            </w:r>
            <w:r>
              <w:rPr>
                <w:rFonts w:ascii="Calibri" w:hAnsi="Calibri"/>
                <w:sz w:val="24"/>
              </w:rPr>
              <w:br/>
              <w:t>Ridge + ARIMA</w:t>
            </w:r>
            <w:r>
              <w:rPr>
                <w:rFonts w:ascii="Calibri" w:hAnsi="Calibri"/>
                <w:sz w:val="24"/>
              </w:rPr>
              <w:br/>
              <w:t>AR(2) + Ridge + Tendance</w:t>
            </w:r>
          </w:p>
        </w:tc>
      </w:tr>
      <w:tr w:rsidR="00705809" w:rsidTr="000A563C">
        <w:tc>
          <w:tcPr>
            <w:tcW w:w="2235" w:type="dxa"/>
            <w:shd w:val="clear" w:color="auto" w:fill="FFFFFF"/>
          </w:tcPr>
          <w:p w:rsidR="00705809" w:rsidRDefault="00FC0563">
            <w:pPr>
              <w:spacing w:before="40" w:after="40"/>
            </w:pPr>
            <w:r>
              <w:rPr>
                <w:rFonts w:ascii="Calibri" w:hAnsi="Calibri"/>
                <w:sz w:val="24"/>
              </w:rPr>
              <w:t>③ Dérivés</w:t>
            </w:r>
            <w:r>
              <w:rPr>
                <w:rFonts w:ascii="Calibri" w:hAnsi="Calibri"/>
                <w:sz w:val="24"/>
              </w:rPr>
              <w:br/>
              <w:t>arithmétiques</w:t>
            </w:r>
          </w:p>
        </w:tc>
        <w:tc>
          <w:tcPr>
            <w:tcW w:w="3969" w:type="dxa"/>
            <w:shd w:val="clear" w:color="auto" w:fill="FFFFFF"/>
          </w:tcPr>
          <w:p w:rsidR="00705809" w:rsidRDefault="00FC0563">
            <w:pPr>
              <w:spacing w:before="40" w:after="40"/>
              <w:jc w:val="center"/>
            </w:pPr>
            <w:r>
              <w:rPr>
                <w:rFonts w:ascii="Calibri" w:hAnsi="Calibri"/>
                <w:sz w:val="24"/>
              </w:rPr>
              <w:t>Primes NV · Primes Vie · PIB total</w:t>
            </w:r>
            <w:r>
              <w:rPr>
                <w:rFonts w:ascii="Calibri" w:hAnsi="Calibri"/>
                <w:sz w:val="24"/>
              </w:rPr>
              <w:br/>
              <w:t>Densité NV · Densité Vie</w:t>
            </w:r>
          </w:p>
        </w:tc>
        <w:tc>
          <w:tcPr>
            <w:tcW w:w="3685" w:type="dxa"/>
            <w:shd w:val="clear" w:color="auto" w:fill="FFFFFF"/>
          </w:tcPr>
          <w:p w:rsidR="00705809" w:rsidRDefault="00FC0563">
            <w:pPr>
              <w:spacing w:before="40" w:after="40"/>
              <w:jc w:val="center"/>
            </w:pPr>
            <w:r>
              <w:rPr>
                <w:rFonts w:ascii="Calibri" w:hAnsi="Calibri"/>
                <w:sz w:val="24"/>
              </w:rPr>
              <w:t>Formules : Pénétration × PIB</w:t>
            </w:r>
            <w:r>
              <w:rPr>
                <w:rFonts w:ascii="Calibri" w:hAnsi="Calibri"/>
                <w:sz w:val="24"/>
              </w:rPr>
              <w:br/>
              <w:t>(pas de ML — cohérence garantie)</w:t>
            </w:r>
          </w:p>
        </w:tc>
      </w:tr>
    </w:tbl>
    <w:p w:rsidR="00705809" w:rsidRDefault="00705809">
      <w:pPr>
        <w:spacing w:after="80"/>
      </w:pPr>
    </w:p>
    <w:tbl>
      <w:tblPr>
        <w:tblW w:w="0" w:type="auto"/>
        <w:tblLook w:val="04A0" w:firstRow="1" w:lastRow="0" w:firstColumn="1" w:lastColumn="0" w:noHBand="0" w:noVBand="1"/>
      </w:tblPr>
      <w:tblGrid>
        <w:gridCol w:w="9406"/>
      </w:tblGrid>
      <w:tr w:rsidR="00705809">
        <w:tc>
          <w:tcPr>
            <w:tcW w:w="9406" w:type="dxa"/>
            <w:tcBorders>
              <w:left w:val="single" w:sz="14" w:space="0" w:color="5D8438"/>
            </w:tcBorders>
            <w:shd w:val="clear" w:color="auto" w:fill="F5F5F5"/>
          </w:tcPr>
          <w:p w:rsidR="00705809" w:rsidRDefault="00FC0563">
            <w:pPr>
              <w:spacing w:before="40" w:after="40"/>
            </w:pPr>
            <w:r>
              <w:rPr>
                <w:rFonts w:ascii="Calibri" w:hAnsi="Calibri"/>
                <w:b/>
                <w:color w:val="5D8438"/>
                <w:sz w:val="26"/>
              </w:rPr>
              <w:t>💡</w:t>
            </w:r>
            <w:r>
              <w:rPr>
                <w:rFonts w:ascii="Calibri" w:hAnsi="Calibri"/>
                <w:b/>
                <w:color w:val="5D8438"/>
                <w:sz w:val="26"/>
              </w:rPr>
              <w:t xml:space="preserve">  </w:t>
            </w:r>
            <w:r>
              <w:rPr>
                <w:rFonts w:ascii="Calibri" w:hAnsi="Calibri"/>
                <w:i/>
                <w:sz w:val="26"/>
              </w:rPr>
              <w:t xml:space="preserve">Prédire les </w:t>
            </w:r>
            <w:r>
              <w:rPr>
                <w:rFonts w:ascii="Calibri" w:hAnsi="Calibri"/>
                <w:i/>
                <w:sz w:val="26"/>
              </w:rPr>
              <w:t>primes directement serait incohérent. En respectant la chaîne Démographie → PIB → Pénétration → Primes, chaque résultat s'appuie sur l'étape précédente — comme les étages d'une fusée.</w:t>
            </w:r>
          </w:p>
        </w:tc>
      </w:tr>
    </w:tbl>
    <w:p w:rsidR="00705809" w:rsidRDefault="00705809">
      <w:pPr>
        <w:spacing w:after="80"/>
      </w:pPr>
    </w:p>
    <w:p w:rsidR="000A563C" w:rsidRDefault="000A563C">
      <w:pPr>
        <w:spacing w:after="80"/>
      </w:pPr>
    </w:p>
    <w:p w:rsidR="000A563C" w:rsidRDefault="000A563C">
      <w:pPr>
        <w:spacing w:after="80"/>
      </w:pPr>
    </w:p>
    <w:p w:rsidR="00705809" w:rsidRDefault="00FC0563">
      <w:pPr>
        <w:spacing w:before="240" w:after="80"/>
      </w:pPr>
      <w:r>
        <w:rPr>
          <w:rFonts w:ascii="Calibri" w:hAnsi="Calibri"/>
          <w:b/>
          <w:color w:val="5D8438"/>
          <w:sz w:val="32"/>
        </w:rPr>
        <w:t>2.  Les Modèles Utilisés — Principes Métier</w:t>
      </w:r>
    </w:p>
    <w:p w:rsidR="00705809" w:rsidRDefault="00FC0563">
      <w:pPr>
        <w:spacing w:before="40" w:after="140"/>
        <w:jc w:val="both"/>
      </w:pPr>
      <w:r>
        <w:rPr>
          <w:rFonts w:ascii="Calibri" w:hAnsi="Calibri"/>
          <w:sz w:val="28"/>
        </w:rPr>
        <w:t>Cinq familles de modèles s</w:t>
      </w:r>
      <w:r>
        <w:rPr>
          <w:rFonts w:ascii="Calibri" w:hAnsi="Calibri"/>
          <w:sz w:val="28"/>
        </w:rPr>
        <w:t>ont mobilisées, choisies pour leur robustesse face aux contraintes africaines : peu de données, forte hétérogénéité entre pays, volatilité macro élevée.</w:t>
      </w:r>
    </w:p>
    <w:tbl>
      <w:tblPr>
        <w:tblW w:w="10314" w:type="dxa"/>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Look w:val="04A0" w:firstRow="1" w:lastRow="0" w:firstColumn="1" w:lastColumn="0" w:noHBand="0" w:noVBand="1"/>
      </w:tblPr>
      <w:tblGrid>
        <w:gridCol w:w="1665"/>
        <w:gridCol w:w="1598"/>
        <w:gridCol w:w="3811"/>
        <w:gridCol w:w="3240"/>
      </w:tblGrid>
      <w:tr w:rsidR="00705809" w:rsidTr="000A563C">
        <w:tc>
          <w:tcPr>
            <w:tcW w:w="1668" w:type="dxa"/>
            <w:shd w:val="clear" w:color="auto" w:fill="DCE7C8"/>
          </w:tcPr>
          <w:p w:rsidR="00705809" w:rsidRDefault="00FC0563">
            <w:pPr>
              <w:spacing w:before="40" w:after="40"/>
              <w:jc w:val="center"/>
            </w:pPr>
            <w:r>
              <w:rPr>
                <w:rFonts w:ascii="Calibri" w:hAnsi="Calibri"/>
                <w:b/>
                <w:color w:val="28460A"/>
                <w:sz w:val="24"/>
              </w:rPr>
              <w:lastRenderedPageBreak/>
              <w:t>Modèle</w:t>
            </w:r>
          </w:p>
        </w:tc>
        <w:tc>
          <w:tcPr>
            <w:tcW w:w="1549" w:type="dxa"/>
            <w:shd w:val="clear" w:color="auto" w:fill="DCE7C8"/>
          </w:tcPr>
          <w:p w:rsidR="00705809" w:rsidRDefault="00FC0563">
            <w:pPr>
              <w:spacing w:before="40" w:after="40"/>
              <w:jc w:val="center"/>
            </w:pPr>
            <w:r>
              <w:rPr>
                <w:rFonts w:ascii="Calibri" w:hAnsi="Calibri"/>
                <w:b/>
                <w:color w:val="28460A"/>
                <w:sz w:val="24"/>
              </w:rPr>
              <w:t>Variables concernées</w:t>
            </w:r>
          </w:p>
        </w:tc>
        <w:tc>
          <w:tcPr>
            <w:tcW w:w="3837" w:type="dxa"/>
            <w:shd w:val="clear" w:color="auto" w:fill="DCE7C8"/>
          </w:tcPr>
          <w:p w:rsidR="00705809" w:rsidRDefault="00FC0563">
            <w:pPr>
              <w:spacing w:before="40" w:after="40"/>
              <w:jc w:val="center"/>
            </w:pPr>
            <w:r>
              <w:rPr>
                <w:rFonts w:ascii="Calibri" w:hAnsi="Calibri"/>
                <w:b/>
                <w:color w:val="28460A"/>
                <w:sz w:val="24"/>
              </w:rPr>
              <w:t>Principe en langage métier</w:t>
            </w:r>
          </w:p>
        </w:tc>
        <w:tc>
          <w:tcPr>
            <w:tcW w:w="3260" w:type="dxa"/>
            <w:shd w:val="clear" w:color="auto" w:fill="DCE7C8"/>
          </w:tcPr>
          <w:p w:rsidR="00705809" w:rsidRDefault="00FC0563">
            <w:pPr>
              <w:spacing w:before="40" w:after="40"/>
              <w:jc w:val="center"/>
            </w:pPr>
            <w:r>
              <w:rPr>
                <w:rFonts w:ascii="Calibri" w:hAnsi="Calibri"/>
                <w:b/>
                <w:color w:val="28460A"/>
                <w:sz w:val="24"/>
              </w:rPr>
              <w:t>Pourquoi ce choix ?</w:t>
            </w:r>
          </w:p>
        </w:tc>
      </w:tr>
      <w:tr w:rsidR="00705809" w:rsidTr="000A563C">
        <w:tc>
          <w:tcPr>
            <w:tcW w:w="1668" w:type="dxa"/>
            <w:shd w:val="clear" w:color="auto" w:fill="FFFFFF"/>
          </w:tcPr>
          <w:p w:rsidR="00705809" w:rsidRDefault="00FC0563">
            <w:pPr>
              <w:spacing w:before="40" w:after="40"/>
            </w:pPr>
            <w:r>
              <w:rPr>
                <w:rFonts w:ascii="Calibri" w:hAnsi="Calibri"/>
                <w:sz w:val="24"/>
              </w:rPr>
              <w:t>CAGR</w:t>
            </w:r>
            <w:r>
              <w:rPr>
                <w:rFonts w:ascii="Calibri" w:hAnsi="Calibri"/>
                <w:sz w:val="24"/>
              </w:rPr>
              <w:br/>
              <w:t>Géométrique</w:t>
            </w:r>
          </w:p>
        </w:tc>
        <w:tc>
          <w:tcPr>
            <w:tcW w:w="1549" w:type="dxa"/>
            <w:shd w:val="clear" w:color="auto" w:fill="FFFFFF"/>
          </w:tcPr>
          <w:p w:rsidR="00705809" w:rsidRDefault="00FC0563">
            <w:pPr>
              <w:spacing w:before="40" w:after="40"/>
              <w:jc w:val="center"/>
            </w:pPr>
            <w:r>
              <w:rPr>
                <w:rFonts w:ascii="Calibri" w:hAnsi="Calibri"/>
                <w:sz w:val="24"/>
              </w:rPr>
              <w:t>Population</w:t>
            </w:r>
          </w:p>
        </w:tc>
        <w:tc>
          <w:tcPr>
            <w:tcW w:w="3837" w:type="dxa"/>
            <w:shd w:val="clear" w:color="auto" w:fill="FFFFFF"/>
          </w:tcPr>
          <w:p w:rsidR="00705809" w:rsidRDefault="00FC0563">
            <w:pPr>
              <w:spacing w:before="40" w:after="40"/>
              <w:jc w:val="center"/>
            </w:pPr>
            <w:r>
              <w:rPr>
                <w:rFonts w:ascii="Calibri" w:hAnsi="Calibri"/>
                <w:sz w:val="24"/>
              </w:rPr>
              <w:t>On calcule le taux de croissance moyen observé sur 2018–2024 et on l'applique jusqu'en 2030, encadré entre 0 % et 4,5 % pour éviter les projections aberrantes.</w:t>
            </w:r>
          </w:p>
        </w:tc>
        <w:tc>
          <w:tcPr>
            <w:tcW w:w="3260" w:type="dxa"/>
            <w:shd w:val="clear" w:color="auto" w:fill="FFFFFF"/>
          </w:tcPr>
          <w:p w:rsidR="00705809" w:rsidRDefault="00FC0563">
            <w:pPr>
              <w:spacing w:before="40" w:after="40"/>
              <w:jc w:val="center"/>
            </w:pPr>
            <w:r>
              <w:rPr>
                <w:rFonts w:ascii="Calibri" w:hAnsi="Calibri"/>
                <w:sz w:val="24"/>
              </w:rPr>
              <w:t xml:space="preserve">Méthode de référence internationale pour les projections démographiques. Simple, transparente, </w:t>
            </w:r>
            <w:r>
              <w:rPr>
                <w:rFonts w:ascii="Calibri" w:hAnsi="Calibri"/>
                <w:sz w:val="24"/>
              </w:rPr>
              <w:t>auditée.</w:t>
            </w:r>
          </w:p>
        </w:tc>
      </w:tr>
      <w:tr w:rsidR="00705809" w:rsidTr="000A563C">
        <w:tc>
          <w:tcPr>
            <w:tcW w:w="1668" w:type="dxa"/>
            <w:shd w:val="clear" w:color="auto" w:fill="F5F5F5"/>
          </w:tcPr>
          <w:p w:rsidR="00705809" w:rsidRDefault="00FC0563">
            <w:pPr>
              <w:spacing w:before="40" w:after="40"/>
            </w:pPr>
            <w:r>
              <w:rPr>
                <w:rFonts w:ascii="Calibri" w:hAnsi="Calibri"/>
                <w:sz w:val="24"/>
              </w:rPr>
              <w:t>AR(2) + Ridge</w:t>
            </w:r>
            <w:r>
              <w:rPr>
                <w:rFonts w:ascii="Calibri" w:hAnsi="Calibri"/>
                <w:sz w:val="24"/>
              </w:rPr>
              <w:br/>
              <w:t>+ Tendance pays</w:t>
            </w:r>
          </w:p>
        </w:tc>
        <w:tc>
          <w:tcPr>
            <w:tcW w:w="1549" w:type="dxa"/>
            <w:shd w:val="clear" w:color="auto" w:fill="F5F5F5"/>
          </w:tcPr>
          <w:p w:rsidR="00705809" w:rsidRDefault="00FC0563">
            <w:pPr>
              <w:spacing w:before="40" w:after="40"/>
              <w:jc w:val="center"/>
            </w:pPr>
            <w:r>
              <w:rPr>
                <w:rFonts w:ascii="Calibri" w:hAnsi="Calibri"/>
                <w:sz w:val="24"/>
              </w:rPr>
              <w:t>Croissance PIB</w:t>
            </w:r>
            <w:r>
              <w:rPr>
                <w:rFonts w:ascii="Calibri" w:hAnsi="Calibri"/>
                <w:sz w:val="24"/>
              </w:rPr>
              <w:br/>
              <w:t>S/P Non-Vie</w:t>
            </w:r>
          </w:p>
        </w:tc>
        <w:tc>
          <w:tcPr>
            <w:tcW w:w="3837" w:type="dxa"/>
            <w:shd w:val="clear" w:color="auto" w:fill="F5F5F5"/>
          </w:tcPr>
          <w:p w:rsidR="00705809" w:rsidRDefault="00FC0563">
            <w:pPr>
              <w:spacing w:before="40" w:after="40"/>
              <w:jc w:val="center"/>
            </w:pPr>
            <w:r>
              <w:rPr>
                <w:rFonts w:ascii="Calibri" w:hAnsi="Calibri"/>
                <w:sz w:val="24"/>
              </w:rPr>
              <w:t xml:space="preserve">Combine la moyenne structurelle d'un pays (sa vitesse de croisière), sa dynamique récente (2 dernières années), et une correction par l'inflation. Modèle conservateur qui privilégie la </w:t>
            </w:r>
            <w:r>
              <w:rPr>
                <w:rFonts w:ascii="Calibri" w:hAnsi="Calibri"/>
                <w:sz w:val="24"/>
              </w:rPr>
              <w:t>stabilité.</w:t>
            </w:r>
          </w:p>
        </w:tc>
        <w:tc>
          <w:tcPr>
            <w:tcW w:w="3260" w:type="dxa"/>
            <w:shd w:val="clear" w:color="auto" w:fill="F5F5F5"/>
          </w:tcPr>
          <w:p w:rsidR="00705809" w:rsidRDefault="00FC0563">
            <w:pPr>
              <w:spacing w:before="40" w:after="40"/>
              <w:jc w:val="center"/>
            </w:pPr>
            <w:r>
              <w:rPr>
                <w:rFonts w:ascii="Calibri" w:hAnsi="Calibri"/>
                <w:sz w:val="24"/>
              </w:rPr>
              <w:t>Évite les prévisions trop optimistes ou trop pessimistes. Adapté aux séries avec forte inertie.</w:t>
            </w:r>
          </w:p>
        </w:tc>
      </w:tr>
      <w:tr w:rsidR="00705809" w:rsidTr="000A563C">
        <w:tc>
          <w:tcPr>
            <w:tcW w:w="1668" w:type="dxa"/>
            <w:shd w:val="clear" w:color="auto" w:fill="FFFFFF"/>
          </w:tcPr>
          <w:p w:rsidR="00705809" w:rsidRDefault="00FC0563">
            <w:pPr>
              <w:spacing w:before="40" w:after="40"/>
            </w:pPr>
            <w:r>
              <w:rPr>
                <w:rFonts w:ascii="Calibri" w:hAnsi="Calibri"/>
                <w:sz w:val="24"/>
              </w:rPr>
              <w:t>FE-OLS + Ridge</w:t>
            </w:r>
            <w:r>
              <w:rPr>
                <w:rFonts w:ascii="Calibri" w:hAnsi="Calibri"/>
                <w:sz w:val="24"/>
              </w:rPr>
              <w:br/>
              <w:t>+ ARIMA</w:t>
            </w:r>
          </w:p>
        </w:tc>
        <w:tc>
          <w:tcPr>
            <w:tcW w:w="1549" w:type="dxa"/>
            <w:shd w:val="clear" w:color="auto" w:fill="FFFFFF"/>
          </w:tcPr>
          <w:p w:rsidR="00705809" w:rsidRDefault="00FC0563">
            <w:pPr>
              <w:spacing w:before="40" w:after="40"/>
              <w:jc w:val="center"/>
            </w:pPr>
            <w:r>
              <w:rPr>
                <w:rFonts w:ascii="Calibri" w:hAnsi="Calibri"/>
                <w:sz w:val="24"/>
              </w:rPr>
              <w:t>PIB/habitant</w:t>
            </w:r>
            <w:r>
              <w:rPr>
                <w:rFonts w:ascii="Calibri" w:hAnsi="Calibri"/>
                <w:sz w:val="24"/>
              </w:rPr>
              <w:br/>
              <w:t>Pénétration Non-Vie</w:t>
            </w:r>
          </w:p>
        </w:tc>
        <w:tc>
          <w:tcPr>
            <w:tcW w:w="3837" w:type="dxa"/>
            <w:shd w:val="clear" w:color="auto" w:fill="FFFFFF"/>
          </w:tcPr>
          <w:p w:rsidR="00705809" w:rsidRDefault="00FC0563">
            <w:pPr>
              <w:spacing w:before="40" w:after="40"/>
              <w:jc w:val="center"/>
            </w:pPr>
            <w:r>
              <w:rPr>
                <w:rFonts w:ascii="Calibri" w:hAnsi="Calibri"/>
                <w:sz w:val="24"/>
              </w:rPr>
              <w:t xml:space="preserve">Trois couches : (1) chaque pays a son propre 'niveau de départ' (effets fixes), (2) une </w:t>
            </w:r>
            <w:r>
              <w:rPr>
                <w:rFonts w:ascii="Calibri" w:hAnsi="Calibri"/>
                <w:sz w:val="24"/>
              </w:rPr>
              <w:t>pénalité empêche le surapprentissage (Ridge), (3) les erreurs résiduelles sont corrigées par la mémoire récente (ARIMA).</w:t>
            </w:r>
          </w:p>
        </w:tc>
        <w:tc>
          <w:tcPr>
            <w:tcW w:w="3260" w:type="dxa"/>
            <w:shd w:val="clear" w:color="auto" w:fill="FFFFFF"/>
          </w:tcPr>
          <w:p w:rsidR="00705809" w:rsidRDefault="00FC0563">
            <w:pPr>
              <w:spacing w:before="40" w:after="40"/>
              <w:jc w:val="center"/>
            </w:pPr>
            <w:r>
              <w:rPr>
                <w:rFonts w:ascii="Calibri" w:hAnsi="Calibri"/>
                <w:sz w:val="24"/>
              </w:rPr>
              <w:t>Le modèle le plus puissant du pipeline. Capture la structure, la tendance et la dynamique simultanément.</w:t>
            </w:r>
          </w:p>
        </w:tc>
      </w:tr>
      <w:tr w:rsidR="00705809" w:rsidTr="000A563C">
        <w:tc>
          <w:tcPr>
            <w:tcW w:w="1668" w:type="dxa"/>
            <w:shd w:val="clear" w:color="auto" w:fill="F5F5F5"/>
          </w:tcPr>
          <w:p w:rsidR="00705809" w:rsidRDefault="00FC0563">
            <w:pPr>
              <w:spacing w:before="40" w:after="40"/>
            </w:pPr>
            <w:r>
              <w:rPr>
                <w:rFonts w:ascii="Calibri" w:hAnsi="Calibri"/>
                <w:sz w:val="24"/>
              </w:rPr>
              <w:t>Ridge AR(1)</w:t>
            </w:r>
            <w:r>
              <w:rPr>
                <w:rFonts w:ascii="Calibri" w:hAnsi="Calibri"/>
                <w:sz w:val="24"/>
              </w:rPr>
              <w:br/>
              <w:t>+ lag1</w:t>
            </w:r>
          </w:p>
        </w:tc>
        <w:tc>
          <w:tcPr>
            <w:tcW w:w="1549" w:type="dxa"/>
            <w:shd w:val="clear" w:color="auto" w:fill="F5F5F5"/>
          </w:tcPr>
          <w:p w:rsidR="00705809" w:rsidRDefault="00FC0563">
            <w:pPr>
              <w:spacing w:before="40" w:after="40"/>
              <w:jc w:val="center"/>
            </w:pPr>
            <w:r>
              <w:rPr>
                <w:rFonts w:ascii="Calibri" w:hAnsi="Calibri"/>
                <w:sz w:val="24"/>
              </w:rPr>
              <w:t xml:space="preserve">Stabilité </w:t>
            </w:r>
            <w:r>
              <w:rPr>
                <w:rFonts w:ascii="Calibri" w:hAnsi="Calibri"/>
                <w:sz w:val="24"/>
              </w:rPr>
              <w:t>politique</w:t>
            </w:r>
            <w:r>
              <w:rPr>
                <w:rFonts w:ascii="Calibri" w:hAnsi="Calibri"/>
                <w:sz w:val="24"/>
              </w:rPr>
              <w:br/>
              <w:t>Qualité réglementaire</w:t>
            </w:r>
          </w:p>
        </w:tc>
        <w:tc>
          <w:tcPr>
            <w:tcW w:w="3837" w:type="dxa"/>
            <w:shd w:val="clear" w:color="auto" w:fill="F5F5F5"/>
          </w:tcPr>
          <w:p w:rsidR="00705809" w:rsidRDefault="00FC0563">
            <w:pPr>
              <w:spacing w:before="40" w:after="40"/>
              <w:jc w:val="center"/>
            </w:pPr>
            <w:r>
              <w:rPr>
                <w:rFonts w:ascii="Calibri" w:hAnsi="Calibri"/>
                <w:sz w:val="24"/>
              </w:rPr>
              <w:t>La meilleure prédiction de la qualité institutionnelle de demain, c'est celle d'aujourd'hui — légèrement corrigée. Ces indices évoluent très lentement (inertie institutionnelle).</w:t>
            </w:r>
          </w:p>
        </w:tc>
        <w:tc>
          <w:tcPr>
            <w:tcW w:w="3260" w:type="dxa"/>
            <w:shd w:val="clear" w:color="auto" w:fill="F5F5F5"/>
          </w:tcPr>
          <w:p w:rsidR="00705809" w:rsidRDefault="00FC0563">
            <w:pPr>
              <w:spacing w:before="40" w:after="40"/>
              <w:jc w:val="center"/>
            </w:pPr>
            <w:r>
              <w:rPr>
                <w:rFonts w:ascii="Calibri" w:hAnsi="Calibri"/>
                <w:sz w:val="24"/>
              </w:rPr>
              <w:t xml:space="preserve">Un modèle simple est le plus fiable pour des </w:t>
            </w:r>
            <w:r>
              <w:rPr>
                <w:rFonts w:ascii="Calibri" w:hAnsi="Calibri"/>
                <w:sz w:val="24"/>
              </w:rPr>
              <w:t>indicateurs à forte inertie. La régularisation Ridge évite les sauts artificiels.</w:t>
            </w:r>
          </w:p>
        </w:tc>
      </w:tr>
      <w:tr w:rsidR="00705809" w:rsidTr="000A563C">
        <w:tc>
          <w:tcPr>
            <w:tcW w:w="1668" w:type="dxa"/>
            <w:shd w:val="clear" w:color="auto" w:fill="FFFFFF"/>
          </w:tcPr>
          <w:p w:rsidR="00705809" w:rsidRDefault="00FC0563">
            <w:pPr>
              <w:spacing w:before="40" w:after="40"/>
            </w:pPr>
            <w:r>
              <w:rPr>
                <w:rFonts w:ascii="Calibri" w:hAnsi="Calibri"/>
                <w:sz w:val="24"/>
              </w:rPr>
              <w:t>Ridge + ARIMA</w:t>
            </w:r>
            <w:r>
              <w:rPr>
                <w:rFonts w:ascii="Calibri" w:hAnsi="Calibri"/>
                <w:sz w:val="24"/>
              </w:rPr>
              <w:br/>
              <w:t>(sans FE)</w:t>
            </w:r>
          </w:p>
        </w:tc>
        <w:tc>
          <w:tcPr>
            <w:tcW w:w="1549" w:type="dxa"/>
            <w:shd w:val="clear" w:color="auto" w:fill="FFFFFF"/>
          </w:tcPr>
          <w:p w:rsidR="00705809" w:rsidRDefault="00FC0563">
            <w:pPr>
              <w:spacing w:before="40" w:after="40"/>
              <w:jc w:val="center"/>
            </w:pPr>
            <w:r>
              <w:rPr>
                <w:rFonts w:ascii="Calibri" w:hAnsi="Calibri"/>
                <w:sz w:val="24"/>
              </w:rPr>
              <w:t>Pénétration Vie</w:t>
            </w:r>
          </w:p>
        </w:tc>
        <w:tc>
          <w:tcPr>
            <w:tcW w:w="3837" w:type="dxa"/>
            <w:shd w:val="clear" w:color="auto" w:fill="FFFFFF"/>
          </w:tcPr>
          <w:p w:rsidR="00705809" w:rsidRDefault="00FC0563">
            <w:pPr>
              <w:spacing w:before="40" w:after="40"/>
              <w:jc w:val="center"/>
            </w:pPr>
            <w:r>
              <w:rPr>
                <w:rFonts w:ascii="Calibri" w:hAnsi="Calibri"/>
                <w:sz w:val="24"/>
              </w:rPr>
              <w:t xml:space="preserve">Même logique que FE-OLS+Ridge+ARIMA, mais sans effets fixes — enrichi par la pénétration Non-Vie retardée comme variable explicative </w:t>
            </w:r>
            <w:r>
              <w:rPr>
                <w:rFonts w:ascii="Calibri" w:hAnsi="Calibri"/>
                <w:sz w:val="24"/>
              </w:rPr>
              <w:t>(les deux marchés progressent ensemble).</w:t>
            </w:r>
          </w:p>
        </w:tc>
        <w:tc>
          <w:tcPr>
            <w:tcW w:w="3260" w:type="dxa"/>
            <w:shd w:val="clear" w:color="auto" w:fill="FFFFFF"/>
          </w:tcPr>
          <w:p w:rsidR="00705809" w:rsidRDefault="00FC0563">
            <w:pPr>
              <w:spacing w:before="40" w:after="40"/>
              <w:jc w:val="center"/>
            </w:pPr>
            <w:r>
              <w:rPr>
                <w:rFonts w:ascii="Calibri" w:hAnsi="Calibri"/>
                <w:sz w:val="24"/>
              </w:rPr>
              <w:t>Les marchés Vie sont plus dépendants du contexte régional que du pays seul. Les effets fixes auraient sur-spécialisé le modèle.</w:t>
            </w:r>
          </w:p>
        </w:tc>
      </w:tr>
    </w:tbl>
    <w:p w:rsidR="00705809" w:rsidRDefault="00705809">
      <w:pPr>
        <w:spacing w:after="80"/>
      </w:pPr>
    </w:p>
    <w:p w:rsidR="000A563C" w:rsidRDefault="000A563C">
      <w:pPr>
        <w:spacing w:after="80"/>
      </w:pPr>
    </w:p>
    <w:p w:rsidR="00705809" w:rsidRDefault="00FC0563">
      <w:pPr>
        <w:spacing w:before="240" w:after="80"/>
      </w:pPr>
      <w:r>
        <w:rPr>
          <w:rFonts w:ascii="Calibri" w:hAnsi="Calibri"/>
          <w:b/>
          <w:color w:val="5D8438"/>
          <w:sz w:val="32"/>
        </w:rPr>
        <w:t>3.  Les Métriques de Qualité — Ce Qu'elles Signifient</w:t>
      </w:r>
    </w:p>
    <w:p w:rsidR="00705809" w:rsidRDefault="00FC0563">
      <w:pPr>
        <w:spacing w:before="40" w:after="140"/>
        <w:jc w:val="both"/>
      </w:pPr>
      <w:r>
        <w:rPr>
          <w:rFonts w:ascii="Calibri" w:hAnsi="Calibri"/>
          <w:sz w:val="28"/>
        </w:rPr>
        <w:t xml:space="preserve">Chaque modèle est évalué en </w:t>
      </w:r>
      <w:r>
        <w:rPr>
          <w:rFonts w:ascii="Calibri" w:hAnsi="Calibri"/>
          <w:sz w:val="28"/>
        </w:rPr>
        <w:t>mode walk-forward : on l'entraîne sur les données passées et on teste ses prédictions sur des données qu'il n'a jamais vues, comme un examen à livre fermé.</w:t>
      </w:r>
    </w:p>
    <w:tbl>
      <w:tblPr>
        <w:tblW w:w="11057" w:type="dxa"/>
        <w:tblInd w:w="-743" w:type="dxa"/>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Look w:val="04A0" w:firstRow="1" w:lastRow="0" w:firstColumn="1" w:lastColumn="0" w:noHBand="0" w:noVBand="1"/>
      </w:tblPr>
      <w:tblGrid>
        <w:gridCol w:w="1844"/>
        <w:gridCol w:w="3118"/>
        <w:gridCol w:w="2410"/>
        <w:gridCol w:w="3685"/>
      </w:tblGrid>
      <w:tr w:rsidR="00705809" w:rsidTr="000A563C">
        <w:tc>
          <w:tcPr>
            <w:tcW w:w="1844" w:type="dxa"/>
            <w:shd w:val="clear" w:color="auto" w:fill="DCE7C8"/>
          </w:tcPr>
          <w:p w:rsidR="00705809" w:rsidRDefault="00FC0563">
            <w:pPr>
              <w:spacing w:before="40" w:after="40"/>
              <w:jc w:val="center"/>
            </w:pPr>
            <w:r>
              <w:rPr>
                <w:rFonts w:ascii="Calibri" w:hAnsi="Calibri"/>
                <w:b/>
                <w:color w:val="28460A"/>
                <w:sz w:val="24"/>
              </w:rPr>
              <w:lastRenderedPageBreak/>
              <w:t>Métrique</w:t>
            </w:r>
          </w:p>
        </w:tc>
        <w:tc>
          <w:tcPr>
            <w:tcW w:w="3118" w:type="dxa"/>
            <w:shd w:val="clear" w:color="auto" w:fill="DCE7C8"/>
          </w:tcPr>
          <w:p w:rsidR="00705809" w:rsidRDefault="00FC0563">
            <w:pPr>
              <w:spacing w:before="40" w:after="40"/>
              <w:jc w:val="center"/>
            </w:pPr>
            <w:r>
              <w:rPr>
                <w:rFonts w:ascii="Calibri" w:hAnsi="Calibri"/>
                <w:b/>
                <w:color w:val="28460A"/>
                <w:sz w:val="24"/>
              </w:rPr>
              <w:t>Ce qu'elle mesure</w:t>
            </w:r>
          </w:p>
        </w:tc>
        <w:tc>
          <w:tcPr>
            <w:tcW w:w="2410" w:type="dxa"/>
            <w:shd w:val="clear" w:color="auto" w:fill="DCE7C8"/>
          </w:tcPr>
          <w:p w:rsidR="00705809" w:rsidRDefault="00FC0563">
            <w:pPr>
              <w:spacing w:before="40" w:after="40"/>
              <w:jc w:val="center"/>
            </w:pPr>
            <w:r>
              <w:rPr>
                <w:rFonts w:ascii="Calibri" w:hAnsi="Calibri"/>
                <w:b/>
                <w:color w:val="28460A"/>
                <w:sz w:val="24"/>
              </w:rPr>
              <w:t>Seuil de référence</w:t>
            </w:r>
          </w:p>
        </w:tc>
        <w:tc>
          <w:tcPr>
            <w:tcW w:w="3685" w:type="dxa"/>
            <w:shd w:val="clear" w:color="auto" w:fill="DCE7C8"/>
          </w:tcPr>
          <w:p w:rsidR="00705809" w:rsidRDefault="00FC0563">
            <w:pPr>
              <w:spacing w:before="40" w:after="40"/>
              <w:jc w:val="center"/>
            </w:pPr>
            <w:r>
              <w:rPr>
                <w:rFonts w:ascii="Calibri" w:hAnsi="Calibri"/>
                <w:b/>
                <w:color w:val="28460A"/>
                <w:sz w:val="24"/>
              </w:rPr>
              <w:t>Analogie métier</w:t>
            </w:r>
          </w:p>
        </w:tc>
      </w:tr>
      <w:tr w:rsidR="00705809" w:rsidTr="000A563C">
        <w:tc>
          <w:tcPr>
            <w:tcW w:w="1844" w:type="dxa"/>
            <w:shd w:val="clear" w:color="auto" w:fill="FFFFFF"/>
          </w:tcPr>
          <w:p w:rsidR="00705809" w:rsidRDefault="00FC0563">
            <w:pPr>
              <w:spacing w:before="40" w:after="40"/>
            </w:pPr>
            <w:r>
              <w:rPr>
                <w:rFonts w:ascii="Calibri" w:hAnsi="Calibri"/>
                <w:sz w:val="24"/>
              </w:rPr>
              <w:t>R²</w:t>
            </w:r>
            <w:r>
              <w:rPr>
                <w:rFonts w:ascii="Calibri" w:hAnsi="Calibri"/>
                <w:sz w:val="24"/>
              </w:rPr>
              <w:br/>
              <w:t>(Coefficient de</w:t>
            </w:r>
            <w:r>
              <w:rPr>
                <w:rFonts w:ascii="Calibri" w:hAnsi="Calibri"/>
                <w:sz w:val="24"/>
              </w:rPr>
              <w:br/>
              <w:t>détermination)</w:t>
            </w:r>
          </w:p>
        </w:tc>
        <w:tc>
          <w:tcPr>
            <w:tcW w:w="3118" w:type="dxa"/>
            <w:shd w:val="clear" w:color="auto" w:fill="FFFFFF"/>
          </w:tcPr>
          <w:p w:rsidR="00705809" w:rsidRDefault="00FC0563">
            <w:pPr>
              <w:spacing w:before="40" w:after="40"/>
              <w:jc w:val="center"/>
            </w:pPr>
            <w:r>
              <w:rPr>
                <w:rFonts w:ascii="Calibri" w:hAnsi="Calibri"/>
                <w:sz w:val="24"/>
              </w:rPr>
              <w:t xml:space="preserve">La </w:t>
            </w:r>
            <w:r>
              <w:rPr>
                <w:rFonts w:ascii="Calibri" w:hAnsi="Calibri"/>
                <w:sz w:val="24"/>
              </w:rPr>
              <w:t>part de variabilité des données que le modèle parvient à expliquer.</w:t>
            </w:r>
          </w:p>
        </w:tc>
        <w:tc>
          <w:tcPr>
            <w:tcW w:w="2410" w:type="dxa"/>
            <w:shd w:val="clear" w:color="auto" w:fill="FFFFFF"/>
          </w:tcPr>
          <w:p w:rsidR="00705809" w:rsidRDefault="000A563C">
            <w:pPr>
              <w:spacing w:before="40" w:after="40"/>
              <w:jc w:val="center"/>
            </w:pPr>
            <w:r>
              <w:rPr>
                <w:rFonts w:ascii="Calibri" w:hAnsi="Calibri"/>
                <w:sz w:val="24"/>
              </w:rPr>
              <w:t>&lt; 0,30 : faible</w:t>
            </w:r>
            <w:r>
              <w:rPr>
                <w:rFonts w:ascii="Calibri" w:hAnsi="Calibri"/>
                <w:sz w:val="24"/>
              </w:rPr>
              <w:br/>
              <w:t>0,30–0,6</w:t>
            </w:r>
            <w:r w:rsidR="00FC0563">
              <w:rPr>
                <w:rFonts w:ascii="Calibri" w:hAnsi="Calibri"/>
                <w:sz w:val="24"/>
              </w:rPr>
              <w:t>0 :</w:t>
            </w:r>
            <w:r>
              <w:rPr>
                <w:rFonts w:ascii="Calibri" w:hAnsi="Calibri"/>
                <w:sz w:val="24"/>
              </w:rPr>
              <w:t xml:space="preserve"> correct</w:t>
            </w:r>
            <w:r>
              <w:rPr>
                <w:rFonts w:ascii="Calibri" w:hAnsi="Calibri"/>
                <w:sz w:val="24"/>
              </w:rPr>
              <w:br/>
              <w:t>&gt; 0,60 : robuste</w:t>
            </w:r>
            <w:r>
              <w:rPr>
                <w:rFonts w:ascii="Calibri" w:hAnsi="Calibri"/>
                <w:sz w:val="24"/>
              </w:rPr>
              <w:br/>
              <w:t>&gt; 0,80</w:t>
            </w:r>
            <w:r w:rsidR="00FC0563">
              <w:rPr>
                <w:rFonts w:ascii="Calibri" w:hAnsi="Calibri"/>
                <w:sz w:val="24"/>
              </w:rPr>
              <w:t xml:space="preserve"> : excellent</w:t>
            </w:r>
          </w:p>
        </w:tc>
        <w:tc>
          <w:tcPr>
            <w:tcW w:w="3685" w:type="dxa"/>
            <w:shd w:val="clear" w:color="auto" w:fill="FFFFFF"/>
          </w:tcPr>
          <w:p w:rsidR="00705809" w:rsidRDefault="00FC0563">
            <w:pPr>
              <w:spacing w:before="40" w:after="40"/>
              <w:jc w:val="center"/>
            </w:pPr>
            <w:r>
              <w:rPr>
                <w:rFonts w:ascii="Calibri" w:hAnsi="Calibri"/>
                <w:sz w:val="24"/>
              </w:rPr>
              <w:t>Un analyste qui prédit 85 % des variations de marché 'a raison' 85 % du temps. Le reste, c'est du bruit.</w:t>
            </w:r>
          </w:p>
        </w:tc>
      </w:tr>
      <w:tr w:rsidR="00705809" w:rsidTr="000A563C">
        <w:tc>
          <w:tcPr>
            <w:tcW w:w="1844" w:type="dxa"/>
            <w:shd w:val="clear" w:color="auto" w:fill="F5F5F5"/>
          </w:tcPr>
          <w:p w:rsidR="00705809" w:rsidRDefault="00FC0563">
            <w:pPr>
              <w:spacing w:before="40" w:after="40"/>
            </w:pPr>
            <w:r>
              <w:rPr>
                <w:rFonts w:ascii="Calibri" w:hAnsi="Calibri"/>
                <w:sz w:val="24"/>
              </w:rPr>
              <w:t>MAPE</w:t>
            </w:r>
            <w:r>
              <w:rPr>
                <w:rFonts w:ascii="Calibri" w:hAnsi="Calibri"/>
                <w:sz w:val="24"/>
              </w:rPr>
              <w:br/>
            </w:r>
            <w:r>
              <w:rPr>
                <w:rFonts w:ascii="Calibri" w:hAnsi="Calibri"/>
                <w:sz w:val="24"/>
              </w:rPr>
              <w:t>(Erreur moyenne</w:t>
            </w:r>
            <w:r>
              <w:rPr>
                <w:rFonts w:ascii="Calibri" w:hAnsi="Calibri"/>
                <w:sz w:val="24"/>
              </w:rPr>
              <w:br/>
              <w:t>en %)</w:t>
            </w:r>
          </w:p>
        </w:tc>
        <w:tc>
          <w:tcPr>
            <w:tcW w:w="3118" w:type="dxa"/>
            <w:shd w:val="clear" w:color="auto" w:fill="F5F5F5"/>
          </w:tcPr>
          <w:p w:rsidR="00705809" w:rsidRDefault="00FC0563">
            <w:pPr>
              <w:spacing w:before="40" w:after="40"/>
              <w:jc w:val="center"/>
            </w:pPr>
            <w:r>
              <w:rPr>
                <w:rFonts w:ascii="Calibri" w:hAnsi="Calibri"/>
                <w:sz w:val="24"/>
              </w:rPr>
              <w:t>L'écart moyen entre la prédiction et la réalité, exprimé en pourcentage de la valeur réelle.</w:t>
            </w:r>
          </w:p>
        </w:tc>
        <w:tc>
          <w:tcPr>
            <w:tcW w:w="2410" w:type="dxa"/>
            <w:shd w:val="clear" w:color="auto" w:fill="F5F5F5"/>
          </w:tcPr>
          <w:p w:rsidR="00705809" w:rsidRDefault="000A563C">
            <w:pPr>
              <w:spacing w:before="40" w:after="40"/>
              <w:jc w:val="center"/>
            </w:pPr>
            <w:r>
              <w:rPr>
                <w:rFonts w:ascii="Calibri" w:hAnsi="Calibri"/>
                <w:sz w:val="24"/>
              </w:rPr>
              <w:t>&lt; 20 % : excellent</w:t>
            </w:r>
            <w:r>
              <w:rPr>
                <w:rFonts w:ascii="Calibri" w:hAnsi="Calibri"/>
                <w:sz w:val="24"/>
              </w:rPr>
              <w:br/>
              <w:t>20–40 % : bon</w:t>
            </w:r>
            <w:r>
              <w:rPr>
                <w:rFonts w:ascii="Calibri" w:hAnsi="Calibri"/>
                <w:sz w:val="24"/>
              </w:rPr>
              <w:br/>
              <w:t>40–60 % : acceptable</w:t>
            </w:r>
            <w:r>
              <w:rPr>
                <w:rFonts w:ascii="Calibri" w:hAnsi="Calibri"/>
                <w:sz w:val="24"/>
              </w:rPr>
              <w:br/>
              <w:t>&gt; 6</w:t>
            </w:r>
            <w:r w:rsidR="00FC0563">
              <w:rPr>
                <w:rFonts w:ascii="Calibri" w:hAnsi="Calibri"/>
                <w:sz w:val="24"/>
              </w:rPr>
              <w:t>0 % : à surveiller</w:t>
            </w:r>
          </w:p>
        </w:tc>
        <w:tc>
          <w:tcPr>
            <w:tcW w:w="3685" w:type="dxa"/>
            <w:shd w:val="clear" w:color="auto" w:fill="F5F5F5"/>
          </w:tcPr>
          <w:p w:rsidR="00705809" w:rsidRDefault="00FC0563">
            <w:pPr>
              <w:spacing w:before="40" w:after="40"/>
              <w:jc w:val="center"/>
            </w:pPr>
            <w:r>
              <w:rPr>
                <w:rFonts w:ascii="Calibri" w:hAnsi="Calibri"/>
                <w:sz w:val="24"/>
              </w:rPr>
              <w:t>Une MAPE de 8 % sur le PIB/habitant signifie qu'on se trompe en moy</w:t>
            </w:r>
            <w:r>
              <w:rPr>
                <w:rFonts w:ascii="Calibri" w:hAnsi="Calibri"/>
                <w:sz w:val="24"/>
              </w:rPr>
              <w:t>enne de 8 % — très acceptable pour une projection à 5 ans.</w:t>
            </w:r>
          </w:p>
        </w:tc>
      </w:tr>
      <w:tr w:rsidR="00705809" w:rsidTr="000A563C">
        <w:tc>
          <w:tcPr>
            <w:tcW w:w="1844" w:type="dxa"/>
            <w:shd w:val="clear" w:color="auto" w:fill="FFFFFF"/>
          </w:tcPr>
          <w:p w:rsidR="00705809" w:rsidRDefault="00FC0563">
            <w:pPr>
              <w:spacing w:before="40" w:after="40"/>
            </w:pPr>
            <w:r>
              <w:rPr>
                <w:rFonts w:ascii="Calibri" w:hAnsi="Calibri"/>
                <w:sz w:val="24"/>
              </w:rPr>
              <w:t>q80</w:t>
            </w:r>
            <w:r>
              <w:rPr>
                <w:rFonts w:ascii="Calibri" w:hAnsi="Calibri"/>
                <w:sz w:val="24"/>
              </w:rPr>
              <w:br/>
              <w:t>(Couverture</w:t>
            </w:r>
            <w:r>
              <w:rPr>
                <w:rFonts w:ascii="Calibri" w:hAnsi="Calibri"/>
                <w:sz w:val="24"/>
              </w:rPr>
              <w:br/>
              <w:t>à 80 %)</w:t>
            </w:r>
          </w:p>
        </w:tc>
        <w:tc>
          <w:tcPr>
            <w:tcW w:w="3118" w:type="dxa"/>
            <w:shd w:val="clear" w:color="auto" w:fill="FFFFFF"/>
          </w:tcPr>
          <w:p w:rsidR="00705809" w:rsidRDefault="00FC0563">
            <w:pPr>
              <w:spacing w:before="40" w:after="40"/>
              <w:jc w:val="center"/>
            </w:pPr>
            <w:r>
              <w:rPr>
                <w:rFonts w:ascii="Calibri" w:hAnsi="Calibri"/>
                <w:sz w:val="24"/>
              </w:rPr>
              <w:t>Dans 80 % des cas, la vraie valeur tombe bien dans notre intervalle de confiance à 80 %.</w:t>
            </w:r>
          </w:p>
        </w:tc>
        <w:tc>
          <w:tcPr>
            <w:tcW w:w="2410" w:type="dxa"/>
            <w:shd w:val="clear" w:color="auto" w:fill="FFFFFF"/>
          </w:tcPr>
          <w:p w:rsidR="00705809" w:rsidRDefault="00FC0563">
            <w:pPr>
              <w:spacing w:before="40" w:after="40"/>
              <w:jc w:val="center"/>
            </w:pPr>
            <w:r>
              <w:rPr>
                <w:rFonts w:ascii="Calibri" w:hAnsi="Calibri"/>
                <w:sz w:val="24"/>
              </w:rPr>
              <w:t>Idéal : proche de 0,80</w:t>
            </w:r>
            <w:r>
              <w:rPr>
                <w:rFonts w:ascii="Calibri" w:hAnsi="Calibri"/>
                <w:sz w:val="24"/>
              </w:rPr>
              <w:br/>
              <w:t>&gt; 0,75 : bien calibré</w:t>
            </w:r>
            <w:r>
              <w:rPr>
                <w:rFonts w:ascii="Calibri" w:hAnsi="Calibri"/>
                <w:sz w:val="24"/>
              </w:rPr>
              <w:br/>
              <w:t>&lt; 0,60 : intervalles trop étroits</w:t>
            </w:r>
          </w:p>
        </w:tc>
        <w:tc>
          <w:tcPr>
            <w:tcW w:w="3685" w:type="dxa"/>
            <w:shd w:val="clear" w:color="auto" w:fill="FFFFFF"/>
          </w:tcPr>
          <w:p w:rsidR="00705809" w:rsidRDefault="00FC0563">
            <w:pPr>
              <w:spacing w:before="40" w:after="40"/>
              <w:jc w:val="center"/>
            </w:pPr>
            <w:r>
              <w:rPr>
                <w:rFonts w:ascii="Calibri" w:hAnsi="Calibri"/>
                <w:sz w:val="24"/>
              </w:rPr>
              <w:t xml:space="preserve">Si </w:t>
            </w:r>
            <w:r>
              <w:rPr>
                <w:rFonts w:ascii="Calibri" w:hAnsi="Calibri"/>
                <w:sz w:val="24"/>
              </w:rPr>
              <w:t>on promet une fourchette qui couvre 80 % des cas, et qu'elle en couvre réellement 80 % : nos marges d'erreur sont honnêtes.</w:t>
            </w:r>
          </w:p>
        </w:tc>
      </w:tr>
      <w:tr w:rsidR="00705809" w:rsidTr="000A563C">
        <w:tc>
          <w:tcPr>
            <w:tcW w:w="1844" w:type="dxa"/>
            <w:shd w:val="clear" w:color="auto" w:fill="F5F5F5"/>
          </w:tcPr>
          <w:p w:rsidR="00705809" w:rsidRDefault="00FC0563">
            <w:pPr>
              <w:spacing w:before="40" w:after="40"/>
            </w:pPr>
            <w:r>
              <w:rPr>
                <w:rFonts w:ascii="Calibri" w:hAnsi="Calibri"/>
                <w:sz w:val="24"/>
              </w:rPr>
              <w:t>q95</w:t>
            </w:r>
            <w:r>
              <w:rPr>
                <w:rFonts w:ascii="Calibri" w:hAnsi="Calibri"/>
                <w:sz w:val="24"/>
              </w:rPr>
              <w:br/>
              <w:t>(Couverture</w:t>
            </w:r>
            <w:r>
              <w:rPr>
                <w:rFonts w:ascii="Calibri" w:hAnsi="Calibri"/>
                <w:sz w:val="24"/>
              </w:rPr>
              <w:br/>
              <w:t>à 95 %)</w:t>
            </w:r>
          </w:p>
        </w:tc>
        <w:tc>
          <w:tcPr>
            <w:tcW w:w="3118" w:type="dxa"/>
            <w:shd w:val="clear" w:color="auto" w:fill="F5F5F5"/>
          </w:tcPr>
          <w:p w:rsidR="00705809" w:rsidRDefault="00FC0563">
            <w:pPr>
              <w:spacing w:before="40" w:after="40"/>
              <w:jc w:val="center"/>
            </w:pPr>
            <w:r>
              <w:rPr>
                <w:rFonts w:ascii="Calibri" w:hAnsi="Calibri"/>
                <w:sz w:val="24"/>
              </w:rPr>
              <w:t>Dans 95 % des cas, la vraie valeur tombe dans notre intervalle de confiance large à 95 %.</w:t>
            </w:r>
          </w:p>
        </w:tc>
        <w:tc>
          <w:tcPr>
            <w:tcW w:w="2410" w:type="dxa"/>
            <w:shd w:val="clear" w:color="auto" w:fill="F5F5F5"/>
          </w:tcPr>
          <w:p w:rsidR="00705809" w:rsidRDefault="00FC0563">
            <w:pPr>
              <w:spacing w:before="40" w:after="40"/>
              <w:jc w:val="center"/>
            </w:pPr>
            <w:r>
              <w:rPr>
                <w:rFonts w:ascii="Calibri" w:hAnsi="Calibri"/>
                <w:sz w:val="24"/>
              </w:rPr>
              <w:t>Idéal : proche de</w:t>
            </w:r>
            <w:r>
              <w:rPr>
                <w:rFonts w:ascii="Calibri" w:hAnsi="Calibri"/>
                <w:sz w:val="24"/>
              </w:rPr>
              <w:t xml:space="preserve"> 0,95</w:t>
            </w:r>
            <w:r>
              <w:rPr>
                <w:rFonts w:ascii="Calibri" w:hAnsi="Calibri"/>
                <w:sz w:val="24"/>
              </w:rPr>
              <w:br/>
              <w:t>&gt; 0,90 : excellent</w:t>
            </w:r>
            <w:r>
              <w:rPr>
                <w:rFonts w:ascii="Calibri" w:hAnsi="Calibri"/>
                <w:sz w:val="24"/>
              </w:rPr>
              <w:br/>
              <w:t>&lt; 0,80 : sous-estimé</w:t>
            </w:r>
          </w:p>
        </w:tc>
        <w:tc>
          <w:tcPr>
            <w:tcW w:w="3685" w:type="dxa"/>
            <w:shd w:val="clear" w:color="auto" w:fill="F5F5F5"/>
          </w:tcPr>
          <w:p w:rsidR="00705809" w:rsidRDefault="00FC0563">
            <w:pPr>
              <w:spacing w:before="40" w:after="40"/>
              <w:jc w:val="center"/>
            </w:pPr>
            <w:r>
              <w:rPr>
                <w:rFonts w:ascii="Calibri" w:hAnsi="Calibri"/>
                <w:sz w:val="24"/>
              </w:rPr>
              <w:t>C'est le test le plus exigeant : presque tous les scénarios possibles doivent être couverts par notre fourchette.</w:t>
            </w:r>
          </w:p>
        </w:tc>
      </w:tr>
      <w:tr w:rsidR="00705809" w:rsidTr="000A563C">
        <w:tc>
          <w:tcPr>
            <w:tcW w:w="1844" w:type="dxa"/>
            <w:shd w:val="clear" w:color="auto" w:fill="FFFFFF"/>
          </w:tcPr>
          <w:p w:rsidR="00705809" w:rsidRDefault="00FC0563">
            <w:pPr>
              <w:spacing w:before="40" w:after="40"/>
            </w:pPr>
            <w:r>
              <w:rPr>
                <w:rFonts w:ascii="Calibri" w:hAnsi="Calibri"/>
                <w:sz w:val="24"/>
              </w:rPr>
              <w:t>MAE</w:t>
            </w:r>
            <w:r>
              <w:rPr>
                <w:rFonts w:ascii="Calibri" w:hAnsi="Calibri"/>
                <w:sz w:val="24"/>
              </w:rPr>
              <w:br/>
              <w:t>(Erreur absolue</w:t>
            </w:r>
            <w:r>
              <w:rPr>
                <w:rFonts w:ascii="Calibri" w:hAnsi="Calibri"/>
                <w:sz w:val="24"/>
              </w:rPr>
              <w:br/>
              <w:t>moyenne)</w:t>
            </w:r>
          </w:p>
        </w:tc>
        <w:tc>
          <w:tcPr>
            <w:tcW w:w="3118" w:type="dxa"/>
            <w:shd w:val="clear" w:color="auto" w:fill="FFFFFF"/>
          </w:tcPr>
          <w:p w:rsidR="00705809" w:rsidRDefault="00FC0563">
            <w:pPr>
              <w:spacing w:before="40" w:after="40"/>
              <w:jc w:val="center"/>
            </w:pPr>
            <w:r>
              <w:rPr>
                <w:rFonts w:ascii="Calibri" w:hAnsi="Calibri"/>
                <w:sz w:val="24"/>
              </w:rPr>
              <w:t>L'erreur moyenne dans l'unité de la variable (ex : USD, %).</w:t>
            </w:r>
          </w:p>
        </w:tc>
        <w:tc>
          <w:tcPr>
            <w:tcW w:w="2410" w:type="dxa"/>
            <w:shd w:val="clear" w:color="auto" w:fill="FFFFFF"/>
          </w:tcPr>
          <w:p w:rsidR="00705809" w:rsidRDefault="00FC0563">
            <w:pPr>
              <w:spacing w:before="40" w:after="40"/>
              <w:jc w:val="center"/>
            </w:pPr>
            <w:r>
              <w:rPr>
                <w:rFonts w:ascii="Calibri" w:hAnsi="Calibri"/>
                <w:sz w:val="24"/>
              </w:rPr>
              <w:t>Dépend</w:t>
            </w:r>
            <w:r>
              <w:rPr>
                <w:rFonts w:ascii="Calibri" w:hAnsi="Calibri"/>
                <w:sz w:val="24"/>
              </w:rPr>
              <w:t xml:space="preserve"> de l'unité.</w:t>
            </w:r>
            <w:r>
              <w:rPr>
                <w:rFonts w:ascii="Calibri" w:hAnsi="Calibri"/>
                <w:sz w:val="24"/>
              </w:rPr>
              <w:br/>
              <w:t>Plus bas = mieux.</w:t>
            </w:r>
          </w:p>
        </w:tc>
        <w:tc>
          <w:tcPr>
            <w:tcW w:w="3685" w:type="dxa"/>
            <w:shd w:val="clear" w:color="auto" w:fill="FFFFFF"/>
          </w:tcPr>
          <w:p w:rsidR="00705809" w:rsidRDefault="00FC0563">
            <w:pPr>
              <w:spacing w:before="40" w:after="40"/>
              <w:jc w:val="center"/>
            </w:pPr>
            <w:r>
              <w:rPr>
                <w:rFonts w:ascii="Calibri" w:hAnsi="Calibri"/>
                <w:sz w:val="24"/>
              </w:rPr>
              <w:t>Un MAE de 200 USD sur le PIB/hab signifie qu'on se trompe en moyenne de 200 USD — à contextualiser selon le niveau du pays.</w:t>
            </w:r>
          </w:p>
        </w:tc>
      </w:tr>
    </w:tbl>
    <w:p w:rsidR="00705809" w:rsidRDefault="00705809">
      <w:pPr>
        <w:spacing w:after="80"/>
      </w:pPr>
    </w:p>
    <w:p w:rsidR="00705809" w:rsidRDefault="00FC0563">
      <w:pPr>
        <w:spacing w:before="40" w:after="80"/>
        <w:jc w:val="both"/>
      </w:pPr>
      <w:r>
        <w:rPr>
          <w:rFonts w:ascii="Calibri" w:hAnsi="Calibri"/>
          <w:i/>
          <w:color w:val="595959"/>
        </w:rPr>
        <w:t xml:space="preserve">Note : la Croissance PIB (blending ML + Axco Navigator) n'a pas de R²/MAPE — sa validation repose </w:t>
      </w:r>
      <w:r>
        <w:rPr>
          <w:rFonts w:ascii="Calibri" w:hAnsi="Calibri"/>
          <w:i/>
          <w:color w:val="595959"/>
        </w:rPr>
        <w:t>sur la concordance avec les prévisions de la source externe.</w:t>
      </w:r>
    </w:p>
    <w:p w:rsidR="000A563C" w:rsidRDefault="000A563C">
      <w:pPr>
        <w:rPr>
          <w:rFonts w:ascii="Calibri" w:hAnsi="Calibri"/>
          <w:b/>
          <w:color w:val="5D8438"/>
          <w:sz w:val="40"/>
        </w:rPr>
      </w:pPr>
      <w:r>
        <w:rPr>
          <w:rFonts w:ascii="Calibri" w:hAnsi="Calibri"/>
          <w:b/>
          <w:color w:val="5D8438"/>
          <w:sz w:val="40"/>
        </w:rPr>
        <w:br w:type="page"/>
      </w:r>
    </w:p>
    <w:p w:rsidR="00705809" w:rsidRDefault="00FC0563">
      <w:pPr>
        <w:pBdr>
          <w:bottom w:val="single" w:sz="10" w:space="1" w:color="5D8438"/>
        </w:pBdr>
        <w:spacing w:before="360" w:after="120"/>
      </w:pPr>
      <w:r>
        <w:rPr>
          <w:rFonts w:ascii="Calibri" w:hAnsi="Calibri"/>
          <w:b/>
          <w:color w:val="5D8438"/>
          <w:sz w:val="40"/>
        </w:rPr>
        <w:lastRenderedPageBreak/>
        <w:t>PARTIE 2 — SCORING ET CLASSEMENT DES MARCHÉS</w:t>
      </w:r>
    </w:p>
    <w:p w:rsidR="00705809" w:rsidRDefault="00FC0563">
      <w:pPr>
        <w:spacing w:before="40" w:after="140"/>
        <w:jc w:val="both"/>
      </w:pPr>
      <w:r>
        <w:rPr>
          <w:rFonts w:ascii="Calibri" w:hAnsi="Calibri"/>
          <w:sz w:val="28"/>
        </w:rPr>
        <w:t>Transformer les 10 indicateurs projetés en u</w:t>
      </w:r>
      <w:r>
        <w:rPr>
          <w:rFonts w:ascii="Calibri" w:hAnsi="Calibri"/>
          <w:sz w:val="28"/>
        </w:rPr>
        <w:t>n score unique d'attractivité par pays pour répondre à la question stratégique : quels marchés africains sont les plus prometteurs pour Atlantic Re à horizon 2030 ?</w:t>
      </w:r>
    </w:p>
    <w:p w:rsidR="00705809" w:rsidRDefault="00FC0563">
      <w:pPr>
        <w:spacing w:before="40" w:after="140"/>
        <w:jc w:val="both"/>
      </w:pPr>
      <w:r>
        <w:rPr>
          <w:rFonts w:ascii="Calibri" w:hAnsi="Calibri"/>
          <w:i/>
          <w:color w:val="595959"/>
          <w:sz w:val="28"/>
        </w:rPr>
        <w:t>Pour garantir la robustesse du classement, nous utilisons 4 méthodes complémentaires et les</w:t>
      </w:r>
      <w:r>
        <w:rPr>
          <w:rFonts w:ascii="Calibri" w:hAnsi="Calibri"/>
          <w:i/>
          <w:color w:val="595959"/>
          <w:sz w:val="28"/>
        </w:rPr>
        <w:t xml:space="preserve"> confrontons : la concordance entre elles est elle-même un indicateur de fiabilité.</w:t>
      </w:r>
    </w:p>
    <w:p w:rsidR="00705809" w:rsidRDefault="00FC0563">
      <w:pPr>
        <w:spacing w:before="240" w:after="80"/>
      </w:pPr>
      <w:r>
        <w:rPr>
          <w:rFonts w:ascii="Calibri" w:hAnsi="Calibri"/>
          <w:b/>
          <w:color w:val="5D8438"/>
          <w:sz w:val="32"/>
        </w:rPr>
        <w:t>5.  Les 4 Méthodes de Scoring</w:t>
      </w:r>
    </w:p>
    <w:tbl>
      <w:tblPr>
        <w:tblW w:w="10314" w:type="dxa"/>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Look w:val="04A0" w:firstRow="1" w:lastRow="0" w:firstColumn="1" w:lastColumn="0" w:noHBand="0" w:noVBand="1"/>
      </w:tblPr>
      <w:tblGrid>
        <w:gridCol w:w="1587"/>
        <w:gridCol w:w="4475"/>
        <w:gridCol w:w="4252"/>
      </w:tblGrid>
      <w:tr w:rsidR="00705809" w:rsidTr="000A563C">
        <w:tc>
          <w:tcPr>
            <w:tcW w:w="1587" w:type="dxa"/>
            <w:shd w:val="clear" w:color="auto" w:fill="DCE7C8"/>
          </w:tcPr>
          <w:p w:rsidR="00705809" w:rsidRDefault="00FC0563">
            <w:pPr>
              <w:spacing w:before="40" w:after="40"/>
              <w:jc w:val="center"/>
            </w:pPr>
            <w:r>
              <w:rPr>
                <w:rFonts w:ascii="Calibri" w:hAnsi="Calibri"/>
                <w:b/>
                <w:color w:val="28460A"/>
                <w:sz w:val="24"/>
              </w:rPr>
              <w:t>Méthode</w:t>
            </w:r>
          </w:p>
        </w:tc>
        <w:tc>
          <w:tcPr>
            <w:tcW w:w="4475" w:type="dxa"/>
            <w:shd w:val="clear" w:color="auto" w:fill="DCE7C8"/>
          </w:tcPr>
          <w:p w:rsidR="00705809" w:rsidRDefault="00FC0563">
            <w:pPr>
              <w:spacing w:before="40" w:after="40"/>
              <w:jc w:val="center"/>
            </w:pPr>
            <w:r>
              <w:rPr>
                <w:rFonts w:ascii="Calibri" w:hAnsi="Calibri"/>
                <w:b/>
                <w:color w:val="28460A"/>
                <w:sz w:val="24"/>
              </w:rPr>
              <w:t>Principe</w:t>
            </w:r>
          </w:p>
        </w:tc>
        <w:tc>
          <w:tcPr>
            <w:tcW w:w="4252" w:type="dxa"/>
            <w:shd w:val="clear" w:color="auto" w:fill="DCE7C8"/>
          </w:tcPr>
          <w:p w:rsidR="00705809" w:rsidRDefault="00FC0563">
            <w:pPr>
              <w:spacing w:before="40" w:after="40"/>
              <w:jc w:val="center"/>
            </w:pPr>
            <w:r>
              <w:rPr>
                <w:rFonts w:ascii="Calibri" w:hAnsi="Calibri"/>
                <w:b/>
                <w:color w:val="28460A"/>
                <w:sz w:val="24"/>
              </w:rPr>
              <w:t>Ce qu'elle apporte</w:t>
            </w:r>
          </w:p>
        </w:tc>
      </w:tr>
      <w:tr w:rsidR="00705809" w:rsidTr="000A563C">
        <w:tc>
          <w:tcPr>
            <w:tcW w:w="1587" w:type="dxa"/>
            <w:shd w:val="clear" w:color="auto" w:fill="FFFFFF"/>
          </w:tcPr>
          <w:p w:rsidR="00705809" w:rsidRDefault="00FC0563">
            <w:pPr>
              <w:spacing w:before="40" w:after="40"/>
            </w:pPr>
            <w:r>
              <w:rPr>
                <w:rFonts w:ascii="Calibri" w:hAnsi="Calibri"/>
                <w:sz w:val="24"/>
              </w:rPr>
              <w:t>TOPSIS</w:t>
            </w:r>
            <w:r>
              <w:rPr>
                <w:rFonts w:ascii="Calibri" w:hAnsi="Calibri"/>
                <w:sz w:val="24"/>
              </w:rPr>
              <w:br/>
              <w:t>+ Poids PCA</w:t>
            </w:r>
          </w:p>
        </w:tc>
        <w:tc>
          <w:tcPr>
            <w:tcW w:w="4475" w:type="dxa"/>
            <w:shd w:val="clear" w:color="auto" w:fill="FFFFFF"/>
          </w:tcPr>
          <w:p w:rsidR="00705809" w:rsidRDefault="00FC0563">
            <w:pPr>
              <w:spacing w:before="40" w:after="40"/>
              <w:jc w:val="center"/>
            </w:pPr>
            <w:r>
              <w:rPr>
                <w:rFonts w:ascii="Calibri" w:hAnsi="Calibri"/>
                <w:sz w:val="24"/>
              </w:rPr>
              <w:t xml:space="preserve">Classer chaque pays par sa distance au 'marché idéal' fictif, pondérée objectivement </w:t>
            </w:r>
            <w:r>
              <w:rPr>
                <w:rFonts w:ascii="Calibri" w:hAnsi="Calibri"/>
                <w:sz w:val="24"/>
              </w:rPr>
              <w:t>par la PCA (les critères les plus discriminants reçoivent plus de poids).</w:t>
            </w:r>
          </w:p>
        </w:tc>
        <w:tc>
          <w:tcPr>
            <w:tcW w:w="4252" w:type="dxa"/>
            <w:shd w:val="clear" w:color="auto" w:fill="FFFFFF"/>
          </w:tcPr>
          <w:p w:rsidR="00705809" w:rsidRDefault="00FC0563">
            <w:pPr>
              <w:spacing w:before="40" w:after="40"/>
              <w:jc w:val="center"/>
            </w:pPr>
            <w:r>
              <w:rPr>
                <w:rFonts w:ascii="Calibri" w:hAnsi="Calibri"/>
                <w:sz w:val="24"/>
              </w:rPr>
              <w:t>Un score unique 0–1 · Élimine le biais humain dans la pondération</w:t>
            </w:r>
          </w:p>
        </w:tc>
      </w:tr>
      <w:tr w:rsidR="00705809" w:rsidTr="000A563C">
        <w:tc>
          <w:tcPr>
            <w:tcW w:w="1587" w:type="dxa"/>
            <w:shd w:val="clear" w:color="auto" w:fill="F5F5F5"/>
          </w:tcPr>
          <w:p w:rsidR="00705809" w:rsidRDefault="00FC0563">
            <w:pPr>
              <w:spacing w:before="40" w:after="40"/>
            </w:pPr>
            <w:r>
              <w:rPr>
                <w:rFonts w:ascii="Calibri" w:hAnsi="Calibri"/>
                <w:sz w:val="24"/>
              </w:rPr>
              <w:t>TOPSIS</w:t>
            </w:r>
            <w:r>
              <w:rPr>
                <w:rFonts w:ascii="Calibri" w:hAnsi="Calibri"/>
                <w:sz w:val="24"/>
              </w:rPr>
              <w:br/>
              <w:t>Équipondéré</w:t>
            </w:r>
          </w:p>
        </w:tc>
        <w:tc>
          <w:tcPr>
            <w:tcW w:w="4475" w:type="dxa"/>
            <w:shd w:val="clear" w:color="auto" w:fill="F5F5F5"/>
          </w:tcPr>
          <w:p w:rsidR="00705809" w:rsidRDefault="00FC0563">
            <w:pPr>
              <w:spacing w:before="40" w:after="40"/>
              <w:jc w:val="center"/>
            </w:pPr>
            <w:r>
              <w:rPr>
                <w:rFonts w:ascii="Calibri" w:hAnsi="Calibri"/>
                <w:sz w:val="24"/>
              </w:rPr>
              <w:t xml:space="preserve">Même principe mais tous les critères ont le même poids. Sert de référence pour mesurer l'impact </w:t>
            </w:r>
            <w:r>
              <w:rPr>
                <w:rFonts w:ascii="Calibri" w:hAnsi="Calibri"/>
                <w:sz w:val="24"/>
              </w:rPr>
              <w:t>de la pondération PCA.</w:t>
            </w:r>
          </w:p>
        </w:tc>
        <w:tc>
          <w:tcPr>
            <w:tcW w:w="4252" w:type="dxa"/>
            <w:shd w:val="clear" w:color="auto" w:fill="F5F5F5"/>
          </w:tcPr>
          <w:p w:rsidR="00705809" w:rsidRDefault="00FC0563">
            <w:pPr>
              <w:spacing w:before="40" w:after="40"/>
              <w:jc w:val="center"/>
            </w:pPr>
            <w:r>
              <w:rPr>
                <w:rFonts w:ascii="Calibri" w:hAnsi="Calibri"/>
                <w:sz w:val="24"/>
              </w:rPr>
              <w:t>Comparaison et test de sensibilité à la pondération</w:t>
            </w:r>
          </w:p>
        </w:tc>
      </w:tr>
      <w:tr w:rsidR="00705809" w:rsidTr="000A563C">
        <w:tc>
          <w:tcPr>
            <w:tcW w:w="1587" w:type="dxa"/>
            <w:shd w:val="clear" w:color="auto" w:fill="FFFFFF"/>
          </w:tcPr>
          <w:p w:rsidR="00705809" w:rsidRDefault="00FC0563">
            <w:pPr>
              <w:spacing w:before="40" w:after="40"/>
            </w:pPr>
            <w:r>
              <w:rPr>
                <w:rFonts w:ascii="Calibri" w:hAnsi="Calibri"/>
                <w:sz w:val="24"/>
              </w:rPr>
              <w:t>Clustering</w:t>
            </w:r>
            <w:r>
              <w:rPr>
                <w:rFonts w:ascii="Calibri" w:hAnsi="Calibri"/>
                <w:sz w:val="24"/>
              </w:rPr>
              <w:br/>
              <w:t>K-Means + t-SNE</w:t>
            </w:r>
          </w:p>
        </w:tc>
        <w:tc>
          <w:tcPr>
            <w:tcW w:w="4475" w:type="dxa"/>
            <w:shd w:val="clear" w:color="auto" w:fill="FFFFFF"/>
          </w:tcPr>
          <w:p w:rsidR="00705809" w:rsidRDefault="00FC0563">
            <w:pPr>
              <w:spacing w:before="40" w:after="40"/>
              <w:jc w:val="center"/>
            </w:pPr>
            <w:r>
              <w:rPr>
                <w:rFonts w:ascii="Calibri" w:hAnsi="Calibri"/>
                <w:sz w:val="24"/>
              </w:rPr>
              <w:t>Regrouper les 33 pays en 4 familles de marchés aux profils similaires sur les 7 critères, puis visualiser en 2D (t-SNE).</w:t>
            </w:r>
          </w:p>
        </w:tc>
        <w:tc>
          <w:tcPr>
            <w:tcW w:w="4252" w:type="dxa"/>
            <w:shd w:val="clear" w:color="auto" w:fill="FFFFFF"/>
          </w:tcPr>
          <w:p w:rsidR="00705809" w:rsidRDefault="00FC0563">
            <w:pPr>
              <w:spacing w:before="40" w:after="40"/>
              <w:jc w:val="center"/>
            </w:pPr>
            <w:r>
              <w:rPr>
                <w:rFonts w:ascii="Calibri" w:hAnsi="Calibri"/>
                <w:sz w:val="24"/>
              </w:rPr>
              <w:t>Vision stratégique par segment ·</w:t>
            </w:r>
            <w:r>
              <w:rPr>
                <w:rFonts w:ascii="Calibri" w:hAnsi="Calibri"/>
                <w:sz w:val="24"/>
              </w:rPr>
              <w:t xml:space="preserve"> Marchés comparables identifiés</w:t>
            </w:r>
          </w:p>
        </w:tc>
      </w:tr>
      <w:tr w:rsidR="00705809" w:rsidTr="000A563C">
        <w:tc>
          <w:tcPr>
            <w:tcW w:w="1587" w:type="dxa"/>
            <w:shd w:val="clear" w:color="auto" w:fill="F5F5F5"/>
          </w:tcPr>
          <w:p w:rsidR="00705809" w:rsidRDefault="00FC0563">
            <w:pPr>
              <w:spacing w:before="40" w:after="40"/>
            </w:pPr>
            <w:r>
              <w:rPr>
                <w:rFonts w:ascii="Calibri" w:hAnsi="Calibri"/>
                <w:sz w:val="24"/>
              </w:rPr>
              <w:t>Monte Carlo</w:t>
            </w:r>
            <w:r>
              <w:rPr>
                <w:rFonts w:ascii="Calibri" w:hAnsi="Calibri"/>
                <w:sz w:val="24"/>
              </w:rPr>
              <w:br/>
              <w:t>10 000 itérations</w:t>
            </w:r>
          </w:p>
        </w:tc>
        <w:tc>
          <w:tcPr>
            <w:tcW w:w="4475" w:type="dxa"/>
            <w:shd w:val="clear" w:color="auto" w:fill="F5F5F5"/>
          </w:tcPr>
          <w:p w:rsidR="00705809" w:rsidRDefault="00FC0563">
            <w:pPr>
              <w:spacing w:before="40" w:after="40"/>
              <w:jc w:val="center"/>
            </w:pPr>
            <w:r>
              <w:rPr>
                <w:rFonts w:ascii="Calibri" w:hAnsi="Calibri"/>
                <w:sz w:val="24"/>
              </w:rPr>
              <w:t>Répéter TOPSIS 10 000 fois avec des poids légèrement différents à chaque fois. Analyser la distribution des rangs obtenus.</w:t>
            </w:r>
          </w:p>
        </w:tc>
        <w:tc>
          <w:tcPr>
            <w:tcW w:w="4252" w:type="dxa"/>
            <w:shd w:val="clear" w:color="auto" w:fill="F5F5F5"/>
          </w:tcPr>
          <w:p w:rsidR="00705809" w:rsidRDefault="00FC0563">
            <w:pPr>
              <w:spacing w:before="40" w:after="40"/>
              <w:jc w:val="center"/>
            </w:pPr>
            <w:r>
              <w:rPr>
                <w:rFonts w:ascii="Calibri" w:hAnsi="Calibri"/>
                <w:sz w:val="24"/>
              </w:rPr>
              <w:t>Rang P50 · IC[P10–P90] · Proba Top 5/10 · Score de stabilité</w:t>
            </w:r>
          </w:p>
        </w:tc>
      </w:tr>
    </w:tbl>
    <w:p w:rsidR="00705809" w:rsidRDefault="00705809">
      <w:pPr>
        <w:spacing w:after="80"/>
      </w:pPr>
    </w:p>
    <w:p w:rsidR="00705809" w:rsidRDefault="00FC0563">
      <w:pPr>
        <w:spacing w:before="240" w:after="80"/>
      </w:pPr>
      <w:r>
        <w:rPr>
          <w:rFonts w:ascii="Calibri" w:hAnsi="Calibri"/>
          <w:b/>
          <w:color w:val="5D8438"/>
          <w:sz w:val="32"/>
        </w:rPr>
        <w:t xml:space="preserve">6.  </w:t>
      </w:r>
      <w:r>
        <w:rPr>
          <w:rFonts w:ascii="Calibri" w:hAnsi="Calibri"/>
          <w:b/>
          <w:color w:val="5D8438"/>
          <w:sz w:val="32"/>
        </w:rPr>
        <w:t>Lire les Résultats Monte Carlo</w:t>
      </w:r>
    </w:p>
    <w:p w:rsidR="00705809" w:rsidRDefault="00FC0563">
      <w:pPr>
        <w:spacing w:before="40" w:after="140"/>
        <w:jc w:val="both"/>
        <w:rPr>
          <w:rFonts w:ascii="Calibri" w:hAnsi="Calibri"/>
          <w:sz w:val="28"/>
        </w:rPr>
      </w:pPr>
      <w:r>
        <w:rPr>
          <w:rFonts w:ascii="Calibri" w:hAnsi="Calibri"/>
          <w:sz w:val="28"/>
        </w:rPr>
        <w:t>Monte Carlo transforme un rang unique en une distribution de probabilités. Au lieu de dire 'le Sénégal est 7ème', on dit 'le Sénégal a 85 % de probabilité d'être dans le top 10' — information décisionnelle bien plus riche.</w:t>
      </w:r>
    </w:p>
    <w:p w:rsidR="000A563C" w:rsidRDefault="000A563C">
      <w:pPr>
        <w:spacing w:before="40" w:after="140"/>
        <w:jc w:val="both"/>
        <w:rPr>
          <w:rFonts w:ascii="Calibri" w:hAnsi="Calibri"/>
          <w:sz w:val="28"/>
        </w:rPr>
      </w:pPr>
    </w:p>
    <w:p w:rsidR="000A563C" w:rsidRDefault="000A563C">
      <w:pPr>
        <w:spacing w:before="40" w:after="140"/>
        <w:jc w:val="both"/>
        <w:rPr>
          <w:rFonts w:ascii="Calibri" w:hAnsi="Calibri"/>
          <w:sz w:val="28"/>
        </w:rPr>
      </w:pPr>
    </w:p>
    <w:p w:rsidR="000A563C" w:rsidRDefault="000A563C">
      <w:pPr>
        <w:spacing w:before="40" w:after="140"/>
        <w:jc w:val="both"/>
        <w:rPr>
          <w:rFonts w:ascii="Calibri" w:hAnsi="Calibri"/>
          <w:sz w:val="28"/>
        </w:rPr>
      </w:pPr>
    </w:p>
    <w:p w:rsidR="000A563C" w:rsidRDefault="000A563C">
      <w:pPr>
        <w:spacing w:before="40" w:after="140"/>
        <w:jc w:val="both"/>
      </w:pPr>
    </w:p>
    <w:tbl>
      <w:tblPr>
        <w:tblW w:w="10031" w:type="dxa"/>
        <w:tblBorders>
          <w:top w:val="single" w:sz="4" w:space="0" w:color="5D8438"/>
          <w:left w:val="single" w:sz="4" w:space="0" w:color="5D8438"/>
          <w:bottom w:val="single" w:sz="4" w:space="0" w:color="5D8438"/>
          <w:right w:val="single" w:sz="4" w:space="0" w:color="5D8438"/>
          <w:insideH w:val="single" w:sz="4" w:space="0" w:color="5D8438"/>
          <w:insideV w:val="single" w:sz="4" w:space="0" w:color="5D8438"/>
        </w:tblBorders>
        <w:tblLook w:val="04A0" w:firstRow="1" w:lastRow="0" w:firstColumn="1" w:lastColumn="0" w:noHBand="0" w:noVBand="1"/>
      </w:tblPr>
      <w:tblGrid>
        <w:gridCol w:w="1984"/>
        <w:gridCol w:w="8047"/>
      </w:tblGrid>
      <w:tr w:rsidR="00705809" w:rsidTr="000A563C">
        <w:tc>
          <w:tcPr>
            <w:tcW w:w="1984" w:type="dxa"/>
            <w:shd w:val="clear" w:color="auto" w:fill="DCE7C8"/>
          </w:tcPr>
          <w:p w:rsidR="00705809" w:rsidRDefault="00FC0563">
            <w:pPr>
              <w:spacing w:before="40" w:after="40"/>
              <w:jc w:val="center"/>
            </w:pPr>
            <w:r>
              <w:rPr>
                <w:rFonts w:ascii="Calibri" w:hAnsi="Calibri"/>
                <w:b/>
                <w:color w:val="28460A"/>
                <w:sz w:val="24"/>
              </w:rPr>
              <w:lastRenderedPageBreak/>
              <w:t>In</w:t>
            </w:r>
            <w:r>
              <w:rPr>
                <w:rFonts w:ascii="Calibri" w:hAnsi="Calibri"/>
                <w:b/>
                <w:color w:val="28460A"/>
                <w:sz w:val="24"/>
              </w:rPr>
              <w:t>dicateur</w:t>
            </w:r>
          </w:p>
        </w:tc>
        <w:tc>
          <w:tcPr>
            <w:tcW w:w="8047" w:type="dxa"/>
            <w:shd w:val="clear" w:color="auto" w:fill="DCE7C8"/>
          </w:tcPr>
          <w:p w:rsidR="00705809" w:rsidRDefault="00FC0563">
            <w:pPr>
              <w:spacing w:before="40" w:after="40"/>
              <w:jc w:val="center"/>
            </w:pPr>
            <w:r>
              <w:rPr>
                <w:rFonts w:ascii="Calibri" w:hAnsi="Calibri"/>
                <w:b/>
                <w:color w:val="28460A"/>
                <w:sz w:val="24"/>
              </w:rPr>
              <w:t>Définition métier</w:t>
            </w:r>
          </w:p>
        </w:tc>
      </w:tr>
      <w:tr w:rsidR="00705809" w:rsidTr="000A563C">
        <w:tc>
          <w:tcPr>
            <w:tcW w:w="1984" w:type="dxa"/>
            <w:shd w:val="clear" w:color="auto" w:fill="FFFFFF"/>
          </w:tcPr>
          <w:p w:rsidR="00705809" w:rsidRDefault="00FC0563">
            <w:pPr>
              <w:spacing w:before="40" w:after="40"/>
            </w:pPr>
            <w:r>
              <w:rPr>
                <w:rFonts w:ascii="Calibri" w:hAnsi="Calibri"/>
                <w:sz w:val="24"/>
              </w:rPr>
              <w:t>Rang P50</w:t>
            </w:r>
          </w:p>
        </w:tc>
        <w:tc>
          <w:tcPr>
            <w:tcW w:w="8047" w:type="dxa"/>
            <w:shd w:val="clear" w:color="auto" w:fill="FFFFFF"/>
          </w:tcPr>
          <w:p w:rsidR="00705809" w:rsidRDefault="00FC0563">
            <w:pPr>
              <w:spacing w:before="40" w:after="40"/>
              <w:jc w:val="center"/>
            </w:pPr>
            <w:r>
              <w:rPr>
                <w:rFonts w:ascii="Calibri" w:hAnsi="Calibri"/>
                <w:sz w:val="24"/>
              </w:rPr>
              <w:t>Rang médian sur les 10 000 simulations = classement le plus probable</w:t>
            </w:r>
          </w:p>
        </w:tc>
      </w:tr>
      <w:tr w:rsidR="00705809" w:rsidTr="000A563C">
        <w:tc>
          <w:tcPr>
            <w:tcW w:w="1984" w:type="dxa"/>
            <w:shd w:val="clear" w:color="auto" w:fill="F5F5F5"/>
          </w:tcPr>
          <w:p w:rsidR="00705809" w:rsidRDefault="00FC0563">
            <w:pPr>
              <w:spacing w:before="40" w:after="40"/>
            </w:pPr>
            <w:r>
              <w:rPr>
                <w:rFonts w:ascii="Calibri" w:hAnsi="Calibri"/>
                <w:sz w:val="24"/>
              </w:rPr>
              <w:t>IC [P10–P90]</w:t>
            </w:r>
          </w:p>
        </w:tc>
        <w:tc>
          <w:tcPr>
            <w:tcW w:w="8047" w:type="dxa"/>
            <w:shd w:val="clear" w:color="auto" w:fill="F5F5F5"/>
          </w:tcPr>
          <w:p w:rsidR="00705809" w:rsidRDefault="00FC0563">
            <w:pPr>
              <w:spacing w:before="40" w:after="40"/>
              <w:jc w:val="center"/>
            </w:pPr>
            <w:r>
              <w:rPr>
                <w:rFonts w:ascii="Calibri" w:hAnsi="Calibri"/>
                <w:sz w:val="24"/>
              </w:rPr>
              <w:t>Fourchette du rang. IC [2–5] = solidement dans le top 5. IC [1–15] = instable</w:t>
            </w:r>
          </w:p>
        </w:tc>
      </w:tr>
      <w:tr w:rsidR="00705809" w:rsidTr="000A563C">
        <w:tc>
          <w:tcPr>
            <w:tcW w:w="1984" w:type="dxa"/>
            <w:shd w:val="clear" w:color="auto" w:fill="FFFFFF"/>
          </w:tcPr>
          <w:p w:rsidR="00705809" w:rsidRDefault="00FC0563">
            <w:pPr>
              <w:spacing w:before="40" w:after="40"/>
            </w:pPr>
            <w:r>
              <w:rPr>
                <w:rFonts w:ascii="Calibri" w:hAnsi="Calibri"/>
                <w:sz w:val="24"/>
              </w:rPr>
              <w:t>Prob. Top 5</w:t>
            </w:r>
          </w:p>
        </w:tc>
        <w:tc>
          <w:tcPr>
            <w:tcW w:w="8047" w:type="dxa"/>
            <w:shd w:val="clear" w:color="auto" w:fill="FFFFFF"/>
          </w:tcPr>
          <w:p w:rsidR="00705809" w:rsidRDefault="00FC0563">
            <w:pPr>
              <w:spacing w:before="40" w:after="40"/>
              <w:jc w:val="center"/>
            </w:pPr>
            <w:r>
              <w:rPr>
                <w:rFonts w:ascii="Calibri" w:hAnsi="Calibri"/>
                <w:sz w:val="24"/>
              </w:rPr>
              <w:t xml:space="preserve">% des simulations où le pays est classé ≤ </w:t>
            </w:r>
            <w:r>
              <w:rPr>
                <w:rFonts w:ascii="Calibri" w:hAnsi="Calibri"/>
                <w:sz w:val="24"/>
              </w:rPr>
              <w:t>5ème</w:t>
            </w:r>
          </w:p>
        </w:tc>
      </w:tr>
      <w:tr w:rsidR="00705809" w:rsidTr="000A563C">
        <w:tc>
          <w:tcPr>
            <w:tcW w:w="1984" w:type="dxa"/>
            <w:shd w:val="clear" w:color="auto" w:fill="F5F5F5"/>
          </w:tcPr>
          <w:p w:rsidR="00705809" w:rsidRDefault="00FC0563">
            <w:pPr>
              <w:spacing w:before="40" w:after="40"/>
            </w:pPr>
            <w:r>
              <w:rPr>
                <w:rFonts w:ascii="Calibri" w:hAnsi="Calibri"/>
                <w:sz w:val="24"/>
              </w:rPr>
              <w:t>Prob. Top 10</w:t>
            </w:r>
          </w:p>
        </w:tc>
        <w:tc>
          <w:tcPr>
            <w:tcW w:w="8047" w:type="dxa"/>
            <w:shd w:val="clear" w:color="auto" w:fill="F5F5F5"/>
          </w:tcPr>
          <w:p w:rsidR="00705809" w:rsidRDefault="00FC0563">
            <w:pPr>
              <w:spacing w:before="40" w:after="40"/>
              <w:jc w:val="center"/>
            </w:pPr>
            <w:r>
              <w:rPr>
                <w:rFonts w:ascii="Calibri" w:hAnsi="Calibri"/>
                <w:sz w:val="24"/>
              </w:rPr>
              <w:t>% des simulations où le pays est classé ≤ 10ème</w:t>
            </w:r>
          </w:p>
        </w:tc>
      </w:tr>
      <w:tr w:rsidR="00705809" w:rsidTr="000A563C">
        <w:tc>
          <w:tcPr>
            <w:tcW w:w="1984" w:type="dxa"/>
            <w:shd w:val="clear" w:color="auto" w:fill="FFFFFF"/>
          </w:tcPr>
          <w:p w:rsidR="00705809" w:rsidRDefault="00FC0563">
            <w:pPr>
              <w:spacing w:before="40" w:after="40"/>
            </w:pPr>
            <w:r>
              <w:rPr>
                <w:rFonts w:ascii="Calibri" w:hAnsi="Calibri"/>
                <w:sz w:val="24"/>
              </w:rPr>
              <w:t>Stabilité</w:t>
            </w:r>
          </w:p>
        </w:tc>
        <w:tc>
          <w:tcPr>
            <w:tcW w:w="8047" w:type="dxa"/>
            <w:shd w:val="clear" w:color="auto" w:fill="FFFFFF"/>
          </w:tcPr>
          <w:p w:rsidR="00705809" w:rsidRDefault="00FC0563">
            <w:pPr>
              <w:spacing w:before="40" w:after="40"/>
              <w:jc w:val="center"/>
            </w:pPr>
            <w:r>
              <w:rPr>
                <w:rFonts w:ascii="Calibri" w:hAnsi="Calibri"/>
                <w:sz w:val="24"/>
              </w:rPr>
              <w:t>Score inverse de la dispersion. Élevé = classement fiable quelle que soit la pondération</w:t>
            </w:r>
          </w:p>
        </w:tc>
      </w:tr>
    </w:tbl>
    <w:p w:rsidR="00705809" w:rsidRDefault="00705809">
      <w:pPr>
        <w:spacing w:after="80"/>
      </w:pPr>
    </w:p>
    <w:p w:rsidR="00705809" w:rsidRDefault="00FC0563">
      <w:pPr>
        <w:spacing w:before="40" w:after="140"/>
        <w:jc w:val="both"/>
      </w:pPr>
      <w:r>
        <w:rPr>
          <w:rFonts w:ascii="Calibri" w:hAnsi="Calibri"/>
          <w:i/>
          <w:color w:val="595959"/>
          <w:sz w:val="28"/>
        </w:rPr>
        <w:t xml:space="preserve">Matrice de Priorisation : croise Score d'attractivité (axe X) × Stabilité (axe Y). </w:t>
      </w:r>
      <w:r>
        <w:rPr>
          <w:rFonts w:ascii="Calibri" w:hAnsi="Calibri"/>
          <w:i/>
          <w:color w:val="595959"/>
          <w:sz w:val="28"/>
        </w:rPr>
        <w:t>Haut-droite = MARCHÉS PRIORITAIRES · Bas-droite = Prometteurs mais risqués · Bas-gauche = À éviter.</w:t>
      </w:r>
    </w:p>
    <w:p w:rsidR="00705809" w:rsidRDefault="00FC0563">
      <w:pPr>
        <w:spacing w:before="240" w:after="80"/>
      </w:pPr>
      <w:r>
        <w:rPr>
          <w:rFonts w:ascii="Calibri" w:hAnsi="Calibri"/>
          <w:b/>
          <w:color w:val="5D8438"/>
          <w:sz w:val="32"/>
        </w:rPr>
        <w:t>7.  Concordance Inter-Méthodes</w:t>
      </w:r>
    </w:p>
    <w:p w:rsidR="00705809" w:rsidRDefault="00FC0563">
      <w:pPr>
        <w:spacing w:before="40" w:after="140"/>
        <w:jc w:val="both"/>
      </w:pPr>
      <w:r>
        <w:rPr>
          <w:rFonts w:ascii="Calibri" w:hAnsi="Calibri"/>
          <w:sz w:val="28"/>
        </w:rPr>
        <w:t xml:space="preserve">On compare le rang TOPSIS et le rang Monte Carlo P50. Δ = |rang TOPSIS − rang MC P50| : si Δ ≤ 3 → pays 'Robuste' (consensus </w:t>
      </w:r>
      <w:r>
        <w:rPr>
          <w:rFonts w:ascii="Calibri" w:hAnsi="Calibri"/>
          <w:sz w:val="28"/>
        </w:rPr>
        <w:t>des méthodes). Si Δ &gt; 5 → pays 'Divergent' (profil atypique, analyse qualitative requise). Un taux de consensus &gt; 70 % valide la fiabilité globale du classement.</w:t>
      </w:r>
    </w:p>
    <w:tbl>
      <w:tblPr>
        <w:tblW w:w="0" w:type="auto"/>
        <w:tblLook w:val="04A0" w:firstRow="1" w:lastRow="0" w:firstColumn="1" w:lastColumn="0" w:noHBand="0" w:noVBand="1"/>
      </w:tblPr>
      <w:tblGrid>
        <w:gridCol w:w="9406"/>
      </w:tblGrid>
      <w:tr w:rsidR="00705809">
        <w:tc>
          <w:tcPr>
            <w:tcW w:w="9406" w:type="dxa"/>
            <w:tcBorders>
              <w:left w:val="single" w:sz="14" w:space="0" w:color="5D8438"/>
            </w:tcBorders>
            <w:shd w:val="clear" w:color="auto" w:fill="F5F5F5"/>
          </w:tcPr>
          <w:p w:rsidR="00705809" w:rsidRDefault="00FC0563">
            <w:pPr>
              <w:spacing w:before="40" w:after="40"/>
            </w:pPr>
            <w:r>
              <w:rPr>
                <w:rFonts w:ascii="Calibri" w:hAnsi="Calibri"/>
                <w:b/>
                <w:color w:val="5D8438"/>
                <w:sz w:val="26"/>
              </w:rPr>
              <w:t>💡</w:t>
            </w:r>
            <w:r>
              <w:rPr>
                <w:rFonts w:ascii="Calibri" w:hAnsi="Calibri"/>
                <w:b/>
                <w:color w:val="5D8438"/>
                <w:sz w:val="26"/>
              </w:rPr>
              <w:t xml:space="preserve">  </w:t>
            </w:r>
            <w:r>
              <w:rPr>
                <w:rFonts w:ascii="Calibri" w:hAnsi="Calibri"/>
                <w:i/>
                <w:sz w:val="26"/>
              </w:rPr>
              <w:t xml:space="preserve">Un pays qui ressort attractif en TOPSIS, stable en Monte Carlo, dans un cluster porteur : </w:t>
            </w:r>
            <w:r>
              <w:rPr>
                <w:rFonts w:ascii="Calibri" w:hAnsi="Calibri"/>
                <w:i/>
                <w:sz w:val="26"/>
              </w:rPr>
              <w:t>la conviction est maximale. La concordance inter-méthodes est notre assurance qualité.</w:t>
            </w:r>
          </w:p>
        </w:tc>
      </w:tr>
    </w:tbl>
    <w:p w:rsidR="00705809" w:rsidRDefault="00705809">
      <w:pPr>
        <w:spacing w:after="80"/>
      </w:pPr>
    </w:p>
    <w:p w:rsidR="00705809" w:rsidRDefault="00705809">
      <w:bookmarkStart w:id="0" w:name="_GoBack"/>
      <w:bookmarkEnd w:id="0"/>
    </w:p>
    <w:sectPr w:rsidR="00705809" w:rsidSect="00034616">
      <w:headerReference w:type="default" r:id="rId8"/>
      <w:footerReference w:type="default" r:id="rId9"/>
      <w:pgSz w:w="12240" w:h="15840"/>
      <w:pgMar w:top="1134" w:right="1417" w:bottom="1134"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C0563" w:rsidRDefault="00FC0563">
      <w:pPr>
        <w:spacing w:after="0" w:line="240" w:lineRule="auto"/>
      </w:pPr>
      <w:r>
        <w:separator/>
      </w:r>
    </w:p>
  </w:endnote>
  <w:endnote w:type="continuationSeparator" w:id="0">
    <w:p w:rsidR="00FC0563" w:rsidRDefault="00FC0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809" w:rsidRDefault="00FC0563">
    <w:pPr>
      <w:pStyle w:val="Pieddepage"/>
      <w:jc w:val="center"/>
    </w:pPr>
    <w:r>
      <w:rPr>
        <w:rFonts w:ascii="Calibri" w:hAnsi="Calibri"/>
        <w:color w:val="595959"/>
      </w:rPr>
      <w:fldChar w:fldCharType="begin"/>
    </w:r>
    <w:r>
      <w:rPr>
        <w:rFonts w:ascii="Calibri" w:hAnsi="Calibri"/>
        <w:color w:val="595959"/>
      </w:rPr>
      <w:instrText>PAGE</w:instrText>
    </w:r>
    <w:r w:rsidR="000A563C">
      <w:rPr>
        <w:rFonts w:ascii="Calibri" w:hAnsi="Calibri"/>
        <w:color w:val="595959"/>
      </w:rPr>
      <w:fldChar w:fldCharType="separate"/>
    </w:r>
    <w:r w:rsidR="000A563C">
      <w:rPr>
        <w:rFonts w:ascii="Calibri" w:hAnsi="Calibri"/>
        <w:noProof/>
        <w:color w:val="595959"/>
      </w:rPr>
      <w:t>6</w:t>
    </w:r>
    <w:r>
      <w:rPr>
        <w:rFonts w:ascii="Calibri" w:hAnsi="Calibri"/>
        <w:color w:val="595959"/>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C0563" w:rsidRDefault="00FC0563">
      <w:pPr>
        <w:spacing w:after="0" w:line="240" w:lineRule="auto"/>
      </w:pPr>
      <w:r>
        <w:separator/>
      </w:r>
    </w:p>
  </w:footnote>
  <w:footnote w:type="continuationSeparator" w:id="0">
    <w:p w:rsidR="00FC0563" w:rsidRDefault="00FC0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5809" w:rsidRDefault="00FC0563">
    <w:pPr>
      <w:pStyle w:val="En-tte"/>
      <w:jc w:val="center"/>
    </w:pPr>
    <w:r>
      <w:rPr>
        <w:rFonts w:ascii="Calibri" w:hAnsi="Calibri"/>
        <w:i/>
        <w:color w:val="595959"/>
      </w:rPr>
      <w:t>Atlantic Re  —  Guide Méthodologique  —  Confidentiel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A563C"/>
    <w:rsid w:val="0015074B"/>
    <w:rsid w:val="0029639D"/>
    <w:rsid w:val="00326F90"/>
    <w:rsid w:val="00705809"/>
    <w:rsid w:val="00AA1D8D"/>
    <w:rsid w:val="00B47730"/>
    <w:rsid w:val="00CB0664"/>
    <w:rsid w:val="00FC056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013939"/>
  <w14:defaultImageDpi w14:val="300"/>
  <w15:docId w15:val="{D80459A5-80BA-4AE9-A98B-E6344C919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02544-88CB-4DDC-B4B8-B4D68155F9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Pages>
  <Words>1252</Words>
  <Characters>6887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Smaiki Anas</cp:lastModifiedBy>
  <cp:revision>2</cp:revision>
  <dcterms:created xsi:type="dcterms:W3CDTF">2013-12-23T23:15:00Z</dcterms:created>
  <dcterms:modified xsi:type="dcterms:W3CDTF">2026-05-12T15:01:00Z</dcterms:modified>
  <cp:category/>
</cp:coreProperties>
</file>