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spacing w:after="120"/>
        <w:jc w:val="center"/>
      </w:pPr>
      <w:r>
        <w:rPr>
          <w:rFonts w:ascii="Calibri" w:hAnsi="Calibri"/>
          <w:b/>
          <w:color w:val="5D8438"/>
          <w:sz w:val="64"/>
        </w:rPr>
        <w:t>ATLANTIC RE</w:t>
      </w:r>
    </w:p>
    <w:p>
      <w:pPr>
        <w:spacing w:after="400"/>
        <w:jc w:val="center"/>
      </w:pPr>
      <w:r>
        <w:rPr>
          <w:rFonts w:ascii="Calibri" w:hAnsi="Calibri"/>
          <w:b/>
          <w:color w:val="595959"/>
          <w:sz w:val="44"/>
        </w:rPr>
        <w:t>Guide Méthodologique</w:t>
      </w:r>
    </w:p>
    <w:p>
      <w:pPr>
        <w:spacing w:after="80"/>
        <w:jc w:val="center"/>
      </w:pPr>
      <w:r>
        <w:rPr>
          <w:rFonts w:ascii="Calibri" w:hAnsi="Calibri"/>
          <w:b/>
          <w:color w:val="000000"/>
          <w:sz w:val="34"/>
        </w:rPr>
        <w:t>Prédictions &amp; Scoring des Marchés Africains</w:t>
      </w:r>
    </w:p>
    <w:p>
      <w:pPr>
        <w:spacing w:after="800"/>
        <w:jc w:val="center"/>
      </w:pPr>
      <w:r>
        <w:rPr>
          <w:rFonts w:ascii="Calibri" w:hAnsi="Calibri"/>
          <w:b w:val="0"/>
          <w:color w:val="98BA6C"/>
          <w:sz w:val="30"/>
        </w:rPr>
        <w:t>Horizon 2030</w:t>
      </w:r>
    </w:p>
    <w:p>
      <w:pPr>
        <w:spacing w:after="600"/>
        <w:jc w:val="center"/>
        <w:pBdr>
          <w:bottom w:val="single" w:sz="10" w:space="1" w:color="5D8438"/>
        </w:pBdr>
      </w:pPr>
    </w:p>
    <w:p>
      <w:pPr>
        <w:spacing w:after="160"/>
        <w:jc w:val="center"/>
      </w:pPr>
      <w:r>
        <w:rPr>
          <w:rFonts w:ascii="Calibri" w:hAnsi="Calibri"/>
          <w:i/>
          <w:color w:val="595959"/>
          <w:sz w:val="26"/>
        </w:rPr>
        <w:t>Mai 2025</w:t>
      </w:r>
    </w:p>
    <w:p>
      <w:pPr>
        <w:spacing w:after="160"/>
        <w:jc w:val="center"/>
      </w:pPr>
      <w:r>
        <w:rPr>
          <w:rFonts w:ascii="Calibri" w:hAnsi="Calibri"/>
          <w:i/>
          <w:color w:val="595959"/>
          <w:sz w:val="22"/>
        </w:rPr>
        <w:t>Pôle Business Développement  —  Document de travail confidentiel</w:t>
      </w:r>
    </w:p>
    <w:p>
      <w:r>
        <w:br w:type="page"/>
      </w:r>
    </w:p>
    <w:p>
      <w:pPr>
        <w:spacing w:before="360" w:after="120"/>
        <w:pBdr>
          <w:bottom w:val="single" w:sz="10" w:space="1" w:color="5D8438"/>
        </w:pBdr>
      </w:pPr>
      <w:r>
        <w:rPr>
          <w:rFonts w:ascii="Calibri" w:hAnsi="Calibri"/>
          <w:b/>
          <w:color w:val="5D8438"/>
          <w:sz w:val="36"/>
        </w:rPr>
        <w:t>PARTIE 1 — PRÉDICTIONS DES MARCHÉS AFRICAINS 2030</w:t>
      </w:r>
    </w:p>
    <w:p>
      <w:pPr>
        <w:spacing w:after="140" w:before="40"/>
        <w:jc w:val="both"/>
      </w:pPr>
      <w:r>
        <w:rPr>
          <w:rFonts w:ascii="Calibri" w:hAnsi="Calibri"/>
          <w:b w:val="0"/>
          <w:i w:val="0"/>
          <w:sz w:val="24"/>
        </w:rPr>
        <w:t>Objectif : projeter 10 indicateurs clés (macro + assurance) pour 33 pays africains à horizon 2030, afin d'alimenter la stratégie de développement d'Atlantic Re. Données historiques 2015–2024 · Sources : Swiss Re Sigma, Banque Mondiale, WGI, Axco Navigator.</w:t>
      </w:r>
    </w:p>
    <w:p>
      <w:pPr>
        <w:spacing w:before="240" w:after="80"/>
      </w:pPr>
      <w:r>
        <w:rPr>
          <w:rFonts w:ascii="Calibri" w:hAnsi="Calibri"/>
          <w:b/>
          <w:color w:val="5D8438"/>
          <w:sz w:val="28"/>
        </w:rPr>
        <w:t>1.  La Logique de Chaînage Séquentiel</w:t>
      </w:r>
    </w:p>
    <w:p>
      <w:pPr>
        <w:spacing w:after="140" w:before="40"/>
        <w:jc w:val="both"/>
      </w:pPr>
      <w:r>
        <w:rPr>
          <w:rFonts w:ascii="Calibri" w:hAnsi="Calibri"/>
          <w:b w:val="0"/>
          <w:i w:val="0"/>
          <w:sz w:val="24"/>
        </w:rPr>
        <w:t>Les primes d'assurance sont une fonction de la richesse économique. On ne peut pas prédire les primes sans d'abord connaître le PIB futur. Notre pipeline respecte cette causalité en trois étapes :</w:t>
      </w:r>
    </w:p>
    <w:tbl>
      <w:tblPr>
        <w:tblW w:type="auto" w:w="0"/>
        <w:jc w:val="left"/>
        <w:tblLook w:firstColumn="1" w:firstRow="1" w:lastColumn="0" w:lastRow="0" w:noHBand="0" w:noVBand="1" w:val="04A0"/>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Pr>
      <w:tblGrid>
        <w:gridCol w:w="3135"/>
        <w:gridCol w:w="3135"/>
        <w:gridCol w:w="3135"/>
      </w:tblGrid>
      <w:tr>
        <w:tc>
          <w:tcPr>
            <w:tcW w:type="dxa" w:w="1587"/>
            <w:shd w:val="clear" w:color="auto" w:fill="DCE7C8"/>
          </w:tcPr>
          <w:p>
            <w:pPr>
              <w:spacing w:after="40" w:before="40"/>
              <w:jc w:val="center"/>
            </w:pPr>
            <w:r>
              <w:rPr>
                <w:rFonts w:ascii="Calibri" w:hAnsi="Calibri"/>
                <w:b/>
                <w:color w:val="28460A"/>
                <w:sz w:val="20"/>
              </w:rPr>
              <w:t>Étape</w:t>
            </w:r>
          </w:p>
        </w:tc>
        <w:tc>
          <w:tcPr>
            <w:tcW w:type="dxa" w:w="3288"/>
            <w:shd w:val="clear" w:color="auto" w:fill="DCE7C8"/>
          </w:tcPr>
          <w:p>
            <w:pPr>
              <w:spacing w:after="40" w:before="40"/>
              <w:jc w:val="center"/>
            </w:pPr>
            <w:r>
              <w:rPr>
                <w:rFonts w:ascii="Calibri" w:hAnsi="Calibri"/>
                <w:b/>
                <w:color w:val="28460A"/>
                <w:sz w:val="20"/>
              </w:rPr>
              <w:t>Indicateurs</w:t>
            </w:r>
          </w:p>
        </w:tc>
        <w:tc>
          <w:tcPr>
            <w:tcW w:type="dxa" w:w="3061"/>
            <w:shd w:val="clear" w:color="auto" w:fill="DCE7C8"/>
          </w:tcPr>
          <w:p>
            <w:pPr>
              <w:spacing w:after="40" w:before="40"/>
              <w:jc w:val="center"/>
            </w:pPr>
            <w:r>
              <w:rPr>
                <w:rFonts w:ascii="Calibri" w:hAnsi="Calibri"/>
                <w:b/>
                <w:color w:val="28460A"/>
                <w:sz w:val="20"/>
              </w:rPr>
              <w:t>Modèle utilisé</w:t>
            </w:r>
          </w:p>
        </w:tc>
      </w:tr>
      <w:tr>
        <w:tc>
          <w:tcPr>
            <w:tcW w:type="dxa" w:w="1587"/>
            <w:shd w:val="clear" w:color="auto" w:fill="FFFFFF"/>
          </w:tcPr>
          <w:p>
            <w:pPr>
              <w:spacing w:after="40" w:before="40"/>
              <w:jc w:val="left"/>
            </w:pPr>
            <w:r>
              <w:rPr>
                <w:rFonts w:ascii="Calibri" w:hAnsi="Calibri"/>
                <w:sz w:val="20"/>
              </w:rPr>
              <w:t>① Fondamentaux</w:t>
              <w:br/>
              <w:t>macro</w:t>
            </w:r>
          </w:p>
        </w:tc>
        <w:tc>
          <w:tcPr>
            <w:tcW w:type="dxa" w:w="3288"/>
            <w:shd w:val="clear" w:color="auto" w:fill="FFFFFF"/>
          </w:tcPr>
          <w:p>
            <w:pPr>
              <w:spacing w:after="40" w:before="40"/>
              <w:jc w:val="center"/>
            </w:pPr>
            <w:r>
              <w:rPr>
                <w:rFonts w:ascii="Calibri" w:hAnsi="Calibri"/>
                <w:sz w:val="20"/>
              </w:rPr>
              <w:t>Population · Croissance PIB</w:t>
              <w:br/>
              <w:t>PIB/habitant · Stabilité politique</w:t>
              <w:br/>
              <w:t>Qualité réglementaire</w:t>
            </w:r>
          </w:p>
        </w:tc>
        <w:tc>
          <w:tcPr>
            <w:tcW w:type="dxa" w:w="3061"/>
            <w:shd w:val="clear" w:color="auto" w:fill="FFFFFF"/>
          </w:tcPr>
          <w:p>
            <w:pPr>
              <w:spacing w:after="40" w:before="40"/>
              <w:jc w:val="center"/>
            </w:pPr>
            <w:r>
              <w:rPr>
                <w:rFonts w:ascii="Calibri" w:hAnsi="Calibri"/>
                <w:sz w:val="20"/>
              </w:rPr>
              <w:t>CAGR géométrique</w:t>
              <w:br/>
              <w:t>AR(2) + Ridge + Axco blend</w:t>
              <w:br/>
              <w:t>FE-OLS + Ridge + ARIMA</w:t>
              <w:br/>
              <w:t>Ridge AR(1) + lag1</w:t>
            </w:r>
          </w:p>
        </w:tc>
      </w:tr>
      <w:tr>
        <w:tc>
          <w:tcPr>
            <w:tcW w:type="dxa" w:w="1587"/>
            <w:shd w:val="clear" w:color="auto" w:fill="F5F5F5"/>
          </w:tcPr>
          <w:p>
            <w:pPr>
              <w:spacing w:after="40" w:before="40"/>
              <w:jc w:val="left"/>
            </w:pPr>
            <w:r>
              <w:rPr>
                <w:rFonts w:ascii="Calibri" w:hAnsi="Calibri"/>
                <w:sz w:val="20"/>
              </w:rPr>
              <w:t>② Indicateurs</w:t>
              <w:br/>
              <w:t>assurantiels</w:t>
            </w:r>
          </w:p>
        </w:tc>
        <w:tc>
          <w:tcPr>
            <w:tcW w:type="dxa" w:w="3288"/>
            <w:shd w:val="clear" w:color="auto" w:fill="F5F5F5"/>
          </w:tcPr>
          <w:p>
            <w:pPr>
              <w:spacing w:after="40" w:before="40"/>
              <w:jc w:val="center"/>
            </w:pPr>
            <w:r>
              <w:rPr>
                <w:rFonts w:ascii="Calibri" w:hAnsi="Calibri"/>
                <w:sz w:val="20"/>
              </w:rPr>
              <w:t>Pénétration Non-Vie · Pénétration Vie</w:t>
              <w:br/>
              <w:t>Ratio Sinistres/Primes (S/P) NV</w:t>
            </w:r>
          </w:p>
        </w:tc>
        <w:tc>
          <w:tcPr>
            <w:tcW w:type="dxa" w:w="3061"/>
            <w:shd w:val="clear" w:color="auto" w:fill="F5F5F5"/>
          </w:tcPr>
          <w:p>
            <w:pPr>
              <w:spacing w:after="40" w:before="40"/>
              <w:jc w:val="center"/>
            </w:pPr>
            <w:r>
              <w:rPr>
                <w:rFonts w:ascii="Calibri" w:hAnsi="Calibri"/>
                <w:sz w:val="20"/>
              </w:rPr>
              <w:t>FE-OLS + Ridge + ARIMA</w:t>
              <w:br/>
              <w:t>Ridge + ARIMA</w:t>
              <w:br/>
              <w:t>AR(2) + Ridge + Tendance</w:t>
            </w:r>
          </w:p>
        </w:tc>
      </w:tr>
      <w:tr>
        <w:tc>
          <w:tcPr>
            <w:tcW w:type="dxa" w:w="1587"/>
            <w:shd w:val="clear" w:color="auto" w:fill="FFFFFF"/>
          </w:tcPr>
          <w:p>
            <w:pPr>
              <w:spacing w:after="40" w:before="40"/>
              <w:jc w:val="left"/>
            </w:pPr>
            <w:r>
              <w:rPr>
                <w:rFonts w:ascii="Calibri" w:hAnsi="Calibri"/>
                <w:sz w:val="20"/>
              </w:rPr>
              <w:t>③ Dérivés</w:t>
              <w:br/>
              <w:t>arithmétiques</w:t>
            </w:r>
          </w:p>
        </w:tc>
        <w:tc>
          <w:tcPr>
            <w:tcW w:type="dxa" w:w="3288"/>
            <w:shd w:val="clear" w:color="auto" w:fill="FFFFFF"/>
          </w:tcPr>
          <w:p>
            <w:pPr>
              <w:spacing w:after="40" w:before="40"/>
              <w:jc w:val="center"/>
            </w:pPr>
            <w:r>
              <w:rPr>
                <w:rFonts w:ascii="Calibri" w:hAnsi="Calibri"/>
                <w:sz w:val="20"/>
              </w:rPr>
              <w:t>Primes NV · Primes Vie · PIB total</w:t>
              <w:br/>
              <w:t>Densité NV · Densité Vie</w:t>
            </w:r>
          </w:p>
        </w:tc>
        <w:tc>
          <w:tcPr>
            <w:tcW w:type="dxa" w:w="3061"/>
            <w:shd w:val="clear" w:color="auto" w:fill="FFFFFF"/>
          </w:tcPr>
          <w:p>
            <w:pPr>
              <w:spacing w:after="40" w:before="40"/>
              <w:jc w:val="center"/>
            </w:pPr>
            <w:r>
              <w:rPr>
                <w:rFonts w:ascii="Calibri" w:hAnsi="Calibri"/>
                <w:sz w:val="20"/>
              </w:rPr>
              <w:t>Formules : Pénétration × PIB</w:t>
              <w:br/>
              <w:t>(pas de ML — cohérence garantie)</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F5F5F5"/>
            <w:tcBorders>
              <w:top w:val="none"/>
              <w:right w:val="none"/>
              <w:bottom w:val="none"/>
              <w:left w:val="single" w:sz="14" w:space="0" w:color="5D8438"/>
            </w:tcBorders>
          </w:tcPr>
          <w:p>
            <w:pPr>
              <w:spacing w:after="40" w:before="40"/>
            </w:pPr>
            <w:r>
              <w:rPr>
                <w:rFonts w:ascii="Calibri" w:hAnsi="Calibri"/>
                <w:b/>
                <w:color w:val="5D8438"/>
                <w:sz w:val="22"/>
              </w:rPr>
              <w:t xml:space="preserve">💡  </w:t>
            </w:r>
            <w:r>
              <w:rPr>
                <w:rFonts w:ascii="Calibri" w:hAnsi="Calibri"/>
                <w:i/>
                <w:sz w:val="22"/>
              </w:rPr>
              <w:t>Prédire les primes directement serait incohérent. En respectant la chaîne Démographie → PIB → Pénétration → Primes, chaque résultat s'appuie sur l'étape précédente — comme les étages d'une fusée.</w:t>
            </w:r>
          </w:p>
        </w:tc>
      </w:tr>
    </w:tbl>
    <w:p>
      <w:pPr>
        <w:spacing w:after="80"/>
      </w:pPr>
    </w:p>
    <w:p>
      <w:pPr>
        <w:spacing w:before="240" w:after="80"/>
      </w:pPr>
      <w:r>
        <w:rPr>
          <w:rFonts w:ascii="Calibri" w:hAnsi="Calibri"/>
          <w:b/>
          <w:color w:val="5D8438"/>
          <w:sz w:val="28"/>
        </w:rPr>
        <w:t>2.  Qualité des Modèles — Métriques de Validation</w:t>
      </w:r>
    </w:p>
    <w:p>
      <w:pPr>
        <w:spacing w:after="140" w:before="40"/>
        <w:jc w:val="both"/>
      </w:pPr>
      <w:r>
        <w:rPr>
          <w:rFonts w:ascii="Calibri" w:hAnsi="Calibri"/>
          <w:b w:val="0"/>
          <w:i w:val="0"/>
          <w:sz w:val="24"/>
        </w:rPr>
        <w:t>Chaque modèle est évalué en mode walk-forward (entraîné sur le passé, testé sur les données inconnues). Quatre métriques complémentaires :</w:t>
      </w:r>
    </w:p>
    <w:p>
      <w:pPr>
        <w:spacing w:after="140" w:before="40"/>
        <w:jc w:val="both"/>
      </w:pPr>
      <w:r>
        <w:rPr>
          <w:rFonts w:ascii="Calibri" w:hAnsi="Calibri"/>
          <w:b w:val="0"/>
          <w:i/>
          <w:color w:val="595959"/>
          <w:sz w:val="22"/>
        </w:rPr>
        <w:t>R² : part de variabilité expliquée (&gt;0,80 = robuste)  ·  MAPE : erreur en % (&lt;10 % = excellent en macro)  ·  q80/q95 : part des vraies valeurs tombant dans l'intervalle de confiance (idéal ≈ cible).</w:t>
      </w:r>
    </w:p>
    <w:tbl>
      <w:tblPr>
        <w:tblW w:type="auto" w:w="0"/>
        <w:jc w:val="left"/>
        <w:tblLook w:firstColumn="1" w:firstRow="1" w:lastColumn="0" w:lastRow="0" w:noHBand="0" w:noVBand="1" w:val="04A0"/>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Pr>
      <w:tblGrid>
        <w:gridCol w:w="1568"/>
        <w:gridCol w:w="1568"/>
        <w:gridCol w:w="1568"/>
        <w:gridCol w:w="1568"/>
        <w:gridCol w:w="1568"/>
        <w:gridCol w:w="1568"/>
      </w:tblGrid>
      <w:tr>
        <w:tc>
          <w:tcPr>
            <w:tcW w:type="dxa" w:w="2154"/>
            <w:shd w:val="clear" w:color="auto" w:fill="DCE7C8"/>
          </w:tcPr>
          <w:p>
            <w:pPr>
              <w:spacing w:after="40" w:before="40"/>
              <w:jc w:val="center"/>
            </w:pPr>
            <w:r>
              <w:rPr>
                <w:rFonts w:ascii="Calibri" w:hAnsi="Calibri"/>
                <w:b/>
                <w:color w:val="28460A"/>
                <w:sz w:val="20"/>
              </w:rPr>
              <w:t>Variable</w:t>
            </w:r>
          </w:p>
        </w:tc>
        <w:tc>
          <w:tcPr>
            <w:tcW w:type="dxa" w:w="2381"/>
            <w:shd w:val="clear" w:color="auto" w:fill="DCE7C8"/>
          </w:tcPr>
          <w:p>
            <w:pPr>
              <w:spacing w:after="40" w:before="40"/>
              <w:jc w:val="center"/>
            </w:pPr>
            <w:r>
              <w:rPr>
                <w:rFonts w:ascii="Calibri" w:hAnsi="Calibri"/>
                <w:b/>
                <w:color w:val="28460A"/>
                <w:sz w:val="20"/>
              </w:rPr>
              <w:t>Modèle</w:t>
            </w:r>
          </w:p>
        </w:tc>
        <w:tc>
          <w:tcPr>
            <w:tcW w:type="dxa" w:w="850"/>
            <w:shd w:val="clear" w:color="auto" w:fill="DCE7C8"/>
          </w:tcPr>
          <w:p>
            <w:pPr>
              <w:spacing w:after="40" w:before="40"/>
              <w:jc w:val="center"/>
            </w:pPr>
            <w:r>
              <w:rPr>
                <w:rFonts w:ascii="Calibri" w:hAnsi="Calibri"/>
                <w:b/>
                <w:color w:val="28460A"/>
                <w:sz w:val="20"/>
              </w:rPr>
              <w:t>R²</w:t>
            </w:r>
          </w:p>
        </w:tc>
        <w:tc>
          <w:tcPr>
            <w:tcW w:type="dxa" w:w="850"/>
            <w:shd w:val="clear" w:color="auto" w:fill="DCE7C8"/>
          </w:tcPr>
          <w:p>
            <w:pPr>
              <w:spacing w:after="40" w:before="40"/>
              <w:jc w:val="center"/>
            </w:pPr>
            <w:r>
              <w:rPr>
                <w:rFonts w:ascii="Calibri" w:hAnsi="Calibri"/>
                <w:b/>
                <w:color w:val="28460A"/>
                <w:sz w:val="20"/>
              </w:rPr>
              <w:t>MAPE</w:t>
            </w:r>
          </w:p>
        </w:tc>
        <w:tc>
          <w:tcPr>
            <w:tcW w:type="dxa" w:w="850"/>
            <w:shd w:val="clear" w:color="auto" w:fill="DCE7C8"/>
          </w:tcPr>
          <w:p>
            <w:pPr>
              <w:spacing w:after="40" w:before="40"/>
              <w:jc w:val="center"/>
            </w:pPr>
            <w:r>
              <w:rPr>
                <w:rFonts w:ascii="Calibri" w:hAnsi="Calibri"/>
                <w:b/>
                <w:color w:val="28460A"/>
                <w:sz w:val="20"/>
              </w:rPr>
              <w:t>q80</w:t>
            </w:r>
          </w:p>
        </w:tc>
        <w:tc>
          <w:tcPr>
            <w:tcW w:type="dxa" w:w="850"/>
            <w:shd w:val="clear" w:color="auto" w:fill="DCE7C8"/>
          </w:tcPr>
          <w:p>
            <w:pPr>
              <w:spacing w:after="40" w:before="40"/>
              <w:jc w:val="center"/>
            </w:pPr>
            <w:r>
              <w:rPr>
                <w:rFonts w:ascii="Calibri" w:hAnsi="Calibri"/>
                <w:b/>
                <w:color w:val="28460A"/>
                <w:sz w:val="20"/>
              </w:rPr>
              <w:t>q95</w:t>
            </w:r>
          </w:p>
        </w:tc>
      </w:tr>
      <w:tr>
        <w:tc>
          <w:tcPr>
            <w:tcW w:type="dxa" w:w="2154"/>
            <w:shd w:val="clear" w:color="auto" w:fill="FFFFFF"/>
          </w:tcPr>
          <w:p>
            <w:pPr>
              <w:spacing w:after="40" w:before="40"/>
              <w:jc w:val="left"/>
            </w:pPr>
            <w:r>
              <w:rPr>
                <w:rFonts w:ascii="Calibri" w:hAnsi="Calibri"/>
                <w:sz w:val="20"/>
              </w:rPr>
              <w:t>Population</w:t>
            </w:r>
          </w:p>
        </w:tc>
        <w:tc>
          <w:tcPr>
            <w:tcW w:type="dxa" w:w="2381"/>
            <w:shd w:val="clear" w:color="auto" w:fill="FFFFFF"/>
          </w:tcPr>
          <w:p>
            <w:pPr>
              <w:spacing w:after="40" w:before="40"/>
              <w:jc w:val="center"/>
            </w:pPr>
            <w:r>
              <w:rPr>
                <w:rFonts w:ascii="Calibri" w:hAnsi="Calibri"/>
                <w:sz w:val="20"/>
              </w:rPr>
              <w:t>CAGR géométrique</w:t>
            </w:r>
          </w:p>
        </w:tc>
        <w:tc>
          <w:tcPr>
            <w:tcW w:type="dxa" w:w="850"/>
            <w:shd w:val="clear" w:color="auto" w:fill="FFFFFF"/>
          </w:tcPr>
          <w:p>
            <w:pPr>
              <w:spacing w:after="40" w:before="40"/>
              <w:jc w:val="center"/>
            </w:pPr>
            <w:r>
              <w:rPr>
                <w:rFonts w:ascii="Calibri" w:hAnsi="Calibri"/>
                <w:sz w:val="20"/>
              </w:rPr>
              <w:t>&gt;0,99</w:t>
            </w:r>
          </w:p>
        </w:tc>
        <w:tc>
          <w:tcPr>
            <w:tcW w:type="dxa" w:w="850"/>
            <w:shd w:val="clear" w:color="auto" w:fill="FFFFFF"/>
          </w:tcPr>
          <w:p>
            <w:pPr>
              <w:spacing w:after="40" w:before="40"/>
              <w:jc w:val="center"/>
            </w:pPr>
            <w:r>
              <w:rPr>
                <w:rFonts w:ascii="Calibri" w:hAnsi="Calibri"/>
                <w:sz w:val="20"/>
              </w:rPr>
              <w:t>&lt;1 %</w:t>
            </w:r>
          </w:p>
        </w:tc>
        <w:tc>
          <w:tcPr>
            <w:tcW w:type="dxa" w:w="850"/>
            <w:shd w:val="clear" w:color="auto" w:fill="FFFFFF"/>
          </w:tcPr>
          <w:p>
            <w:pPr>
              <w:spacing w:after="40" w:before="40"/>
              <w:jc w:val="center"/>
            </w:pPr>
            <w:r>
              <w:rPr>
                <w:rFonts w:ascii="Calibri" w:hAnsi="Calibri"/>
                <w:sz w:val="20"/>
              </w:rPr>
              <w:t>&gt;0,95</w:t>
            </w:r>
          </w:p>
        </w:tc>
        <w:tc>
          <w:tcPr>
            <w:tcW w:type="dxa" w:w="850"/>
            <w:shd w:val="clear" w:color="auto" w:fill="FFFFFF"/>
          </w:tcPr>
          <w:p>
            <w:pPr>
              <w:spacing w:after="40" w:before="40"/>
              <w:jc w:val="center"/>
            </w:pPr>
            <w:r>
              <w:rPr>
                <w:rFonts w:ascii="Calibri" w:hAnsi="Calibri"/>
                <w:sz w:val="20"/>
              </w:rPr>
              <w:t>&gt;0,98</w:t>
            </w:r>
          </w:p>
        </w:tc>
      </w:tr>
      <w:tr>
        <w:tc>
          <w:tcPr>
            <w:tcW w:type="dxa" w:w="2154"/>
            <w:shd w:val="clear" w:color="auto" w:fill="F5F5F5"/>
          </w:tcPr>
          <w:p>
            <w:pPr>
              <w:spacing w:after="40" w:before="40"/>
              <w:jc w:val="left"/>
            </w:pPr>
            <w:r>
              <w:rPr>
                <w:rFonts w:ascii="Calibri" w:hAnsi="Calibri"/>
                <w:sz w:val="20"/>
              </w:rPr>
              <w:t>Croissance PIB</w:t>
            </w:r>
          </w:p>
        </w:tc>
        <w:tc>
          <w:tcPr>
            <w:tcW w:type="dxa" w:w="2381"/>
            <w:shd w:val="clear" w:color="auto" w:fill="F5F5F5"/>
          </w:tcPr>
          <w:p>
            <w:pPr>
              <w:spacing w:after="40" w:before="40"/>
              <w:jc w:val="center"/>
            </w:pPr>
            <w:r>
              <w:rPr>
                <w:rFonts w:ascii="Calibri" w:hAnsi="Calibri"/>
                <w:sz w:val="20"/>
              </w:rPr>
              <w:t>AR(2)+Ridge+Axco</w:t>
            </w:r>
          </w:p>
        </w:tc>
        <w:tc>
          <w:tcPr>
            <w:tcW w:type="dxa" w:w="850"/>
            <w:shd w:val="clear" w:color="auto" w:fill="F5F5F5"/>
          </w:tcPr>
          <w:p>
            <w:pPr>
              <w:spacing w:after="40" w:before="40"/>
              <w:jc w:val="center"/>
            </w:pPr>
            <w:r>
              <w:rPr>
                <w:rFonts w:ascii="Calibri" w:hAnsi="Calibri"/>
                <w:sz w:val="20"/>
              </w:rPr>
              <w:t>—</w:t>
            </w:r>
          </w:p>
        </w:tc>
        <w:tc>
          <w:tcPr>
            <w:tcW w:type="dxa" w:w="850"/>
            <w:shd w:val="clear" w:color="auto" w:fill="F5F5F5"/>
          </w:tcPr>
          <w:p>
            <w:pPr>
              <w:spacing w:after="40" w:before="40"/>
              <w:jc w:val="center"/>
            </w:pPr>
            <w:r>
              <w:rPr>
                <w:rFonts w:ascii="Calibri" w:hAnsi="Calibri"/>
                <w:sz w:val="20"/>
              </w:rPr>
              <w:t>—</w:t>
            </w:r>
          </w:p>
        </w:tc>
        <w:tc>
          <w:tcPr>
            <w:tcW w:type="dxa" w:w="850"/>
            <w:shd w:val="clear" w:color="auto" w:fill="F5F5F5"/>
          </w:tcPr>
          <w:p>
            <w:pPr>
              <w:spacing w:after="40" w:before="40"/>
              <w:jc w:val="center"/>
            </w:pPr>
            <w:r>
              <w:rPr>
                <w:rFonts w:ascii="Calibri" w:hAnsi="Calibri"/>
                <w:sz w:val="20"/>
              </w:rPr>
              <w:t>—</w:t>
            </w:r>
          </w:p>
        </w:tc>
        <w:tc>
          <w:tcPr>
            <w:tcW w:type="dxa" w:w="850"/>
            <w:shd w:val="clear" w:color="auto" w:fill="F5F5F5"/>
          </w:tcPr>
          <w:p>
            <w:pPr>
              <w:spacing w:after="40" w:before="40"/>
              <w:jc w:val="center"/>
            </w:pPr>
            <w:r>
              <w:rPr>
                <w:rFonts w:ascii="Calibri" w:hAnsi="Calibri"/>
                <w:sz w:val="20"/>
              </w:rPr>
              <w:t>—</w:t>
            </w:r>
          </w:p>
        </w:tc>
      </w:tr>
      <w:tr>
        <w:tc>
          <w:tcPr>
            <w:tcW w:type="dxa" w:w="2154"/>
            <w:shd w:val="clear" w:color="auto" w:fill="FFFFFF"/>
          </w:tcPr>
          <w:p>
            <w:pPr>
              <w:spacing w:after="40" w:before="40"/>
              <w:jc w:val="left"/>
            </w:pPr>
            <w:r>
              <w:rPr>
                <w:rFonts w:ascii="Calibri" w:hAnsi="Calibri"/>
                <w:sz w:val="20"/>
              </w:rPr>
              <w:t>PIB / habitant</w:t>
            </w:r>
          </w:p>
        </w:tc>
        <w:tc>
          <w:tcPr>
            <w:tcW w:type="dxa" w:w="2381"/>
            <w:shd w:val="clear" w:color="auto" w:fill="FFFFFF"/>
          </w:tcPr>
          <w:p>
            <w:pPr>
              <w:spacing w:after="40" w:before="40"/>
              <w:jc w:val="center"/>
            </w:pPr>
            <w:r>
              <w:rPr>
                <w:rFonts w:ascii="Calibri" w:hAnsi="Calibri"/>
                <w:sz w:val="20"/>
              </w:rPr>
              <w:t>FE-OLS+Ridge+ARIMA</w:t>
            </w:r>
          </w:p>
        </w:tc>
        <w:tc>
          <w:tcPr>
            <w:tcW w:type="dxa" w:w="850"/>
            <w:shd w:val="clear" w:color="auto" w:fill="FFFFFF"/>
          </w:tcPr>
          <w:p>
            <w:pPr>
              <w:spacing w:after="40" w:before="40"/>
              <w:jc w:val="center"/>
            </w:pPr>
            <w:r>
              <w:rPr>
                <w:rFonts w:ascii="Calibri" w:hAnsi="Calibri"/>
                <w:sz w:val="20"/>
              </w:rPr>
              <w:t>~0,95</w:t>
            </w:r>
          </w:p>
        </w:tc>
        <w:tc>
          <w:tcPr>
            <w:tcW w:type="dxa" w:w="850"/>
            <w:shd w:val="clear" w:color="auto" w:fill="FFFFFF"/>
          </w:tcPr>
          <w:p>
            <w:pPr>
              <w:spacing w:after="40" w:before="40"/>
              <w:jc w:val="center"/>
            </w:pPr>
            <w:r>
              <w:rPr>
                <w:rFonts w:ascii="Calibri" w:hAnsi="Calibri"/>
                <w:sz w:val="20"/>
              </w:rPr>
              <w:t>~5 %</w:t>
            </w:r>
          </w:p>
        </w:tc>
        <w:tc>
          <w:tcPr>
            <w:tcW w:type="dxa" w:w="850"/>
            <w:shd w:val="clear" w:color="auto" w:fill="FFFFFF"/>
          </w:tcPr>
          <w:p>
            <w:pPr>
              <w:spacing w:after="40" w:before="40"/>
              <w:jc w:val="center"/>
            </w:pPr>
            <w:r>
              <w:rPr>
                <w:rFonts w:ascii="Calibri" w:hAnsi="Calibri"/>
                <w:sz w:val="20"/>
              </w:rPr>
              <w:t>~0,85</w:t>
            </w:r>
          </w:p>
        </w:tc>
        <w:tc>
          <w:tcPr>
            <w:tcW w:type="dxa" w:w="850"/>
            <w:shd w:val="clear" w:color="auto" w:fill="FFFFFF"/>
          </w:tcPr>
          <w:p>
            <w:pPr>
              <w:spacing w:after="40" w:before="40"/>
              <w:jc w:val="center"/>
            </w:pPr>
            <w:r>
              <w:rPr>
                <w:rFonts w:ascii="Calibri" w:hAnsi="Calibri"/>
                <w:sz w:val="20"/>
              </w:rPr>
              <w:t>~0,95</w:t>
            </w:r>
          </w:p>
        </w:tc>
      </w:tr>
      <w:tr>
        <w:tc>
          <w:tcPr>
            <w:tcW w:type="dxa" w:w="2154"/>
            <w:shd w:val="clear" w:color="auto" w:fill="F5F5F5"/>
          </w:tcPr>
          <w:p>
            <w:pPr>
              <w:spacing w:after="40" w:before="40"/>
              <w:jc w:val="left"/>
            </w:pPr>
            <w:r>
              <w:rPr>
                <w:rFonts w:ascii="Calibri" w:hAnsi="Calibri"/>
                <w:sz w:val="20"/>
              </w:rPr>
              <w:t>Stabilité politique</w:t>
            </w:r>
          </w:p>
        </w:tc>
        <w:tc>
          <w:tcPr>
            <w:tcW w:type="dxa" w:w="2381"/>
            <w:shd w:val="clear" w:color="auto" w:fill="F5F5F5"/>
          </w:tcPr>
          <w:p>
            <w:pPr>
              <w:spacing w:after="40" w:before="40"/>
              <w:jc w:val="center"/>
            </w:pPr>
            <w:r>
              <w:rPr>
                <w:rFonts w:ascii="Calibri" w:hAnsi="Calibri"/>
                <w:sz w:val="20"/>
              </w:rPr>
              <w:t>Ridge AR(1)+lag1</w:t>
            </w:r>
          </w:p>
        </w:tc>
        <w:tc>
          <w:tcPr>
            <w:tcW w:type="dxa" w:w="850"/>
            <w:shd w:val="clear" w:color="auto" w:fill="F5F5F5"/>
          </w:tcPr>
          <w:p>
            <w:pPr>
              <w:spacing w:after="40" w:before="40"/>
              <w:jc w:val="center"/>
            </w:pPr>
            <w:r>
              <w:rPr>
                <w:rFonts w:ascii="Calibri" w:hAnsi="Calibri"/>
                <w:sz w:val="20"/>
              </w:rPr>
              <w:t>~0,85</w:t>
            </w:r>
          </w:p>
        </w:tc>
        <w:tc>
          <w:tcPr>
            <w:tcW w:type="dxa" w:w="850"/>
            <w:shd w:val="clear" w:color="auto" w:fill="F5F5F5"/>
          </w:tcPr>
          <w:p>
            <w:pPr>
              <w:spacing w:after="40" w:before="40"/>
              <w:jc w:val="center"/>
            </w:pPr>
            <w:r>
              <w:rPr>
                <w:rFonts w:ascii="Calibri" w:hAnsi="Calibri"/>
                <w:sz w:val="20"/>
              </w:rPr>
              <w:t>~10 %</w:t>
            </w:r>
          </w:p>
        </w:tc>
        <w:tc>
          <w:tcPr>
            <w:tcW w:type="dxa" w:w="850"/>
            <w:shd w:val="clear" w:color="auto" w:fill="F5F5F5"/>
          </w:tcPr>
          <w:p>
            <w:pPr>
              <w:spacing w:after="40" w:before="40"/>
              <w:jc w:val="center"/>
            </w:pPr>
            <w:r>
              <w:rPr>
                <w:rFonts w:ascii="Calibri" w:hAnsi="Calibri"/>
                <w:sz w:val="20"/>
              </w:rPr>
              <w:t>~0,80</w:t>
            </w:r>
          </w:p>
        </w:tc>
        <w:tc>
          <w:tcPr>
            <w:tcW w:type="dxa" w:w="850"/>
            <w:shd w:val="clear" w:color="auto" w:fill="F5F5F5"/>
          </w:tcPr>
          <w:p>
            <w:pPr>
              <w:spacing w:after="40" w:before="40"/>
              <w:jc w:val="center"/>
            </w:pPr>
            <w:r>
              <w:rPr>
                <w:rFonts w:ascii="Calibri" w:hAnsi="Calibri"/>
                <w:sz w:val="20"/>
              </w:rPr>
              <w:t>~0,90</w:t>
            </w:r>
          </w:p>
        </w:tc>
      </w:tr>
      <w:tr>
        <w:tc>
          <w:tcPr>
            <w:tcW w:type="dxa" w:w="2154"/>
            <w:shd w:val="clear" w:color="auto" w:fill="FFFFFF"/>
          </w:tcPr>
          <w:p>
            <w:pPr>
              <w:spacing w:after="40" w:before="40"/>
              <w:jc w:val="left"/>
            </w:pPr>
            <w:r>
              <w:rPr>
                <w:rFonts w:ascii="Calibri" w:hAnsi="Calibri"/>
                <w:sz w:val="20"/>
              </w:rPr>
              <w:t>Qualité réglementaire</w:t>
            </w:r>
          </w:p>
        </w:tc>
        <w:tc>
          <w:tcPr>
            <w:tcW w:type="dxa" w:w="2381"/>
            <w:shd w:val="clear" w:color="auto" w:fill="FFFFFF"/>
          </w:tcPr>
          <w:p>
            <w:pPr>
              <w:spacing w:after="40" w:before="40"/>
              <w:jc w:val="center"/>
            </w:pPr>
            <w:r>
              <w:rPr>
                <w:rFonts w:ascii="Calibri" w:hAnsi="Calibri"/>
                <w:sz w:val="20"/>
              </w:rPr>
              <w:t>Ridge AR(1)+lag1</w:t>
            </w:r>
          </w:p>
        </w:tc>
        <w:tc>
          <w:tcPr>
            <w:tcW w:type="dxa" w:w="850"/>
            <w:shd w:val="clear" w:color="auto" w:fill="FFFFFF"/>
          </w:tcPr>
          <w:p>
            <w:pPr>
              <w:spacing w:after="40" w:before="40"/>
              <w:jc w:val="center"/>
            </w:pPr>
            <w:r>
              <w:rPr>
                <w:rFonts w:ascii="Calibri" w:hAnsi="Calibri"/>
                <w:sz w:val="20"/>
              </w:rPr>
              <w:t>~0,85</w:t>
            </w:r>
          </w:p>
        </w:tc>
        <w:tc>
          <w:tcPr>
            <w:tcW w:type="dxa" w:w="850"/>
            <w:shd w:val="clear" w:color="auto" w:fill="FFFFFF"/>
          </w:tcPr>
          <w:p>
            <w:pPr>
              <w:spacing w:after="40" w:before="40"/>
              <w:jc w:val="center"/>
            </w:pPr>
            <w:r>
              <w:rPr>
                <w:rFonts w:ascii="Calibri" w:hAnsi="Calibri"/>
                <w:sz w:val="20"/>
              </w:rPr>
              <w:t>~8 %</w:t>
            </w:r>
          </w:p>
        </w:tc>
        <w:tc>
          <w:tcPr>
            <w:tcW w:type="dxa" w:w="850"/>
            <w:shd w:val="clear" w:color="auto" w:fill="FFFFFF"/>
          </w:tcPr>
          <w:p>
            <w:pPr>
              <w:spacing w:after="40" w:before="40"/>
              <w:jc w:val="center"/>
            </w:pPr>
            <w:r>
              <w:rPr>
                <w:rFonts w:ascii="Calibri" w:hAnsi="Calibri"/>
                <w:sz w:val="20"/>
              </w:rPr>
              <w:t>~0,80</w:t>
            </w:r>
          </w:p>
        </w:tc>
        <w:tc>
          <w:tcPr>
            <w:tcW w:type="dxa" w:w="850"/>
            <w:shd w:val="clear" w:color="auto" w:fill="FFFFFF"/>
          </w:tcPr>
          <w:p>
            <w:pPr>
              <w:spacing w:after="40" w:before="40"/>
              <w:jc w:val="center"/>
            </w:pPr>
            <w:r>
              <w:rPr>
                <w:rFonts w:ascii="Calibri" w:hAnsi="Calibri"/>
                <w:sz w:val="20"/>
              </w:rPr>
              <w:t>~0,90</w:t>
            </w:r>
          </w:p>
        </w:tc>
      </w:tr>
      <w:tr>
        <w:tc>
          <w:tcPr>
            <w:tcW w:type="dxa" w:w="2154"/>
            <w:shd w:val="clear" w:color="auto" w:fill="F5F5F5"/>
          </w:tcPr>
          <w:p>
            <w:pPr>
              <w:spacing w:after="40" w:before="40"/>
              <w:jc w:val="left"/>
            </w:pPr>
            <w:r>
              <w:rPr>
                <w:rFonts w:ascii="Calibri" w:hAnsi="Calibri"/>
                <w:sz w:val="20"/>
              </w:rPr>
              <w:t>Pénétration Non-Vie</w:t>
            </w:r>
          </w:p>
        </w:tc>
        <w:tc>
          <w:tcPr>
            <w:tcW w:type="dxa" w:w="2381"/>
            <w:shd w:val="clear" w:color="auto" w:fill="F5F5F5"/>
          </w:tcPr>
          <w:p>
            <w:pPr>
              <w:spacing w:after="40" w:before="40"/>
              <w:jc w:val="center"/>
            </w:pPr>
            <w:r>
              <w:rPr>
                <w:rFonts w:ascii="Calibri" w:hAnsi="Calibri"/>
                <w:sz w:val="20"/>
              </w:rPr>
              <w:t>FE-OLS+Ridge+ARIMA</w:t>
            </w:r>
          </w:p>
        </w:tc>
        <w:tc>
          <w:tcPr>
            <w:tcW w:type="dxa" w:w="850"/>
            <w:shd w:val="clear" w:color="auto" w:fill="F5F5F5"/>
          </w:tcPr>
          <w:p>
            <w:pPr>
              <w:spacing w:after="40" w:before="40"/>
              <w:jc w:val="center"/>
            </w:pPr>
            <w:r>
              <w:rPr>
                <w:rFonts w:ascii="Calibri" w:hAnsi="Calibri"/>
                <w:sz w:val="20"/>
              </w:rPr>
              <w:t>~0,80</w:t>
            </w:r>
          </w:p>
        </w:tc>
        <w:tc>
          <w:tcPr>
            <w:tcW w:type="dxa" w:w="850"/>
            <w:shd w:val="clear" w:color="auto" w:fill="F5F5F5"/>
          </w:tcPr>
          <w:p>
            <w:pPr>
              <w:spacing w:after="40" w:before="40"/>
              <w:jc w:val="center"/>
            </w:pPr>
            <w:r>
              <w:rPr>
                <w:rFonts w:ascii="Calibri" w:hAnsi="Calibri"/>
                <w:sz w:val="20"/>
              </w:rPr>
              <w:t>~12 %</w:t>
            </w:r>
          </w:p>
        </w:tc>
        <w:tc>
          <w:tcPr>
            <w:tcW w:type="dxa" w:w="850"/>
            <w:shd w:val="clear" w:color="auto" w:fill="F5F5F5"/>
          </w:tcPr>
          <w:p>
            <w:pPr>
              <w:spacing w:after="40" w:before="40"/>
              <w:jc w:val="center"/>
            </w:pPr>
            <w:r>
              <w:rPr>
                <w:rFonts w:ascii="Calibri" w:hAnsi="Calibri"/>
                <w:sz w:val="20"/>
              </w:rPr>
              <w:t>~0,75</w:t>
            </w:r>
          </w:p>
        </w:tc>
        <w:tc>
          <w:tcPr>
            <w:tcW w:type="dxa" w:w="850"/>
            <w:shd w:val="clear" w:color="auto" w:fill="F5F5F5"/>
          </w:tcPr>
          <w:p>
            <w:pPr>
              <w:spacing w:after="40" w:before="40"/>
              <w:jc w:val="center"/>
            </w:pPr>
            <w:r>
              <w:rPr>
                <w:rFonts w:ascii="Calibri" w:hAnsi="Calibri"/>
                <w:sz w:val="20"/>
              </w:rPr>
              <w:t>~0,90</w:t>
            </w:r>
          </w:p>
        </w:tc>
      </w:tr>
      <w:tr>
        <w:tc>
          <w:tcPr>
            <w:tcW w:type="dxa" w:w="2154"/>
            <w:shd w:val="clear" w:color="auto" w:fill="FFFFFF"/>
          </w:tcPr>
          <w:p>
            <w:pPr>
              <w:spacing w:after="40" w:before="40"/>
              <w:jc w:val="left"/>
            </w:pPr>
            <w:r>
              <w:rPr>
                <w:rFonts w:ascii="Calibri" w:hAnsi="Calibri"/>
                <w:sz w:val="20"/>
              </w:rPr>
              <w:t>Pénétration Vie</w:t>
            </w:r>
          </w:p>
        </w:tc>
        <w:tc>
          <w:tcPr>
            <w:tcW w:type="dxa" w:w="2381"/>
            <w:shd w:val="clear" w:color="auto" w:fill="FFFFFF"/>
          </w:tcPr>
          <w:p>
            <w:pPr>
              <w:spacing w:after="40" w:before="40"/>
              <w:jc w:val="center"/>
            </w:pPr>
            <w:r>
              <w:rPr>
                <w:rFonts w:ascii="Calibri" w:hAnsi="Calibri"/>
                <w:sz w:val="20"/>
              </w:rPr>
              <w:t>Ridge+ARIMA</w:t>
            </w:r>
          </w:p>
        </w:tc>
        <w:tc>
          <w:tcPr>
            <w:tcW w:type="dxa" w:w="850"/>
            <w:shd w:val="clear" w:color="auto" w:fill="FFFFFF"/>
          </w:tcPr>
          <w:p>
            <w:pPr>
              <w:spacing w:after="40" w:before="40"/>
              <w:jc w:val="center"/>
            </w:pPr>
            <w:r>
              <w:rPr>
                <w:rFonts w:ascii="Calibri" w:hAnsi="Calibri"/>
                <w:sz w:val="20"/>
              </w:rPr>
              <w:t>~0,75</w:t>
            </w:r>
          </w:p>
        </w:tc>
        <w:tc>
          <w:tcPr>
            <w:tcW w:type="dxa" w:w="850"/>
            <w:shd w:val="clear" w:color="auto" w:fill="FFFFFF"/>
          </w:tcPr>
          <w:p>
            <w:pPr>
              <w:spacing w:after="40" w:before="40"/>
              <w:jc w:val="center"/>
            </w:pPr>
            <w:r>
              <w:rPr>
                <w:rFonts w:ascii="Calibri" w:hAnsi="Calibri"/>
                <w:sz w:val="20"/>
              </w:rPr>
              <w:t>~15 %</w:t>
            </w:r>
          </w:p>
        </w:tc>
        <w:tc>
          <w:tcPr>
            <w:tcW w:type="dxa" w:w="850"/>
            <w:shd w:val="clear" w:color="auto" w:fill="FFFFFF"/>
          </w:tcPr>
          <w:p>
            <w:pPr>
              <w:spacing w:after="40" w:before="40"/>
              <w:jc w:val="center"/>
            </w:pPr>
            <w:r>
              <w:rPr>
                <w:rFonts w:ascii="Calibri" w:hAnsi="Calibri"/>
                <w:sz w:val="20"/>
              </w:rPr>
              <w:t>~0,70</w:t>
            </w:r>
          </w:p>
        </w:tc>
        <w:tc>
          <w:tcPr>
            <w:tcW w:type="dxa" w:w="850"/>
            <w:shd w:val="clear" w:color="auto" w:fill="FFFFFF"/>
          </w:tcPr>
          <w:p>
            <w:pPr>
              <w:spacing w:after="40" w:before="40"/>
              <w:jc w:val="center"/>
            </w:pPr>
            <w:r>
              <w:rPr>
                <w:rFonts w:ascii="Calibri" w:hAnsi="Calibri"/>
                <w:sz w:val="20"/>
              </w:rPr>
              <w:t>~0,85</w:t>
            </w:r>
          </w:p>
        </w:tc>
      </w:tr>
      <w:tr>
        <w:tc>
          <w:tcPr>
            <w:tcW w:type="dxa" w:w="2154"/>
            <w:shd w:val="clear" w:color="auto" w:fill="F5F5F5"/>
          </w:tcPr>
          <w:p>
            <w:pPr>
              <w:spacing w:after="40" w:before="40"/>
              <w:jc w:val="left"/>
            </w:pPr>
            <w:r>
              <w:rPr>
                <w:rFonts w:ascii="Calibri" w:hAnsi="Calibri"/>
                <w:sz w:val="20"/>
              </w:rPr>
              <w:t>S/P Non-Vie</w:t>
            </w:r>
          </w:p>
        </w:tc>
        <w:tc>
          <w:tcPr>
            <w:tcW w:type="dxa" w:w="2381"/>
            <w:shd w:val="clear" w:color="auto" w:fill="F5F5F5"/>
          </w:tcPr>
          <w:p>
            <w:pPr>
              <w:spacing w:after="40" w:before="40"/>
              <w:jc w:val="center"/>
            </w:pPr>
            <w:r>
              <w:rPr>
                <w:rFonts w:ascii="Calibri" w:hAnsi="Calibri"/>
                <w:sz w:val="20"/>
              </w:rPr>
              <w:t>AR(2)+Ridge+Tendance</w:t>
            </w:r>
          </w:p>
        </w:tc>
        <w:tc>
          <w:tcPr>
            <w:tcW w:type="dxa" w:w="850"/>
            <w:shd w:val="clear" w:color="auto" w:fill="F5F5F5"/>
          </w:tcPr>
          <w:p>
            <w:pPr>
              <w:spacing w:after="40" w:before="40"/>
              <w:jc w:val="center"/>
            </w:pPr>
            <w:r>
              <w:rPr>
                <w:rFonts w:ascii="Calibri" w:hAnsi="Calibri"/>
                <w:sz w:val="20"/>
              </w:rPr>
              <w:t>~0,60</w:t>
            </w:r>
          </w:p>
        </w:tc>
        <w:tc>
          <w:tcPr>
            <w:tcW w:type="dxa" w:w="850"/>
            <w:shd w:val="clear" w:color="auto" w:fill="F5F5F5"/>
          </w:tcPr>
          <w:p>
            <w:pPr>
              <w:spacing w:after="40" w:before="40"/>
              <w:jc w:val="center"/>
            </w:pPr>
            <w:r>
              <w:rPr>
                <w:rFonts w:ascii="Calibri" w:hAnsi="Calibri"/>
                <w:sz w:val="20"/>
              </w:rPr>
              <w:t>~15 %</w:t>
            </w:r>
          </w:p>
        </w:tc>
        <w:tc>
          <w:tcPr>
            <w:tcW w:type="dxa" w:w="850"/>
            <w:shd w:val="clear" w:color="auto" w:fill="F5F5F5"/>
          </w:tcPr>
          <w:p>
            <w:pPr>
              <w:spacing w:after="40" w:before="40"/>
              <w:jc w:val="center"/>
            </w:pPr>
            <w:r>
              <w:rPr>
                <w:rFonts w:ascii="Calibri" w:hAnsi="Calibri"/>
                <w:sz w:val="20"/>
              </w:rPr>
              <w:t>~0,65</w:t>
            </w:r>
          </w:p>
        </w:tc>
        <w:tc>
          <w:tcPr>
            <w:tcW w:type="dxa" w:w="850"/>
            <w:shd w:val="clear" w:color="auto" w:fill="F5F5F5"/>
          </w:tcPr>
          <w:p>
            <w:pPr>
              <w:spacing w:after="40" w:before="40"/>
              <w:jc w:val="center"/>
            </w:pPr>
            <w:r>
              <w:rPr>
                <w:rFonts w:ascii="Calibri" w:hAnsi="Calibri"/>
                <w:sz w:val="20"/>
              </w:rPr>
              <w:t>~0,80</w:t>
            </w:r>
          </w:p>
        </w:tc>
      </w:tr>
    </w:tbl>
    <w:p>
      <w:pPr>
        <w:spacing w:after="80"/>
      </w:pPr>
    </w:p>
    <w:p>
      <w:pPr>
        <w:spacing w:after="80" w:before="40"/>
        <w:jc w:val="both"/>
      </w:pPr>
      <w:r>
        <w:rPr>
          <w:rFonts w:ascii="Calibri" w:hAnsi="Calibri"/>
          <w:b w:val="0"/>
          <w:i/>
          <w:color w:val="595959"/>
          <w:sz w:val="18"/>
        </w:rPr>
        <w:t>* Métriques indicatives — valeurs exactes calculées dynamiquement dans l'application SCAR. La Croissance PIB n'a pas de R² car elle est validée par concordance avec Axco Navigator.</w:t>
      </w:r>
    </w:p>
    <w:p>
      <w:pPr>
        <w:spacing w:after="140" w:before="40"/>
        <w:jc w:val="both"/>
      </w:pPr>
      <w:r>
        <w:rPr>
          <w:rFonts w:ascii="Calibri" w:hAnsi="Calibri"/>
          <w:b w:val="0"/>
          <w:i w:val="0"/>
          <w:sz w:val="24"/>
        </w:rPr>
        <w:t>Chaque projection est accompagnée d'un intervalle de confiance à 95 % (méthode Conformal Prediction), permettant de raisonner en scénario central / optimiste / pessimiste.</w:t>
      </w:r>
    </w:p>
    <w:p>
      <w:r>
        <w:br w:type="page"/>
      </w:r>
    </w:p>
    <w:p>
      <w:pPr>
        <w:spacing w:before="360" w:after="120"/>
        <w:pBdr>
          <w:bottom w:val="single" w:sz="10" w:space="1" w:color="5D8438"/>
        </w:pBdr>
      </w:pPr>
      <w:r>
        <w:rPr>
          <w:rFonts w:ascii="Calibri" w:hAnsi="Calibri"/>
          <w:b/>
          <w:color w:val="5D8438"/>
          <w:sz w:val="36"/>
        </w:rPr>
        <w:t>PARTIE 2 — SCORING ET CLASSEMENT DES MARCHÉS</w:t>
      </w:r>
    </w:p>
    <w:p>
      <w:pPr>
        <w:spacing w:after="140" w:before="40"/>
        <w:jc w:val="both"/>
      </w:pPr>
      <w:r>
        <w:rPr>
          <w:rFonts w:ascii="Calibri" w:hAnsi="Calibri"/>
          <w:b w:val="0"/>
          <w:i w:val="0"/>
          <w:sz w:val="24"/>
        </w:rPr>
        <w:t>Transformer les 10 indicateurs projetés en un score unique d'attractivité par pays pour répondre à la question stratégique : quels marchés africains sont les plus prometteurs pour Atlantic Re à horizon 2030 ?</w:t>
      </w:r>
    </w:p>
    <w:p>
      <w:pPr>
        <w:spacing w:after="140" w:before="40"/>
        <w:jc w:val="both"/>
      </w:pPr>
      <w:r>
        <w:rPr>
          <w:rFonts w:ascii="Calibri" w:hAnsi="Calibri"/>
          <w:b w:val="0"/>
          <w:i/>
          <w:color w:val="595959"/>
          <w:sz w:val="24"/>
        </w:rPr>
        <w:t>Pour garantir la robustesse du classement, nous utilisons 4 méthodes complémentaires et les confrontons : la concordance entre elles est elle-même un indicateur de fiabilité.</w:t>
      </w:r>
    </w:p>
    <w:p>
      <w:pPr>
        <w:spacing w:before="240" w:after="80"/>
      </w:pPr>
      <w:r>
        <w:rPr>
          <w:rFonts w:ascii="Calibri" w:hAnsi="Calibri"/>
          <w:b/>
          <w:color w:val="5D8438"/>
          <w:sz w:val="28"/>
        </w:rPr>
        <w:t>3.  Les 4 Méthodes de Scoring</w:t>
      </w:r>
    </w:p>
    <w:tbl>
      <w:tblPr>
        <w:tblW w:type="auto" w:w="0"/>
        <w:jc w:val="left"/>
        <w:tblLook w:firstColumn="1" w:firstRow="1" w:lastColumn="0" w:lastRow="0" w:noHBand="0" w:noVBand="1" w:val="04A0"/>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Pr>
      <w:tblGrid>
        <w:gridCol w:w="3135"/>
        <w:gridCol w:w="3135"/>
        <w:gridCol w:w="3135"/>
      </w:tblGrid>
      <w:tr>
        <w:tc>
          <w:tcPr>
            <w:tcW w:type="dxa" w:w="1587"/>
            <w:shd w:val="clear" w:color="auto" w:fill="DCE7C8"/>
          </w:tcPr>
          <w:p>
            <w:pPr>
              <w:spacing w:after="40" w:before="40"/>
              <w:jc w:val="center"/>
            </w:pPr>
            <w:r>
              <w:rPr>
                <w:rFonts w:ascii="Calibri" w:hAnsi="Calibri"/>
                <w:b/>
                <w:color w:val="28460A"/>
                <w:sz w:val="20"/>
              </w:rPr>
              <w:t>Méthode</w:t>
            </w:r>
          </w:p>
        </w:tc>
        <w:tc>
          <w:tcPr>
            <w:tcW w:type="dxa" w:w="3515"/>
            <w:shd w:val="clear" w:color="auto" w:fill="DCE7C8"/>
          </w:tcPr>
          <w:p>
            <w:pPr>
              <w:spacing w:after="40" w:before="40"/>
              <w:jc w:val="center"/>
            </w:pPr>
            <w:r>
              <w:rPr>
                <w:rFonts w:ascii="Calibri" w:hAnsi="Calibri"/>
                <w:b/>
                <w:color w:val="28460A"/>
                <w:sz w:val="20"/>
              </w:rPr>
              <w:t>Principe</w:t>
            </w:r>
          </w:p>
        </w:tc>
        <w:tc>
          <w:tcPr>
            <w:tcW w:type="dxa" w:w="2835"/>
            <w:shd w:val="clear" w:color="auto" w:fill="DCE7C8"/>
          </w:tcPr>
          <w:p>
            <w:pPr>
              <w:spacing w:after="40" w:before="40"/>
              <w:jc w:val="center"/>
            </w:pPr>
            <w:r>
              <w:rPr>
                <w:rFonts w:ascii="Calibri" w:hAnsi="Calibri"/>
                <w:b/>
                <w:color w:val="28460A"/>
                <w:sz w:val="20"/>
              </w:rPr>
              <w:t>Ce qu'elle apporte</w:t>
            </w:r>
          </w:p>
        </w:tc>
      </w:tr>
      <w:tr>
        <w:tc>
          <w:tcPr>
            <w:tcW w:type="dxa" w:w="1587"/>
            <w:shd w:val="clear" w:color="auto" w:fill="FFFFFF"/>
          </w:tcPr>
          <w:p>
            <w:pPr>
              <w:spacing w:after="40" w:before="40"/>
              <w:jc w:val="left"/>
            </w:pPr>
            <w:r>
              <w:rPr>
                <w:rFonts w:ascii="Calibri" w:hAnsi="Calibri"/>
                <w:sz w:val="20"/>
              </w:rPr>
              <w:t>TOPSIS</w:t>
              <w:br/>
              <w:t>+ Poids PCA</w:t>
            </w:r>
          </w:p>
        </w:tc>
        <w:tc>
          <w:tcPr>
            <w:tcW w:type="dxa" w:w="3515"/>
            <w:shd w:val="clear" w:color="auto" w:fill="FFFFFF"/>
          </w:tcPr>
          <w:p>
            <w:pPr>
              <w:spacing w:after="40" w:before="40"/>
              <w:jc w:val="center"/>
            </w:pPr>
            <w:r>
              <w:rPr>
                <w:rFonts w:ascii="Calibri" w:hAnsi="Calibri"/>
                <w:sz w:val="20"/>
              </w:rPr>
              <w:t>Classer chaque pays par sa distance au 'marché idéal' fictif, pondérée objectivement par la PCA (les critères les plus discriminants reçoivent plus de poids).</w:t>
            </w:r>
          </w:p>
        </w:tc>
        <w:tc>
          <w:tcPr>
            <w:tcW w:type="dxa" w:w="2835"/>
            <w:shd w:val="clear" w:color="auto" w:fill="FFFFFF"/>
          </w:tcPr>
          <w:p>
            <w:pPr>
              <w:spacing w:after="40" w:before="40"/>
              <w:jc w:val="center"/>
            </w:pPr>
            <w:r>
              <w:rPr>
                <w:rFonts w:ascii="Calibri" w:hAnsi="Calibri"/>
                <w:sz w:val="20"/>
              </w:rPr>
              <w:t>Un score unique 0–1 · Élimine le biais humain dans la pondération</w:t>
            </w:r>
          </w:p>
        </w:tc>
      </w:tr>
      <w:tr>
        <w:tc>
          <w:tcPr>
            <w:tcW w:type="dxa" w:w="1587"/>
            <w:shd w:val="clear" w:color="auto" w:fill="F5F5F5"/>
          </w:tcPr>
          <w:p>
            <w:pPr>
              <w:spacing w:after="40" w:before="40"/>
              <w:jc w:val="left"/>
            </w:pPr>
            <w:r>
              <w:rPr>
                <w:rFonts w:ascii="Calibri" w:hAnsi="Calibri"/>
                <w:sz w:val="20"/>
              </w:rPr>
              <w:t>TOPSIS</w:t>
              <w:br/>
              <w:t>Équipondéré</w:t>
            </w:r>
          </w:p>
        </w:tc>
        <w:tc>
          <w:tcPr>
            <w:tcW w:type="dxa" w:w="3515"/>
            <w:shd w:val="clear" w:color="auto" w:fill="F5F5F5"/>
          </w:tcPr>
          <w:p>
            <w:pPr>
              <w:spacing w:after="40" w:before="40"/>
              <w:jc w:val="center"/>
            </w:pPr>
            <w:r>
              <w:rPr>
                <w:rFonts w:ascii="Calibri" w:hAnsi="Calibri"/>
                <w:sz w:val="20"/>
              </w:rPr>
              <w:t>Même principe mais tous les critères ont le même poids. Sert de référence pour mesurer l'impact de la pondération PCA.</w:t>
            </w:r>
          </w:p>
        </w:tc>
        <w:tc>
          <w:tcPr>
            <w:tcW w:type="dxa" w:w="2835"/>
            <w:shd w:val="clear" w:color="auto" w:fill="F5F5F5"/>
          </w:tcPr>
          <w:p>
            <w:pPr>
              <w:spacing w:after="40" w:before="40"/>
              <w:jc w:val="center"/>
            </w:pPr>
            <w:r>
              <w:rPr>
                <w:rFonts w:ascii="Calibri" w:hAnsi="Calibri"/>
                <w:sz w:val="20"/>
              </w:rPr>
              <w:t>Comparaison et test de sensibilité à la pondération</w:t>
            </w:r>
          </w:p>
        </w:tc>
      </w:tr>
      <w:tr>
        <w:tc>
          <w:tcPr>
            <w:tcW w:type="dxa" w:w="1587"/>
            <w:shd w:val="clear" w:color="auto" w:fill="FFFFFF"/>
          </w:tcPr>
          <w:p>
            <w:pPr>
              <w:spacing w:after="40" w:before="40"/>
              <w:jc w:val="left"/>
            </w:pPr>
            <w:r>
              <w:rPr>
                <w:rFonts w:ascii="Calibri" w:hAnsi="Calibri"/>
                <w:sz w:val="20"/>
              </w:rPr>
              <w:t>Clustering</w:t>
              <w:br/>
              <w:t>K-Means + t-SNE</w:t>
            </w:r>
          </w:p>
        </w:tc>
        <w:tc>
          <w:tcPr>
            <w:tcW w:type="dxa" w:w="3515"/>
            <w:shd w:val="clear" w:color="auto" w:fill="FFFFFF"/>
          </w:tcPr>
          <w:p>
            <w:pPr>
              <w:spacing w:after="40" w:before="40"/>
              <w:jc w:val="center"/>
            </w:pPr>
            <w:r>
              <w:rPr>
                <w:rFonts w:ascii="Calibri" w:hAnsi="Calibri"/>
                <w:sz w:val="20"/>
              </w:rPr>
              <w:t>Regrouper les 33 pays en 4 familles de marchés aux profils similaires sur les 7 critères, puis visualiser en 2D (t-SNE).</w:t>
            </w:r>
          </w:p>
        </w:tc>
        <w:tc>
          <w:tcPr>
            <w:tcW w:type="dxa" w:w="2835"/>
            <w:shd w:val="clear" w:color="auto" w:fill="FFFFFF"/>
          </w:tcPr>
          <w:p>
            <w:pPr>
              <w:spacing w:after="40" w:before="40"/>
              <w:jc w:val="center"/>
            </w:pPr>
            <w:r>
              <w:rPr>
                <w:rFonts w:ascii="Calibri" w:hAnsi="Calibri"/>
                <w:sz w:val="20"/>
              </w:rPr>
              <w:t>Vision stratégique par segment · Marchés comparables identifiés</w:t>
            </w:r>
          </w:p>
        </w:tc>
      </w:tr>
      <w:tr>
        <w:tc>
          <w:tcPr>
            <w:tcW w:type="dxa" w:w="1587"/>
            <w:shd w:val="clear" w:color="auto" w:fill="F5F5F5"/>
          </w:tcPr>
          <w:p>
            <w:pPr>
              <w:spacing w:after="40" w:before="40"/>
              <w:jc w:val="left"/>
            </w:pPr>
            <w:r>
              <w:rPr>
                <w:rFonts w:ascii="Calibri" w:hAnsi="Calibri"/>
                <w:sz w:val="20"/>
              </w:rPr>
              <w:t>Monte Carlo</w:t>
              <w:br/>
              <w:t>10 000 itérations</w:t>
            </w:r>
          </w:p>
        </w:tc>
        <w:tc>
          <w:tcPr>
            <w:tcW w:type="dxa" w:w="3515"/>
            <w:shd w:val="clear" w:color="auto" w:fill="F5F5F5"/>
          </w:tcPr>
          <w:p>
            <w:pPr>
              <w:spacing w:after="40" w:before="40"/>
              <w:jc w:val="center"/>
            </w:pPr>
            <w:r>
              <w:rPr>
                <w:rFonts w:ascii="Calibri" w:hAnsi="Calibri"/>
                <w:sz w:val="20"/>
              </w:rPr>
              <w:t>Répéter TOPSIS 10 000 fois avec des poids légèrement différents à chaque fois. Analyser la distribution des rangs obtenus.</w:t>
            </w:r>
          </w:p>
        </w:tc>
        <w:tc>
          <w:tcPr>
            <w:tcW w:type="dxa" w:w="2835"/>
            <w:shd w:val="clear" w:color="auto" w:fill="F5F5F5"/>
          </w:tcPr>
          <w:p>
            <w:pPr>
              <w:spacing w:after="40" w:before="40"/>
              <w:jc w:val="center"/>
            </w:pPr>
            <w:r>
              <w:rPr>
                <w:rFonts w:ascii="Calibri" w:hAnsi="Calibri"/>
                <w:sz w:val="20"/>
              </w:rPr>
              <w:t>Rang P50 · IC[P10–P90] · Proba Top 5/10 · Score de stabilité</w:t>
            </w:r>
          </w:p>
        </w:tc>
      </w:tr>
    </w:tbl>
    <w:p>
      <w:pPr>
        <w:spacing w:after="80"/>
      </w:pPr>
    </w:p>
    <w:p>
      <w:pPr>
        <w:spacing w:before="240" w:after="80"/>
      </w:pPr>
      <w:r>
        <w:rPr>
          <w:rFonts w:ascii="Calibri" w:hAnsi="Calibri"/>
          <w:b/>
          <w:color w:val="5D8438"/>
          <w:sz w:val="28"/>
        </w:rPr>
        <w:t>4.  Lire les Résultats Monte Carlo</w:t>
      </w:r>
    </w:p>
    <w:p>
      <w:pPr>
        <w:spacing w:after="140" w:before="40"/>
        <w:jc w:val="both"/>
      </w:pPr>
      <w:r>
        <w:rPr>
          <w:rFonts w:ascii="Calibri" w:hAnsi="Calibri"/>
          <w:b w:val="0"/>
          <w:i w:val="0"/>
          <w:sz w:val="24"/>
        </w:rPr>
        <w:t>Monte Carlo transforme un rang unique en une distribution de probabilités. Au lieu de dire 'le Sénégal est 7ème', on dit 'le Sénégal a 85 % de probabilité d'être dans le top 10' — information décisionnelle bien plus riche.</w:t>
      </w:r>
    </w:p>
    <w:tbl>
      <w:tblPr>
        <w:tblW w:type="auto" w:w="0"/>
        <w:jc w:val="left"/>
        <w:tblLook w:firstColumn="1" w:firstRow="1" w:lastColumn="0" w:lastRow="0" w:noHBand="0" w:noVBand="1" w:val="04A0"/>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Pr>
      <w:tblGrid>
        <w:gridCol w:w="4703"/>
        <w:gridCol w:w="4703"/>
      </w:tblGrid>
      <w:tr>
        <w:tc>
          <w:tcPr>
            <w:tcW w:type="dxa" w:w="1984"/>
            <w:shd w:val="clear" w:color="auto" w:fill="DCE7C8"/>
          </w:tcPr>
          <w:p>
            <w:pPr>
              <w:spacing w:after="40" w:before="40"/>
              <w:jc w:val="center"/>
            </w:pPr>
            <w:r>
              <w:rPr>
                <w:rFonts w:ascii="Calibri" w:hAnsi="Calibri"/>
                <w:b/>
                <w:color w:val="28460A"/>
                <w:sz w:val="20"/>
              </w:rPr>
              <w:t>Indicateur</w:t>
            </w:r>
          </w:p>
        </w:tc>
        <w:tc>
          <w:tcPr>
            <w:tcW w:type="dxa" w:w="5953"/>
            <w:shd w:val="clear" w:color="auto" w:fill="DCE7C8"/>
          </w:tcPr>
          <w:p>
            <w:pPr>
              <w:spacing w:after="40" w:before="40"/>
              <w:jc w:val="center"/>
            </w:pPr>
            <w:r>
              <w:rPr>
                <w:rFonts w:ascii="Calibri" w:hAnsi="Calibri"/>
                <w:b/>
                <w:color w:val="28460A"/>
                <w:sz w:val="20"/>
              </w:rPr>
              <w:t>Définition métier</w:t>
            </w:r>
          </w:p>
        </w:tc>
      </w:tr>
      <w:tr>
        <w:tc>
          <w:tcPr>
            <w:tcW w:type="dxa" w:w="1984"/>
            <w:shd w:val="clear" w:color="auto" w:fill="FFFFFF"/>
          </w:tcPr>
          <w:p>
            <w:pPr>
              <w:spacing w:after="40" w:before="40"/>
              <w:jc w:val="left"/>
            </w:pPr>
            <w:r>
              <w:rPr>
                <w:rFonts w:ascii="Calibri" w:hAnsi="Calibri"/>
                <w:sz w:val="20"/>
              </w:rPr>
              <w:t>Rang P50</w:t>
            </w:r>
          </w:p>
        </w:tc>
        <w:tc>
          <w:tcPr>
            <w:tcW w:type="dxa" w:w="5953"/>
            <w:shd w:val="clear" w:color="auto" w:fill="FFFFFF"/>
          </w:tcPr>
          <w:p>
            <w:pPr>
              <w:spacing w:after="40" w:before="40"/>
              <w:jc w:val="center"/>
            </w:pPr>
            <w:r>
              <w:rPr>
                <w:rFonts w:ascii="Calibri" w:hAnsi="Calibri"/>
                <w:sz w:val="20"/>
              </w:rPr>
              <w:t>Rang médian sur les 10 000 simulations = classement le plus probable</w:t>
            </w:r>
          </w:p>
        </w:tc>
      </w:tr>
      <w:tr>
        <w:tc>
          <w:tcPr>
            <w:tcW w:type="dxa" w:w="1984"/>
            <w:shd w:val="clear" w:color="auto" w:fill="F5F5F5"/>
          </w:tcPr>
          <w:p>
            <w:pPr>
              <w:spacing w:after="40" w:before="40"/>
              <w:jc w:val="left"/>
            </w:pPr>
            <w:r>
              <w:rPr>
                <w:rFonts w:ascii="Calibri" w:hAnsi="Calibri"/>
                <w:sz w:val="20"/>
              </w:rPr>
              <w:t>IC [P10–P90]</w:t>
            </w:r>
          </w:p>
        </w:tc>
        <w:tc>
          <w:tcPr>
            <w:tcW w:type="dxa" w:w="5953"/>
            <w:shd w:val="clear" w:color="auto" w:fill="F5F5F5"/>
          </w:tcPr>
          <w:p>
            <w:pPr>
              <w:spacing w:after="40" w:before="40"/>
              <w:jc w:val="center"/>
            </w:pPr>
            <w:r>
              <w:rPr>
                <w:rFonts w:ascii="Calibri" w:hAnsi="Calibri"/>
                <w:sz w:val="20"/>
              </w:rPr>
              <w:t>Fourchette du rang. IC [2–5] = solidement dans le top 5. IC [1–15] = instable</w:t>
            </w:r>
          </w:p>
        </w:tc>
      </w:tr>
      <w:tr>
        <w:tc>
          <w:tcPr>
            <w:tcW w:type="dxa" w:w="1984"/>
            <w:shd w:val="clear" w:color="auto" w:fill="FFFFFF"/>
          </w:tcPr>
          <w:p>
            <w:pPr>
              <w:spacing w:after="40" w:before="40"/>
              <w:jc w:val="left"/>
            </w:pPr>
            <w:r>
              <w:rPr>
                <w:rFonts w:ascii="Calibri" w:hAnsi="Calibri"/>
                <w:sz w:val="20"/>
              </w:rPr>
              <w:t>Prob. Top 5</w:t>
            </w:r>
          </w:p>
        </w:tc>
        <w:tc>
          <w:tcPr>
            <w:tcW w:type="dxa" w:w="5953"/>
            <w:shd w:val="clear" w:color="auto" w:fill="FFFFFF"/>
          </w:tcPr>
          <w:p>
            <w:pPr>
              <w:spacing w:after="40" w:before="40"/>
              <w:jc w:val="center"/>
            </w:pPr>
            <w:r>
              <w:rPr>
                <w:rFonts w:ascii="Calibri" w:hAnsi="Calibri"/>
                <w:sz w:val="20"/>
              </w:rPr>
              <w:t>% des simulations où le pays est classé ≤ 5ème</w:t>
            </w:r>
          </w:p>
        </w:tc>
      </w:tr>
      <w:tr>
        <w:tc>
          <w:tcPr>
            <w:tcW w:type="dxa" w:w="1984"/>
            <w:shd w:val="clear" w:color="auto" w:fill="F5F5F5"/>
          </w:tcPr>
          <w:p>
            <w:pPr>
              <w:spacing w:after="40" w:before="40"/>
              <w:jc w:val="left"/>
            </w:pPr>
            <w:r>
              <w:rPr>
                <w:rFonts w:ascii="Calibri" w:hAnsi="Calibri"/>
                <w:sz w:val="20"/>
              </w:rPr>
              <w:t>Prob. Top 10</w:t>
            </w:r>
          </w:p>
        </w:tc>
        <w:tc>
          <w:tcPr>
            <w:tcW w:type="dxa" w:w="5953"/>
            <w:shd w:val="clear" w:color="auto" w:fill="F5F5F5"/>
          </w:tcPr>
          <w:p>
            <w:pPr>
              <w:spacing w:after="40" w:before="40"/>
              <w:jc w:val="center"/>
            </w:pPr>
            <w:r>
              <w:rPr>
                <w:rFonts w:ascii="Calibri" w:hAnsi="Calibri"/>
                <w:sz w:val="20"/>
              </w:rPr>
              <w:t>% des simulations où le pays est classé ≤ 10ème</w:t>
            </w:r>
          </w:p>
        </w:tc>
      </w:tr>
      <w:tr>
        <w:tc>
          <w:tcPr>
            <w:tcW w:type="dxa" w:w="1984"/>
            <w:shd w:val="clear" w:color="auto" w:fill="FFFFFF"/>
          </w:tcPr>
          <w:p>
            <w:pPr>
              <w:spacing w:after="40" w:before="40"/>
              <w:jc w:val="left"/>
            </w:pPr>
            <w:r>
              <w:rPr>
                <w:rFonts w:ascii="Calibri" w:hAnsi="Calibri"/>
                <w:sz w:val="20"/>
              </w:rPr>
              <w:t>Stabilité</w:t>
            </w:r>
          </w:p>
        </w:tc>
        <w:tc>
          <w:tcPr>
            <w:tcW w:type="dxa" w:w="5953"/>
            <w:shd w:val="clear" w:color="auto" w:fill="FFFFFF"/>
          </w:tcPr>
          <w:p>
            <w:pPr>
              <w:spacing w:after="40" w:before="40"/>
              <w:jc w:val="center"/>
            </w:pPr>
            <w:r>
              <w:rPr>
                <w:rFonts w:ascii="Calibri" w:hAnsi="Calibri"/>
                <w:sz w:val="20"/>
              </w:rPr>
              <w:t>Score inverse de la dispersion. Élevé = classement fiable quelle que soit la pondération</w:t>
            </w:r>
          </w:p>
        </w:tc>
      </w:tr>
    </w:tbl>
    <w:p>
      <w:pPr>
        <w:spacing w:after="80"/>
      </w:pPr>
    </w:p>
    <w:p>
      <w:pPr>
        <w:spacing w:after="140" w:before="40"/>
        <w:jc w:val="both"/>
      </w:pPr>
      <w:r>
        <w:rPr>
          <w:rFonts w:ascii="Calibri" w:hAnsi="Calibri"/>
          <w:b w:val="0"/>
          <w:i/>
          <w:color w:val="595959"/>
          <w:sz w:val="24"/>
        </w:rPr>
        <w:t>Matrice de Priorisation : croise Score d'attractivité (axe X) × Stabilité (axe Y). Haut-droite = MARCHÉS PRIORITAIRES · Bas-droite = Prometteurs mais risqués · Bas-gauche = À éviter.</w:t>
      </w:r>
    </w:p>
    <w:p>
      <w:pPr>
        <w:spacing w:before="240" w:after="80"/>
      </w:pPr>
      <w:r>
        <w:rPr>
          <w:rFonts w:ascii="Calibri" w:hAnsi="Calibri"/>
          <w:b/>
          <w:color w:val="5D8438"/>
          <w:sz w:val="28"/>
        </w:rPr>
        <w:t>5.  Concordance Inter-Méthodes</w:t>
      </w:r>
    </w:p>
    <w:p>
      <w:pPr>
        <w:spacing w:after="140" w:before="40"/>
        <w:jc w:val="both"/>
      </w:pPr>
      <w:r>
        <w:rPr>
          <w:rFonts w:ascii="Calibri" w:hAnsi="Calibri"/>
          <w:b w:val="0"/>
          <w:i w:val="0"/>
          <w:sz w:val="24"/>
        </w:rPr>
        <w:t>On compare le rang TOPSIS et le rang Monte Carlo P50. Δ = |rang TOPSIS − rang MC P50| : si Δ ≤ 3 → pays 'Robuste' (consensus des méthodes). Si Δ &gt; 5 → pays 'Divergent' (profil atypique, analyse qualitative requise). Un taux de consensus &gt; 70 % valide la fiabilité globale du classement.</w:t>
      </w:r>
    </w:p>
    <w:tbl>
      <w:tblPr>
        <w:tblW w:type="auto" w:w="0"/>
        <w:jc w:val="left"/>
        <w:tblLook w:firstColumn="1" w:firstRow="1" w:lastColumn="0" w:lastRow="0" w:noHBand="0" w:noVBand="1" w:val="04A0"/>
      </w:tblPr>
      <w:tblGrid>
        <w:gridCol w:w="9406"/>
      </w:tblGrid>
      <w:tr>
        <w:tc>
          <w:tcPr>
            <w:tcW w:type="dxa" w:w="9406"/>
            <w:shd w:val="clear" w:color="auto" w:fill="F5F5F5"/>
            <w:tcBorders>
              <w:top w:val="none"/>
              <w:right w:val="none"/>
              <w:bottom w:val="none"/>
              <w:left w:val="single" w:sz="14" w:space="0" w:color="5D8438"/>
            </w:tcBorders>
          </w:tcPr>
          <w:p>
            <w:pPr>
              <w:spacing w:after="40" w:before="40"/>
            </w:pPr>
            <w:r>
              <w:rPr>
                <w:rFonts w:ascii="Calibri" w:hAnsi="Calibri"/>
                <w:b/>
                <w:color w:val="5D8438"/>
                <w:sz w:val="22"/>
              </w:rPr>
              <w:t xml:space="preserve">💡  </w:t>
            </w:r>
            <w:r>
              <w:rPr>
                <w:rFonts w:ascii="Calibri" w:hAnsi="Calibri"/>
                <w:i/>
                <w:sz w:val="22"/>
              </w:rPr>
              <w:t>Un pays qui ressort attractif en TOPSIS, stable en Monte Carlo, dans un cluster porteur : la conviction est maximale. La concordance inter-méthodes est notre assurance qualité.</w:t>
            </w:r>
          </w:p>
        </w:tc>
      </w:tr>
    </w:tbl>
    <w:p>
      <w:pPr>
        <w:spacing w:after="80"/>
      </w:pPr>
    </w:p>
    <w:p>
      <w:r>
        <w:br w:type="page"/>
      </w:r>
    </w:p>
    <w:p>
      <w:pPr>
        <w:spacing w:before="360" w:after="120"/>
        <w:pBdr>
          <w:bottom w:val="single" w:sz="10" w:space="1" w:color="5D8438"/>
        </w:pBdr>
      </w:pPr>
      <w:r>
        <w:rPr>
          <w:rFonts w:ascii="Calibri" w:hAnsi="Calibri"/>
          <w:b/>
          <w:color w:val="5D8438"/>
          <w:sz w:val="36"/>
        </w:rPr>
        <w:t>PARTIE 3 — SYNTHÈSE ET RECOMMANDATIONS</w:t>
      </w:r>
    </w:p>
    <w:p>
      <w:pPr>
        <w:spacing w:before="240" w:after="80"/>
      </w:pPr>
      <w:r>
        <w:rPr>
          <w:rFonts w:ascii="Calibri" w:hAnsi="Calibri"/>
          <w:b/>
          <w:color w:val="5D8438"/>
          <w:sz w:val="28"/>
        </w:rPr>
        <w:t>6.  Top 10 Marchés Attractifs à Horizon 2030</w:t>
      </w:r>
    </w:p>
    <w:p>
      <w:pPr>
        <w:spacing w:after="140" w:before="40"/>
        <w:jc w:val="both"/>
      </w:pPr>
      <w:r>
        <w:rPr>
          <w:rFonts w:ascii="Calibri" w:hAnsi="Calibri"/>
          <w:b w:val="0"/>
          <w:i w:val="0"/>
          <w:sz w:val="24"/>
        </w:rPr>
        <w:t>Classement consolidé : Score TOPSIS PCA + Rang Monte Carlo P50 + Cluster + Badge. Consultable et filtrable en temps réel dans l'application SCAR d'Atlantic Re.</w:t>
      </w:r>
    </w:p>
    <w:tbl>
      <w:tblPr>
        <w:tblW w:type="auto" w:w="0"/>
        <w:jc w:val="left"/>
        <w:tblLook w:firstColumn="1" w:firstRow="1" w:lastColumn="0" w:lastRow="0" w:noHBand="0" w:noVBand="1" w:val="04A0"/>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Pr>
      <w:tblGrid>
        <w:gridCol w:w="1344"/>
        <w:gridCol w:w="1344"/>
        <w:gridCol w:w="1344"/>
        <w:gridCol w:w="1344"/>
        <w:gridCol w:w="1344"/>
        <w:gridCol w:w="1344"/>
        <w:gridCol w:w="1344"/>
      </w:tblGrid>
      <w:tr>
        <w:tc>
          <w:tcPr>
            <w:tcW w:type="dxa" w:w="567"/>
            <w:shd w:val="clear" w:color="auto" w:fill="DCE7C8"/>
          </w:tcPr>
          <w:p>
            <w:pPr>
              <w:spacing w:after="40" w:before="40"/>
              <w:jc w:val="center"/>
            </w:pPr>
            <w:r>
              <w:rPr>
                <w:rFonts w:ascii="Calibri" w:hAnsi="Calibri"/>
                <w:b/>
                <w:color w:val="28460A"/>
                <w:sz w:val="20"/>
              </w:rPr>
              <w:t>Rang</w:t>
            </w:r>
          </w:p>
        </w:tc>
        <w:tc>
          <w:tcPr>
            <w:tcW w:type="dxa" w:w="1587"/>
            <w:shd w:val="clear" w:color="auto" w:fill="DCE7C8"/>
          </w:tcPr>
          <w:p>
            <w:pPr>
              <w:spacing w:after="40" w:before="40"/>
              <w:jc w:val="center"/>
            </w:pPr>
            <w:r>
              <w:rPr>
                <w:rFonts w:ascii="Calibri" w:hAnsi="Calibri"/>
                <w:b/>
                <w:color w:val="28460A"/>
                <w:sz w:val="20"/>
              </w:rPr>
              <w:t>Pays</w:t>
            </w:r>
          </w:p>
        </w:tc>
        <w:tc>
          <w:tcPr>
            <w:tcW w:type="dxa" w:w="1984"/>
            <w:shd w:val="clear" w:color="auto" w:fill="DCE7C8"/>
          </w:tcPr>
          <w:p>
            <w:pPr>
              <w:spacing w:after="40" w:before="40"/>
              <w:jc w:val="center"/>
            </w:pPr>
            <w:r>
              <w:rPr>
                <w:rFonts w:ascii="Calibri" w:hAnsi="Calibri"/>
                <w:b/>
                <w:color w:val="28460A"/>
                <w:sz w:val="20"/>
              </w:rPr>
              <w:t>Région</w:t>
            </w:r>
          </w:p>
        </w:tc>
        <w:tc>
          <w:tcPr>
            <w:tcW w:type="dxa" w:w="1134"/>
            <w:shd w:val="clear" w:color="auto" w:fill="DCE7C8"/>
          </w:tcPr>
          <w:p>
            <w:pPr>
              <w:spacing w:after="40" w:before="40"/>
              <w:jc w:val="center"/>
            </w:pPr>
            <w:r>
              <w:rPr>
                <w:rFonts w:ascii="Calibri" w:hAnsi="Calibri"/>
                <w:b/>
                <w:color w:val="28460A"/>
                <w:sz w:val="20"/>
              </w:rPr>
              <w:t>Score</w:t>
              <w:br/>
              <w:t>TOPSIS</w:t>
            </w:r>
          </w:p>
        </w:tc>
        <w:tc>
          <w:tcPr>
            <w:tcW w:type="dxa" w:w="1134"/>
            <w:shd w:val="clear" w:color="auto" w:fill="DCE7C8"/>
          </w:tcPr>
          <w:p>
            <w:pPr>
              <w:spacing w:after="40" w:before="40"/>
              <w:jc w:val="center"/>
            </w:pPr>
            <w:r>
              <w:rPr>
                <w:rFonts w:ascii="Calibri" w:hAnsi="Calibri"/>
                <w:b/>
                <w:color w:val="28460A"/>
                <w:sz w:val="20"/>
              </w:rPr>
              <w:t>Rang</w:t>
              <w:br/>
              <w:t>MC P50</w:t>
            </w:r>
          </w:p>
        </w:tc>
        <w:tc>
          <w:tcPr>
            <w:tcW w:type="dxa" w:w="1984"/>
            <w:shd w:val="clear" w:color="auto" w:fill="DCE7C8"/>
          </w:tcPr>
          <w:p>
            <w:pPr>
              <w:spacing w:after="40" w:before="40"/>
              <w:jc w:val="center"/>
            </w:pPr>
            <w:r>
              <w:rPr>
                <w:rFonts w:ascii="Calibri" w:hAnsi="Calibri"/>
                <w:b/>
                <w:color w:val="28460A"/>
                <w:sz w:val="20"/>
              </w:rPr>
              <w:t>Cluster</w:t>
            </w:r>
          </w:p>
        </w:tc>
        <w:tc>
          <w:tcPr>
            <w:tcW w:type="dxa" w:w="1247"/>
            <w:shd w:val="clear" w:color="auto" w:fill="DCE7C8"/>
          </w:tcPr>
          <w:p>
            <w:pPr>
              <w:spacing w:after="40" w:before="40"/>
              <w:jc w:val="center"/>
            </w:pPr>
            <w:r>
              <w:rPr>
                <w:rFonts w:ascii="Calibri" w:hAnsi="Calibri"/>
                <w:b/>
                <w:color w:val="28460A"/>
                <w:sz w:val="20"/>
              </w:rPr>
              <w:t>Badge</w:t>
            </w:r>
          </w:p>
        </w:tc>
      </w:tr>
      <w:tr>
        <w:tc>
          <w:tcPr>
            <w:tcW w:type="dxa" w:w="567"/>
            <w:shd w:val="clear" w:color="auto" w:fill="FFFFFF"/>
          </w:tcPr>
          <w:p>
            <w:pPr>
              <w:spacing w:after="40" w:before="40"/>
              <w:jc w:val="left"/>
            </w:pPr>
            <w:r>
              <w:rPr>
                <w:rFonts w:ascii="Calibri" w:hAnsi="Calibri"/>
                <w:sz w:val="20"/>
              </w:rPr>
              <w:t>1</w:t>
            </w:r>
          </w:p>
        </w:tc>
        <w:tc>
          <w:tcPr>
            <w:tcW w:type="dxa" w:w="1587"/>
            <w:shd w:val="clear" w:color="auto" w:fill="FFFFFF"/>
          </w:tcPr>
          <w:p>
            <w:pPr>
              <w:spacing w:after="40" w:before="40"/>
              <w:jc w:val="center"/>
            </w:pPr>
            <w:r>
              <w:rPr>
                <w:rFonts w:ascii="Calibri" w:hAnsi="Calibri"/>
                <w:sz w:val="20"/>
              </w:rPr>
              <w:t>Maroc</w:t>
            </w:r>
          </w:p>
        </w:tc>
        <w:tc>
          <w:tcPr>
            <w:tcW w:type="dxa" w:w="1984"/>
            <w:shd w:val="clear" w:color="auto" w:fill="FFFFFF"/>
          </w:tcPr>
          <w:p>
            <w:pPr>
              <w:spacing w:after="40" w:before="40"/>
              <w:jc w:val="center"/>
            </w:pPr>
            <w:r>
              <w:rPr>
                <w:rFonts w:ascii="Calibri" w:hAnsi="Calibri"/>
                <w:sz w:val="20"/>
              </w:rPr>
              <w:t>Afrique du Nord</w:t>
            </w:r>
          </w:p>
        </w:tc>
        <w:tc>
          <w:tcPr>
            <w:tcW w:type="dxa" w:w="1134"/>
            <w:shd w:val="clear" w:color="auto" w:fill="FFFFFF"/>
          </w:tcPr>
          <w:p>
            <w:pPr>
              <w:spacing w:after="40" w:before="40"/>
              <w:jc w:val="center"/>
            </w:pPr>
            <w:r>
              <w:rPr>
                <w:rFonts w:ascii="Calibri" w:hAnsi="Calibri"/>
                <w:sz w:val="20"/>
              </w:rPr>
              <w:t>0,78</w:t>
            </w:r>
          </w:p>
        </w:tc>
        <w:tc>
          <w:tcPr>
            <w:tcW w:type="dxa" w:w="1134"/>
            <w:shd w:val="clear" w:color="auto" w:fill="FFFFFF"/>
          </w:tcPr>
          <w:p>
            <w:pPr>
              <w:spacing w:after="40" w:before="40"/>
              <w:jc w:val="center"/>
            </w:pPr>
            <w:r>
              <w:rPr>
                <w:rFonts w:ascii="Calibri" w:hAnsi="Calibri"/>
                <w:sz w:val="20"/>
              </w:rPr>
              <w:t>1</w:t>
            </w:r>
          </w:p>
        </w:tc>
        <w:tc>
          <w:tcPr>
            <w:tcW w:type="dxa" w:w="1984"/>
            <w:shd w:val="clear" w:color="auto" w:fill="FFFFFF"/>
          </w:tcPr>
          <w:p>
            <w:pPr>
              <w:spacing w:after="40" w:before="40"/>
              <w:jc w:val="center"/>
            </w:pPr>
            <w:r>
              <w:rPr>
                <w:rFonts w:ascii="Calibri" w:hAnsi="Calibri"/>
                <w:sz w:val="20"/>
              </w:rPr>
              <w:t>A – Mature</w:t>
            </w:r>
          </w:p>
        </w:tc>
        <w:tc>
          <w:tcPr>
            <w:tcW w:type="dxa" w:w="1247"/>
            <w:shd w:val="clear" w:color="auto" w:fill="FFFFFF"/>
          </w:tcPr>
          <w:p>
            <w:pPr>
              <w:spacing w:after="40" w:before="40"/>
              <w:jc w:val="center"/>
            </w:pPr>
            <w:r>
              <w:rPr>
                <w:rFonts w:ascii="Calibri" w:hAnsi="Calibri"/>
                <w:sz w:val="20"/>
              </w:rPr>
              <w:t>ATTRACTIF</w:t>
            </w:r>
          </w:p>
        </w:tc>
      </w:tr>
      <w:tr>
        <w:tc>
          <w:tcPr>
            <w:tcW w:type="dxa" w:w="567"/>
            <w:shd w:val="clear" w:color="auto" w:fill="F5F5F5"/>
          </w:tcPr>
          <w:p>
            <w:pPr>
              <w:spacing w:after="40" w:before="40"/>
              <w:jc w:val="left"/>
            </w:pPr>
            <w:r>
              <w:rPr>
                <w:rFonts w:ascii="Calibri" w:hAnsi="Calibri"/>
                <w:sz w:val="20"/>
              </w:rPr>
              <w:t>2</w:t>
            </w:r>
          </w:p>
        </w:tc>
        <w:tc>
          <w:tcPr>
            <w:tcW w:type="dxa" w:w="1587"/>
            <w:shd w:val="clear" w:color="auto" w:fill="F5F5F5"/>
          </w:tcPr>
          <w:p>
            <w:pPr>
              <w:spacing w:after="40" w:before="40"/>
              <w:jc w:val="center"/>
            </w:pPr>
            <w:r>
              <w:rPr>
                <w:rFonts w:ascii="Calibri" w:hAnsi="Calibri"/>
                <w:sz w:val="20"/>
              </w:rPr>
              <w:t>Côte d'Ivoire</w:t>
            </w:r>
          </w:p>
        </w:tc>
        <w:tc>
          <w:tcPr>
            <w:tcW w:type="dxa" w:w="1984"/>
            <w:shd w:val="clear" w:color="auto" w:fill="F5F5F5"/>
          </w:tcPr>
          <w:p>
            <w:pPr>
              <w:spacing w:after="40" w:before="40"/>
              <w:jc w:val="center"/>
            </w:pPr>
            <w:r>
              <w:rPr>
                <w:rFonts w:ascii="Calibri" w:hAnsi="Calibri"/>
                <w:sz w:val="20"/>
              </w:rPr>
              <w:t>Afrique de l'Ouest</w:t>
            </w:r>
          </w:p>
        </w:tc>
        <w:tc>
          <w:tcPr>
            <w:tcW w:type="dxa" w:w="1134"/>
            <w:shd w:val="clear" w:color="auto" w:fill="F5F5F5"/>
          </w:tcPr>
          <w:p>
            <w:pPr>
              <w:spacing w:after="40" w:before="40"/>
              <w:jc w:val="center"/>
            </w:pPr>
            <w:r>
              <w:rPr>
                <w:rFonts w:ascii="Calibri" w:hAnsi="Calibri"/>
                <w:sz w:val="20"/>
              </w:rPr>
              <w:t>0,71</w:t>
            </w:r>
          </w:p>
        </w:tc>
        <w:tc>
          <w:tcPr>
            <w:tcW w:type="dxa" w:w="1134"/>
            <w:shd w:val="clear" w:color="auto" w:fill="F5F5F5"/>
          </w:tcPr>
          <w:p>
            <w:pPr>
              <w:spacing w:after="40" w:before="40"/>
              <w:jc w:val="center"/>
            </w:pPr>
            <w:r>
              <w:rPr>
                <w:rFonts w:ascii="Calibri" w:hAnsi="Calibri"/>
                <w:sz w:val="20"/>
              </w:rPr>
              <w:t>2</w:t>
            </w:r>
          </w:p>
        </w:tc>
        <w:tc>
          <w:tcPr>
            <w:tcW w:type="dxa" w:w="1984"/>
            <w:shd w:val="clear" w:color="auto" w:fill="F5F5F5"/>
          </w:tcPr>
          <w:p>
            <w:pPr>
              <w:spacing w:after="40" w:before="40"/>
              <w:jc w:val="center"/>
            </w:pPr>
            <w:r>
              <w:rPr>
                <w:rFonts w:ascii="Calibri" w:hAnsi="Calibri"/>
                <w:sz w:val="20"/>
              </w:rPr>
              <w:t>B – Fort potentiel</w:t>
            </w:r>
          </w:p>
        </w:tc>
        <w:tc>
          <w:tcPr>
            <w:tcW w:type="dxa" w:w="1247"/>
            <w:shd w:val="clear" w:color="auto" w:fill="F5F5F5"/>
          </w:tcPr>
          <w:p>
            <w:pPr>
              <w:spacing w:after="40" w:before="40"/>
              <w:jc w:val="center"/>
            </w:pPr>
            <w:r>
              <w:rPr>
                <w:rFonts w:ascii="Calibri" w:hAnsi="Calibri"/>
                <w:sz w:val="20"/>
              </w:rPr>
              <w:t>ATTRACTIF</w:t>
            </w:r>
          </w:p>
        </w:tc>
      </w:tr>
      <w:tr>
        <w:tc>
          <w:tcPr>
            <w:tcW w:type="dxa" w:w="567"/>
            <w:shd w:val="clear" w:color="auto" w:fill="FFFFFF"/>
          </w:tcPr>
          <w:p>
            <w:pPr>
              <w:spacing w:after="40" w:before="40"/>
              <w:jc w:val="left"/>
            </w:pPr>
            <w:r>
              <w:rPr>
                <w:rFonts w:ascii="Calibri" w:hAnsi="Calibri"/>
                <w:sz w:val="20"/>
              </w:rPr>
              <w:t>3</w:t>
            </w:r>
          </w:p>
        </w:tc>
        <w:tc>
          <w:tcPr>
            <w:tcW w:type="dxa" w:w="1587"/>
            <w:shd w:val="clear" w:color="auto" w:fill="FFFFFF"/>
          </w:tcPr>
          <w:p>
            <w:pPr>
              <w:spacing w:after="40" w:before="40"/>
              <w:jc w:val="center"/>
            </w:pPr>
            <w:r>
              <w:rPr>
                <w:rFonts w:ascii="Calibri" w:hAnsi="Calibri"/>
                <w:sz w:val="20"/>
              </w:rPr>
              <w:t>Kenya</w:t>
            </w:r>
          </w:p>
        </w:tc>
        <w:tc>
          <w:tcPr>
            <w:tcW w:type="dxa" w:w="1984"/>
            <w:shd w:val="clear" w:color="auto" w:fill="FFFFFF"/>
          </w:tcPr>
          <w:p>
            <w:pPr>
              <w:spacing w:after="40" w:before="40"/>
              <w:jc w:val="center"/>
            </w:pPr>
            <w:r>
              <w:rPr>
                <w:rFonts w:ascii="Calibri" w:hAnsi="Calibri"/>
                <w:sz w:val="20"/>
              </w:rPr>
              <w:t>Afrique de l'Est</w:t>
            </w:r>
          </w:p>
        </w:tc>
        <w:tc>
          <w:tcPr>
            <w:tcW w:type="dxa" w:w="1134"/>
            <w:shd w:val="clear" w:color="auto" w:fill="FFFFFF"/>
          </w:tcPr>
          <w:p>
            <w:pPr>
              <w:spacing w:after="40" w:before="40"/>
              <w:jc w:val="center"/>
            </w:pPr>
            <w:r>
              <w:rPr>
                <w:rFonts w:ascii="Calibri" w:hAnsi="Calibri"/>
                <w:sz w:val="20"/>
              </w:rPr>
              <w:t>0,68</w:t>
            </w:r>
          </w:p>
        </w:tc>
        <w:tc>
          <w:tcPr>
            <w:tcW w:type="dxa" w:w="1134"/>
            <w:shd w:val="clear" w:color="auto" w:fill="FFFFFF"/>
          </w:tcPr>
          <w:p>
            <w:pPr>
              <w:spacing w:after="40" w:before="40"/>
              <w:jc w:val="center"/>
            </w:pPr>
            <w:r>
              <w:rPr>
                <w:rFonts w:ascii="Calibri" w:hAnsi="Calibri"/>
                <w:sz w:val="20"/>
              </w:rPr>
              <w:t>3</w:t>
            </w:r>
          </w:p>
        </w:tc>
        <w:tc>
          <w:tcPr>
            <w:tcW w:type="dxa" w:w="1984"/>
            <w:shd w:val="clear" w:color="auto" w:fill="FFFFFF"/>
          </w:tcPr>
          <w:p>
            <w:pPr>
              <w:spacing w:after="40" w:before="40"/>
              <w:jc w:val="center"/>
            </w:pPr>
            <w:r>
              <w:rPr>
                <w:rFonts w:ascii="Calibri" w:hAnsi="Calibri"/>
                <w:sz w:val="20"/>
              </w:rPr>
              <w:t>B – Fort potentiel</w:t>
            </w:r>
          </w:p>
        </w:tc>
        <w:tc>
          <w:tcPr>
            <w:tcW w:type="dxa" w:w="1247"/>
            <w:shd w:val="clear" w:color="auto" w:fill="FFFFFF"/>
          </w:tcPr>
          <w:p>
            <w:pPr>
              <w:spacing w:after="40" w:before="40"/>
              <w:jc w:val="center"/>
            </w:pPr>
            <w:r>
              <w:rPr>
                <w:rFonts w:ascii="Calibri" w:hAnsi="Calibri"/>
                <w:sz w:val="20"/>
              </w:rPr>
              <w:t>ATTRACTIF</w:t>
            </w:r>
          </w:p>
        </w:tc>
      </w:tr>
      <w:tr>
        <w:tc>
          <w:tcPr>
            <w:tcW w:type="dxa" w:w="567"/>
            <w:shd w:val="clear" w:color="auto" w:fill="F5F5F5"/>
          </w:tcPr>
          <w:p>
            <w:pPr>
              <w:spacing w:after="40" w:before="40"/>
              <w:jc w:val="left"/>
            </w:pPr>
            <w:r>
              <w:rPr>
                <w:rFonts w:ascii="Calibri" w:hAnsi="Calibri"/>
                <w:sz w:val="20"/>
              </w:rPr>
              <w:t>4</w:t>
            </w:r>
          </w:p>
        </w:tc>
        <w:tc>
          <w:tcPr>
            <w:tcW w:type="dxa" w:w="1587"/>
            <w:shd w:val="clear" w:color="auto" w:fill="F5F5F5"/>
          </w:tcPr>
          <w:p>
            <w:pPr>
              <w:spacing w:after="40" w:before="40"/>
              <w:jc w:val="center"/>
            </w:pPr>
            <w:r>
              <w:rPr>
                <w:rFonts w:ascii="Calibri" w:hAnsi="Calibri"/>
                <w:sz w:val="20"/>
              </w:rPr>
              <w:t>Ghana</w:t>
            </w:r>
          </w:p>
        </w:tc>
        <w:tc>
          <w:tcPr>
            <w:tcW w:type="dxa" w:w="1984"/>
            <w:shd w:val="clear" w:color="auto" w:fill="F5F5F5"/>
          </w:tcPr>
          <w:p>
            <w:pPr>
              <w:spacing w:after="40" w:before="40"/>
              <w:jc w:val="center"/>
            </w:pPr>
            <w:r>
              <w:rPr>
                <w:rFonts w:ascii="Calibri" w:hAnsi="Calibri"/>
                <w:sz w:val="20"/>
              </w:rPr>
              <w:t>Afrique de l'Ouest</w:t>
            </w:r>
          </w:p>
        </w:tc>
        <w:tc>
          <w:tcPr>
            <w:tcW w:type="dxa" w:w="1134"/>
            <w:shd w:val="clear" w:color="auto" w:fill="F5F5F5"/>
          </w:tcPr>
          <w:p>
            <w:pPr>
              <w:spacing w:after="40" w:before="40"/>
              <w:jc w:val="center"/>
            </w:pPr>
            <w:r>
              <w:rPr>
                <w:rFonts w:ascii="Calibri" w:hAnsi="Calibri"/>
                <w:sz w:val="20"/>
              </w:rPr>
              <w:t>0,65</w:t>
            </w:r>
          </w:p>
        </w:tc>
        <w:tc>
          <w:tcPr>
            <w:tcW w:type="dxa" w:w="1134"/>
            <w:shd w:val="clear" w:color="auto" w:fill="F5F5F5"/>
          </w:tcPr>
          <w:p>
            <w:pPr>
              <w:spacing w:after="40" w:before="40"/>
              <w:jc w:val="center"/>
            </w:pPr>
            <w:r>
              <w:rPr>
                <w:rFonts w:ascii="Calibri" w:hAnsi="Calibri"/>
                <w:sz w:val="20"/>
              </w:rPr>
              <w:t>4</w:t>
            </w:r>
          </w:p>
        </w:tc>
        <w:tc>
          <w:tcPr>
            <w:tcW w:type="dxa" w:w="1984"/>
            <w:shd w:val="clear" w:color="auto" w:fill="F5F5F5"/>
          </w:tcPr>
          <w:p>
            <w:pPr>
              <w:spacing w:after="40" w:before="40"/>
              <w:jc w:val="center"/>
            </w:pPr>
            <w:r>
              <w:rPr>
                <w:rFonts w:ascii="Calibri" w:hAnsi="Calibri"/>
                <w:sz w:val="20"/>
              </w:rPr>
              <w:t>B – Fort potentiel</w:t>
            </w:r>
          </w:p>
        </w:tc>
        <w:tc>
          <w:tcPr>
            <w:tcW w:type="dxa" w:w="1247"/>
            <w:shd w:val="clear" w:color="auto" w:fill="F5F5F5"/>
          </w:tcPr>
          <w:p>
            <w:pPr>
              <w:spacing w:after="40" w:before="40"/>
              <w:jc w:val="center"/>
            </w:pPr>
            <w:r>
              <w:rPr>
                <w:rFonts w:ascii="Calibri" w:hAnsi="Calibri"/>
                <w:sz w:val="20"/>
              </w:rPr>
              <w:t>ATTRACTIF</w:t>
            </w:r>
          </w:p>
        </w:tc>
      </w:tr>
      <w:tr>
        <w:tc>
          <w:tcPr>
            <w:tcW w:type="dxa" w:w="567"/>
            <w:shd w:val="clear" w:color="auto" w:fill="FFFFFF"/>
          </w:tcPr>
          <w:p>
            <w:pPr>
              <w:spacing w:after="40" w:before="40"/>
              <w:jc w:val="left"/>
            </w:pPr>
            <w:r>
              <w:rPr>
                <w:rFonts w:ascii="Calibri" w:hAnsi="Calibri"/>
                <w:sz w:val="20"/>
              </w:rPr>
              <w:t>5</w:t>
            </w:r>
          </w:p>
        </w:tc>
        <w:tc>
          <w:tcPr>
            <w:tcW w:type="dxa" w:w="1587"/>
            <w:shd w:val="clear" w:color="auto" w:fill="FFFFFF"/>
          </w:tcPr>
          <w:p>
            <w:pPr>
              <w:spacing w:after="40" w:before="40"/>
              <w:jc w:val="center"/>
            </w:pPr>
            <w:r>
              <w:rPr>
                <w:rFonts w:ascii="Calibri" w:hAnsi="Calibri"/>
                <w:sz w:val="20"/>
              </w:rPr>
              <w:t>Tunisie</w:t>
            </w:r>
          </w:p>
        </w:tc>
        <w:tc>
          <w:tcPr>
            <w:tcW w:type="dxa" w:w="1984"/>
            <w:shd w:val="clear" w:color="auto" w:fill="FFFFFF"/>
          </w:tcPr>
          <w:p>
            <w:pPr>
              <w:spacing w:after="40" w:before="40"/>
              <w:jc w:val="center"/>
            </w:pPr>
            <w:r>
              <w:rPr>
                <w:rFonts w:ascii="Calibri" w:hAnsi="Calibri"/>
                <w:sz w:val="20"/>
              </w:rPr>
              <w:t>Afrique du Nord</w:t>
            </w:r>
          </w:p>
        </w:tc>
        <w:tc>
          <w:tcPr>
            <w:tcW w:type="dxa" w:w="1134"/>
            <w:shd w:val="clear" w:color="auto" w:fill="FFFFFF"/>
          </w:tcPr>
          <w:p>
            <w:pPr>
              <w:spacing w:after="40" w:before="40"/>
              <w:jc w:val="center"/>
            </w:pPr>
            <w:r>
              <w:rPr>
                <w:rFonts w:ascii="Calibri" w:hAnsi="Calibri"/>
                <w:sz w:val="20"/>
              </w:rPr>
              <w:t>0,63</w:t>
            </w:r>
          </w:p>
        </w:tc>
        <w:tc>
          <w:tcPr>
            <w:tcW w:type="dxa" w:w="1134"/>
            <w:shd w:val="clear" w:color="auto" w:fill="FFFFFF"/>
          </w:tcPr>
          <w:p>
            <w:pPr>
              <w:spacing w:after="40" w:before="40"/>
              <w:jc w:val="center"/>
            </w:pPr>
            <w:r>
              <w:rPr>
                <w:rFonts w:ascii="Calibri" w:hAnsi="Calibri"/>
                <w:sz w:val="20"/>
              </w:rPr>
              <w:t>5</w:t>
            </w:r>
          </w:p>
        </w:tc>
        <w:tc>
          <w:tcPr>
            <w:tcW w:type="dxa" w:w="1984"/>
            <w:shd w:val="clear" w:color="auto" w:fill="FFFFFF"/>
          </w:tcPr>
          <w:p>
            <w:pPr>
              <w:spacing w:after="40" w:before="40"/>
              <w:jc w:val="center"/>
            </w:pPr>
            <w:r>
              <w:rPr>
                <w:rFonts w:ascii="Calibri" w:hAnsi="Calibri"/>
                <w:sz w:val="20"/>
              </w:rPr>
              <w:t>A – Mature</w:t>
            </w:r>
          </w:p>
        </w:tc>
        <w:tc>
          <w:tcPr>
            <w:tcW w:type="dxa" w:w="1247"/>
            <w:shd w:val="clear" w:color="auto" w:fill="FFFFFF"/>
          </w:tcPr>
          <w:p>
            <w:pPr>
              <w:spacing w:after="40" w:before="40"/>
              <w:jc w:val="center"/>
            </w:pPr>
            <w:r>
              <w:rPr>
                <w:rFonts w:ascii="Calibri" w:hAnsi="Calibri"/>
                <w:sz w:val="20"/>
              </w:rPr>
              <w:t>ATTRACTIF</w:t>
            </w:r>
          </w:p>
        </w:tc>
      </w:tr>
      <w:tr>
        <w:tc>
          <w:tcPr>
            <w:tcW w:type="dxa" w:w="567"/>
            <w:shd w:val="clear" w:color="auto" w:fill="F5F5F5"/>
          </w:tcPr>
          <w:p>
            <w:pPr>
              <w:spacing w:after="40" w:before="40"/>
              <w:jc w:val="left"/>
            </w:pPr>
            <w:r>
              <w:rPr>
                <w:rFonts w:ascii="Calibri" w:hAnsi="Calibri"/>
                <w:sz w:val="20"/>
              </w:rPr>
              <w:t>6</w:t>
            </w:r>
          </w:p>
        </w:tc>
        <w:tc>
          <w:tcPr>
            <w:tcW w:type="dxa" w:w="1587"/>
            <w:shd w:val="clear" w:color="auto" w:fill="F5F5F5"/>
          </w:tcPr>
          <w:p>
            <w:pPr>
              <w:spacing w:after="40" w:before="40"/>
              <w:jc w:val="center"/>
            </w:pPr>
            <w:r>
              <w:rPr>
                <w:rFonts w:ascii="Calibri" w:hAnsi="Calibri"/>
                <w:sz w:val="20"/>
              </w:rPr>
              <w:t>Sénégal</w:t>
            </w:r>
          </w:p>
        </w:tc>
        <w:tc>
          <w:tcPr>
            <w:tcW w:type="dxa" w:w="1984"/>
            <w:shd w:val="clear" w:color="auto" w:fill="F5F5F5"/>
          </w:tcPr>
          <w:p>
            <w:pPr>
              <w:spacing w:after="40" w:before="40"/>
              <w:jc w:val="center"/>
            </w:pPr>
            <w:r>
              <w:rPr>
                <w:rFonts w:ascii="Calibri" w:hAnsi="Calibri"/>
                <w:sz w:val="20"/>
              </w:rPr>
              <w:t>Afrique de l'Ouest</w:t>
            </w:r>
          </w:p>
        </w:tc>
        <w:tc>
          <w:tcPr>
            <w:tcW w:type="dxa" w:w="1134"/>
            <w:shd w:val="clear" w:color="auto" w:fill="F5F5F5"/>
          </w:tcPr>
          <w:p>
            <w:pPr>
              <w:spacing w:after="40" w:before="40"/>
              <w:jc w:val="center"/>
            </w:pPr>
            <w:r>
              <w:rPr>
                <w:rFonts w:ascii="Calibri" w:hAnsi="Calibri"/>
                <w:sz w:val="20"/>
              </w:rPr>
              <w:t>0,60</w:t>
            </w:r>
          </w:p>
        </w:tc>
        <w:tc>
          <w:tcPr>
            <w:tcW w:type="dxa" w:w="1134"/>
            <w:shd w:val="clear" w:color="auto" w:fill="F5F5F5"/>
          </w:tcPr>
          <w:p>
            <w:pPr>
              <w:spacing w:after="40" w:before="40"/>
              <w:jc w:val="center"/>
            </w:pPr>
            <w:r>
              <w:rPr>
                <w:rFonts w:ascii="Calibri" w:hAnsi="Calibri"/>
                <w:sz w:val="20"/>
              </w:rPr>
              <w:t>6</w:t>
            </w:r>
          </w:p>
        </w:tc>
        <w:tc>
          <w:tcPr>
            <w:tcW w:type="dxa" w:w="1984"/>
            <w:shd w:val="clear" w:color="auto" w:fill="F5F5F5"/>
          </w:tcPr>
          <w:p>
            <w:pPr>
              <w:spacing w:after="40" w:before="40"/>
              <w:jc w:val="center"/>
            </w:pPr>
            <w:r>
              <w:rPr>
                <w:rFonts w:ascii="Calibri" w:hAnsi="Calibri"/>
                <w:sz w:val="20"/>
              </w:rPr>
              <w:t>B – Fort potentiel</w:t>
            </w:r>
          </w:p>
        </w:tc>
        <w:tc>
          <w:tcPr>
            <w:tcW w:type="dxa" w:w="1247"/>
            <w:shd w:val="clear" w:color="auto" w:fill="F5F5F5"/>
          </w:tcPr>
          <w:p>
            <w:pPr>
              <w:spacing w:after="40" w:before="40"/>
              <w:jc w:val="center"/>
            </w:pPr>
            <w:r>
              <w:rPr>
                <w:rFonts w:ascii="Calibri" w:hAnsi="Calibri"/>
                <w:sz w:val="20"/>
              </w:rPr>
              <w:t>ATTRACTIF</w:t>
            </w:r>
          </w:p>
        </w:tc>
      </w:tr>
      <w:tr>
        <w:tc>
          <w:tcPr>
            <w:tcW w:type="dxa" w:w="567"/>
            <w:shd w:val="clear" w:color="auto" w:fill="FFFFFF"/>
          </w:tcPr>
          <w:p>
            <w:pPr>
              <w:spacing w:after="40" w:before="40"/>
              <w:jc w:val="left"/>
            </w:pPr>
            <w:r>
              <w:rPr>
                <w:rFonts w:ascii="Calibri" w:hAnsi="Calibri"/>
                <w:sz w:val="20"/>
              </w:rPr>
              <w:t>7</w:t>
            </w:r>
          </w:p>
        </w:tc>
        <w:tc>
          <w:tcPr>
            <w:tcW w:type="dxa" w:w="1587"/>
            <w:shd w:val="clear" w:color="auto" w:fill="FFFFFF"/>
          </w:tcPr>
          <w:p>
            <w:pPr>
              <w:spacing w:after="40" w:before="40"/>
              <w:jc w:val="center"/>
            </w:pPr>
            <w:r>
              <w:rPr>
                <w:rFonts w:ascii="Calibri" w:hAnsi="Calibri"/>
                <w:sz w:val="20"/>
              </w:rPr>
              <w:t>Algérie</w:t>
            </w:r>
          </w:p>
        </w:tc>
        <w:tc>
          <w:tcPr>
            <w:tcW w:type="dxa" w:w="1984"/>
            <w:shd w:val="clear" w:color="auto" w:fill="FFFFFF"/>
          </w:tcPr>
          <w:p>
            <w:pPr>
              <w:spacing w:after="40" w:before="40"/>
              <w:jc w:val="center"/>
            </w:pPr>
            <w:r>
              <w:rPr>
                <w:rFonts w:ascii="Calibri" w:hAnsi="Calibri"/>
                <w:sz w:val="20"/>
              </w:rPr>
              <w:t>Afrique du Nord</w:t>
            </w:r>
          </w:p>
        </w:tc>
        <w:tc>
          <w:tcPr>
            <w:tcW w:type="dxa" w:w="1134"/>
            <w:shd w:val="clear" w:color="auto" w:fill="FFFFFF"/>
          </w:tcPr>
          <w:p>
            <w:pPr>
              <w:spacing w:after="40" w:before="40"/>
              <w:jc w:val="center"/>
            </w:pPr>
            <w:r>
              <w:rPr>
                <w:rFonts w:ascii="Calibri" w:hAnsi="Calibri"/>
                <w:sz w:val="20"/>
              </w:rPr>
              <w:t>0,57</w:t>
            </w:r>
          </w:p>
        </w:tc>
        <w:tc>
          <w:tcPr>
            <w:tcW w:type="dxa" w:w="1134"/>
            <w:shd w:val="clear" w:color="auto" w:fill="FFFFFF"/>
          </w:tcPr>
          <w:p>
            <w:pPr>
              <w:spacing w:after="40" w:before="40"/>
              <w:jc w:val="center"/>
            </w:pPr>
            <w:r>
              <w:rPr>
                <w:rFonts w:ascii="Calibri" w:hAnsi="Calibri"/>
                <w:sz w:val="20"/>
              </w:rPr>
              <w:t>7</w:t>
            </w:r>
          </w:p>
        </w:tc>
        <w:tc>
          <w:tcPr>
            <w:tcW w:type="dxa" w:w="1984"/>
            <w:shd w:val="clear" w:color="auto" w:fill="FFFFFF"/>
          </w:tcPr>
          <w:p>
            <w:pPr>
              <w:spacing w:after="40" w:before="40"/>
              <w:jc w:val="center"/>
            </w:pPr>
            <w:r>
              <w:rPr>
                <w:rFonts w:ascii="Calibri" w:hAnsi="Calibri"/>
                <w:sz w:val="20"/>
              </w:rPr>
              <w:t>A – Mature</w:t>
            </w:r>
          </w:p>
        </w:tc>
        <w:tc>
          <w:tcPr>
            <w:tcW w:type="dxa" w:w="1247"/>
            <w:shd w:val="clear" w:color="auto" w:fill="FFFFFF"/>
          </w:tcPr>
          <w:p>
            <w:pPr>
              <w:spacing w:after="40" w:before="40"/>
              <w:jc w:val="center"/>
            </w:pPr>
            <w:r>
              <w:rPr>
                <w:rFonts w:ascii="Calibri" w:hAnsi="Calibri"/>
                <w:sz w:val="20"/>
              </w:rPr>
              <w:t>ATTRACTIF</w:t>
            </w:r>
          </w:p>
        </w:tc>
      </w:tr>
      <w:tr>
        <w:tc>
          <w:tcPr>
            <w:tcW w:type="dxa" w:w="567"/>
            <w:shd w:val="clear" w:color="auto" w:fill="F5F5F5"/>
          </w:tcPr>
          <w:p>
            <w:pPr>
              <w:spacing w:after="40" w:before="40"/>
              <w:jc w:val="left"/>
            </w:pPr>
            <w:r>
              <w:rPr>
                <w:rFonts w:ascii="Calibri" w:hAnsi="Calibri"/>
                <w:sz w:val="20"/>
              </w:rPr>
              <w:t>8</w:t>
            </w:r>
          </w:p>
        </w:tc>
        <w:tc>
          <w:tcPr>
            <w:tcW w:type="dxa" w:w="1587"/>
            <w:shd w:val="clear" w:color="auto" w:fill="F5F5F5"/>
          </w:tcPr>
          <w:p>
            <w:pPr>
              <w:spacing w:after="40" w:before="40"/>
              <w:jc w:val="center"/>
            </w:pPr>
            <w:r>
              <w:rPr>
                <w:rFonts w:ascii="Calibri" w:hAnsi="Calibri"/>
                <w:sz w:val="20"/>
              </w:rPr>
              <w:t>Égypte</w:t>
            </w:r>
          </w:p>
        </w:tc>
        <w:tc>
          <w:tcPr>
            <w:tcW w:type="dxa" w:w="1984"/>
            <w:shd w:val="clear" w:color="auto" w:fill="F5F5F5"/>
          </w:tcPr>
          <w:p>
            <w:pPr>
              <w:spacing w:after="40" w:before="40"/>
              <w:jc w:val="center"/>
            </w:pPr>
            <w:r>
              <w:rPr>
                <w:rFonts w:ascii="Calibri" w:hAnsi="Calibri"/>
                <w:sz w:val="20"/>
              </w:rPr>
              <w:t>Afrique du Nord</w:t>
            </w:r>
          </w:p>
        </w:tc>
        <w:tc>
          <w:tcPr>
            <w:tcW w:type="dxa" w:w="1134"/>
            <w:shd w:val="clear" w:color="auto" w:fill="F5F5F5"/>
          </w:tcPr>
          <w:p>
            <w:pPr>
              <w:spacing w:after="40" w:before="40"/>
              <w:jc w:val="center"/>
            </w:pPr>
            <w:r>
              <w:rPr>
                <w:rFonts w:ascii="Calibri" w:hAnsi="Calibri"/>
                <w:sz w:val="20"/>
              </w:rPr>
              <w:t>0,54</w:t>
            </w:r>
          </w:p>
        </w:tc>
        <w:tc>
          <w:tcPr>
            <w:tcW w:type="dxa" w:w="1134"/>
            <w:shd w:val="clear" w:color="auto" w:fill="F5F5F5"/>
          </w:tcPr>
          <w:p>
            <w:pPr>
              <w:spacing w:after="40" w:before="40"/>
              <w:jc w:val="center"/>
            </w:pPr>
            <w:r>
              <w:rPr>
                <w:rFonts w:ascii="Calibri" w:hAnsi="Calibri"/>
                <w:sz w:val="20"/>
              </w:rPr>
              <w:t>8</w:t>
            </w:r>
          </w:p>
        </w:tc>
        <w:tc>
          <w:tcPr>
            <w:tcW w:type="dxa" w:w="1984"/>
            <w:shd w:val="clear" w:color="auto" w:fill="F5F5F5"/>
          </w:tcPr>
          <w:p>
            <w:pPr>
              <w:spacing w:after="40" w:before="40"/>
              <w:jc w:val="center"/>
            </w:pPr>
            <w:r>
              <w:rPr>
                <w:rFonts w:ascii="Calibri" w:hAnsi="Calibri"/>
                <w:sz w:val="20"/>
              </w:rPr>
              <w:t>B – Fort potentiel</w:t>
            </w:r>
          </w:p>
        </w:tc>
        <w:tc>
          <w:tcPr>
            <w:tcW w:type="dxa" w:w="1247"/>
            <w:shd w:val="clear" w:color="auto" w:fill="F5F5F5"/>
          </w:tcPr>
          <w:p>
            <w:pPr>
              <w:spacing w:after="40" w:before="40"/>
              <w:jc w:val="center"/>
            </w:pPr>
            <w:r>
              <w:rPr>
                <w:rFonts w:ascii="Calibri" w:hAnsi="Calibri"/>
                <w:sz w:val="20"/>
              </w:rPr>
              <w:t>NEUTRE</w:t>
            </w:r>
          </w:p>
        </w:tc>
      </w:tr>
      <w:tr>
        <w:tc>
          <w:tcPr>
            <w:tcW w:type="dxa" w:w="567"/>
            <w:shd w:val="clear" w:color="auto" w:fill="FFFFFF"/>
          </w:tcPr>
          <w:p>
            <w:pPr>
              <w:spacing w:after="40" w:before="40"/>
              <w:jc w:val="left"/>
            </w:pPr>
            <w:r>
              <w:rPr>
                <w:rFonts w:ascii="Calibri" w:hAnsi="Calibri"/>
                <w:sz w:val="20"/>
              </w:rPr>
              <w:t>9</w:t>
            </w:r>
          </w:p>
        </w:tc>
        <w:tc>
          <w:tcPr>
            <w:tcW w:type="dxa" w:w="1587"/>
            <w:shd w:val="clear" w:color="auto" w:fill="FFFFFF"/>
          </w:tcPr>
          <w:p>
            <w:pPr>
              <w:spacing w:after="40" w:before="40"/>
              <w:jc w:val="center"/>
            </w:pPr>
            <w:r>
              <w:rPr>
                <w:rFonts w:ascii="Calibri" w:hAnsi="Calibri"/>
                <w:sz w:val="20"/>
              </w:rPr>
              <w:t>Botswana</w:t>
            </w:r>
          </w:p>
        </w:tc>
        <w:tc>
          <w:tcPr>
            <w:tcW w:type="dxa" w:w="1984"/>
            <w:shd w:val="clear" w:color="auto" w:fill="FFFFFF"/>
          </w:tcPr>
          <w:p>
            <w:pPr>
              <w:spacing w:after="40" w:before="40"/>
              <w:jc w:val="center"/>
            </w:pPr>
            <w:r>
              <w:rPr>
                <w:rFonts w:ascii="Calibri" w:hAnsi="Calibri"/>
                <w:sz w:val="20"/>
              </w:rPr>
              <w:t>Afrique Australe</w:t>
            </w:r>
          </w:p>
        </w:tc>
        <w:tc>
          <w:tcPr>
            <w:tcW w:type="dxa" w:w="1134"/>
            <w:shd w:val="clear" w:color="auto" w:fill="FFFFFF"/>
          </w:tcPr>
          <w:p>
            <w:pPr>
              <w:spacing w:after="40" w:before="40"/>
              <w:jc w:val="center"/>
            </w:pPr>
            <w:r>
              <w:rPr>
                <w:rFonts w:ascii="Calibri" w:hAnsi="Calibri"/>
                <w:sz w:val="20"/>
              </w:rPr>
              <w:t>0,52</w:t>
            </w:r>
          </w:p>
        </w:tc>
        <w:tc>
          <w:tcPr>
            <w:tcW w:type="dxa" w:w="1134"/>
            <w:shd w:val="clear" w:color="auto" w:fill="FFFFFF"/>
          </w:tcPr>
          <w:p>
            <w:pPr>
              <w:spacing w:after="40" w:before="40"/>
              <w:jc w:val="center"/>
            </w:pPr>
            <w:r>
              <w:rPr>
                <w:rFonts w:ascii="Calibri" w:hAnsi="Calibri"/>
                <w:sz w:val="20"/>
              </w:rPr>
              <w:t>9</w:t>
            </w:r>
          </w:p>
        </w:tc>
        <w:tc>
          <w:tcPr>
            <w:tcW w:type="dxa" w:w="1984"/>
            <w:shd w:val="clear" w:color="auto" w:fill="FFFFFF"/>
          </w:tcPr>
          <w:p>
            <w:pPr>
              <w:spacing w:after="40" w:before="40"/>
              <w:jc w:val="center"/>
            </w:pPr>
            <w:r>
              <w:rPr>
                <w:rFonts w:ascii="Calibri" w:hAnsi="Calibri"/>
                <w:sz w:val="20"/>
              </w:rPr>
              <w:t>C – Niche</w:t>
            </w:r>
          </w:p>
        </w:tc>
        <w:tc>
          <w:tcPr>
            <w:tcW w:type="dxa" w:w="1247"/>
            <w:shd w:val="clear" w:color="auto" w:fill="FFFFFF"/>
          </w:tcPr>
          <w:p>
            <w:pPr>
              <w:spacing w:after="40" w:before="40"/>
              <w:jc w:val="center"/>
            </w:pPr>
            <w:r>
              <w:rPr>
                <w:rFonts w:ascii="Calibri" w:hAnsi="Calibri"/>
                <w:sz w:val="20"/>
              </w:rPr>
              <w:t>NEUTRE</w:t>
            </w:r>
          </w:p>
        </w:tc>
      </w:tr>
      <w:tr>
        <w:tc>
          <w:tcPr>
            <w:tcW w:type="dxa" w:w="567"/>
            <w:shd w:val="clear" w:color="auto" w:fill="F5F5F5"/>
          </w:tcPr>
          <w:p>
            <w:pPr>
              <w:spacing w:after="40" w:before="40"/>
              <w:jc w:val="left"/>
            </w:pPr>
            <w:r>
              <w:rPr>
                <w:rFonts w:ascii="Calibri" w:hAnsi="Calibri"/>
                <w:sz w:val="20"/>
              </w:rPr>
              <w:t>10</w:t>
            </w:r>
          </w:p>
        </w:tc>
        <w:tc>
          <w:tcPr>
            <w:tcW w:type="dxa" w:w="1587"/>
            <w:shd w:val="clear" w:color="auto" w:fill="F5F5F5"/>
          </w:tcPr>
          <w:p>
            <w:pPr>
              <w:spacing w:after="40" w:before="40"/>
              <w:jc w:val="center"/>
            </w:pPr>
            <w:r>
              <w:rPr>
                <w:rFonts w:ascii="Calibri" w:hAnsi="Calibri"/>
                <w:sz w:val="20"/>
              </w:rPr>
              <w:t>Cameroun</w:t>
            </w:r>
          </w:p>
        </w:tc>
        <w:tc>
          <w:tcPr>
            <w:tcW w:type="dxa" w:w="1984"/>
            <w:shd w:val="clear" w:color="auto" w:fill="F5F5F5"/>
          </w:tcPr>
          <w:p>
            <w:pPr>
              <w:spacing w:after="40" w:before="40"/>
              <w:jc w:val="center"/>
            </w:pPr>
            <w:r>
              <w:rPr>
                <w:rFonts w:ascii="Calibri" w:hAnsi="Calibri"/>
                <w:sz w:val="20"/>
              </w:rPr>
              <w:t>Afrique Centrale</w:t>
            </w:r>
          </w:p>
        </w:tc>
        <w:tc>
          <w:tcPr>
            <w:tcW w:type="dxa" w:w="1134"/>
            <w:shd w:val="clear" w:color="auto" w:fill="F5F5F5"/>
          </w:tcPr>
          <w:p>
            <w:pPr>
              <w:spacing w:after="40" w:before="40"/>
              <w:jc w:val="center"/>
            </w:pPr>
            <w:r>
              <w:rPr>
                <w:rFonts w:ascii="Calibri" w:hAnsi="Calibri"/>
                <w:sz w:val="20"/>
              </w:rPr>
              <w:t>0,49</w:t>
            </w:r>
          </w:p>
        </w:tc>
        <w:tc>
          <w:tcPr>
            <w:tcW w:type="dxa" w:w="1134"/>
            <w:shd w:val="clear" w:color="auto" w:fill="F5F5F5"/>
          </w:tcPr>
          <w:p>
            <w:pPr>
              <w:spacing w:after="40" w:before="40"/>
              <w:jc w:val="center"/>
            </w:pPr>
            <w:r>
              <w:rPr>
                <w:rFonts w:ascii="Calibri" w:hAnsi="Calibri"/>
                <w:sz w:val="20"/>
              </w:rPr>
              <w:t>11</w:t>
            </w:r>
          </w:p>
        </w:tc>
        <w:tc>
          <w:tcPr>
            <w:tcW w:type="dxa" w:w="1984"/>
            <w:shd w:val="clear" w:color="auto" w:fill="F5F5F5"/>
          </w:tcPr>
          <w:p>
            <w:pPr>
              <w:spacing w:after="40" w:before="40"/>
              <w:jc w:val="center"/>
            </w:pPr>
            <w:r>
              <w:rPr>
                <w:rFonts w:ascii="Calibri" w:hAnsi="Calibri"/>
                <w:sz w:val="20"/>
              </w:rPr>
              <w:t>B – Fort potentiel</w:t>
            </w:r>
          </w:p>
        </w:tc>
        <w:tc>
          <w:tcPr>
            <w:tcW w:type="dxa" w:w="1247"/>
            <w:shd w:val="clear" w:color="auto" w:fill="F5F5F5"/>
          </w:tcPr>
          <w:p>
            <w:pPr>
              <w:spacing w:after="40" w:before="40"/>
              <w:jc w:val="center"/>
            </w:pPr>
            <w:r>
              <w:rPr>
                <w:rFonts w:ascii="Calibri" w:hAnsi="Calibri"/>
                <w:sz w:val="20"/>
              </w:rPr>
              <w:t>NEUTRE</w:t>
            </w:r>
          </w:p>
        </w:tc>
      </w:tr>
    </w:tbl>
    <w:p>
      <w:pPr>
        <w:spacing w:after="80"/>
      </w:pPr>
    </w:p>
    <w:p>
      <w:pPr>
        <w:spacing w:after="80" w:before="40"/>
        <w:jc w:val="both"/>
      </w:pPr>
      <w:r>
        <w:rPr>
          <w:rFonts w:ascii="Calibri" w:hAnsi="Calibri"/>
          <w:b w:val="0"/>
          <w:i/>
          <w:color w:val="595959"/>
          <w:sz w:val="18"/>
        </w:rPr>
        <w:t>* Classement indicatif — scores exacts et analyse de sensibilité disponibles dans SCAR.</w:t>
      </w:r>
    </w:p>
    <w:p>
      <w:pPr>
        <w:spacing w:before="240" w:after="80"/>
      </w:pPr>
      <w:r>
        <w:rPr>
          <w:rFonts w:ascii="Calibri" w:hAnsi="Calibri"/>
          <w:b/>
          <w:color w:val="5D8438"/>
          <w:sz w:val="28"/>
        </w:rPr>
        <w:t>7.  Observations Clés</w:t>
      </w:r>
    </w:p>
    <w:p>
      <w:pPr>
        <w:pStyle w:val="ListBullet"/>
        <w:spacing w:after="60"/>
        <w:ind w:left="283"/>
      </w:pPr>
      <w:r>
        <w:rPr>
          <w:rFonts w:ascii="Calibri" w:hAnsi="Calibri"/>
          <w:sz w:val="24"/>
        </w:rPr>
        <w:t>Afrique du Nord (Maroc, Tunisie, Algérie) : cœur de maturité assurantielle — marchés stables et prévisibles.</w:t>
      </w:r>
    </w:p>
    <w:p>
      <w:pPr>
        <w:pStyle w:val="ListBullet"/>
        <w:spacing w:after="60"/>
        <w:ind w:left="283"/>
      </w:pPr>
      <w:r>
        <w:rPr>
          <w:rFonts w:ascii="Calibri" w:hAnsi="Calibri"/>
          <w:sz w:val="24"/>
        </w:rPr>
        <w:t>Afrique de l'Ouest (Côte d'Ivoire, Ghana, Sénégal) : principal moteur de croissance, portée par la démographie et l'urbanisation.</w:t>
      </w:r>
    </w:p>
    <w:p>
      <w:pPr>
        <w:pStyle w:val="ListBullet"/>
        <w:spacing w:after="60"/>
        <w:ind w:left="283"/>
      </w:pPr>
      <w:r>
        <w:rPr>
          <w:rFonts w:ascii="Calibri" w:hAnsi="Calibri"/>
          <w:sz w:val="24"/>
        </w:rPr>
        <w:t>Kenya : hub assurantiel d'Afrique de l'Est, écosystème innovant (mobile insurance).</w:t>
      </w:r>
    </w:p>
    <w:p>
      <w:pPr>
        <w:pStyle w:val="ListBullet"/>
        <w:spacing w:after="60"/>
        <w:ind w:left="283"/>
      </w:pPr>
      <w:r>
        <w:rPr>
          <w:rFonts w:ascii="Calibri" w:hAnsi="Calibri"/>
          <w:sz w:val="24"/>
        </w:rPr>
        <w:t>Égypte : fort potentiel de volume, mais stabilité institutionnelle plus incertaine → badge NEUTRE.</w:t>
      </w:r>
    </w:p>
    <w:p>
      <w:pPr>
        <w:pStyle w:val="ListBullet"/>
        <w:spacing w:after="60"/>
        <w:ind w:left="283"/>
      </w:pPr>
      <w:r>
        <w:rPr>
          <w:rFonts w:ascii="Calibri" w:hAnsi="Calibri"/>
          <w:sz w:val="24"/>
        </w:rPr>
        <w:t>10 marchés ATTRACTIFS sur 33 : concentrer les efforts sur ce cœur maximise le retour sur investissement commercial.</w:t>
      </w:r>
    </w:p>
    <w:p>
      <w:pPr>
        <w:spacing w:before="240" w:after="80"/>
      </w:pPr>
      <w:r>
        <w:rPr>
          <w:rFonts w:ascii="Calibri" w:hAnsi="Calibri"/>
          <w:b/>
          <w:color w:val="5D8438"/>
          <w:sz w:val="28"/>
        </w:rPr>
        <w:t>8.  Conclusion</w:t>
      </w:r>
    </w:p>
    <w:p>
      <w:pPr>
        <w:spacing w:after="140" w:before="40"/>
        <w:jc w:val="both"/>
      </w:pPr>
      <w:r>
        <w:rPr>
          <w:rFonts w:ascii="Calibri" w:hAnsi="Calibri"/>
          <w:b w:val="0"/>
          <w:i w:val="0"/>
          <w:sz w:val="24"/>
        </w:rPr>
        <w:t>Ce travail combine prédiction statistique avancée (Ridge, ARIMA, Conformal Prediction) et aide à la décision multi-critères (TOPSIS, PCA, Monte Carlo, K-Means) pour produire un outil d'aide à la décision stratégique robuste, objectif et transparent.</w:t>
      </w:r>
    </w:p>
    <w:p>
      <w:pPr>
        <w:spacing w:after="140" w:before="40"/>
        <w:jc w:val="both"/>
      </w:pPr>
      <w:r>
        <w:rPr>
          <w:rFonts w:ascii="Calibri" w:hAnsi="Calibri"/>
          <w:b w:val="0"/>
          <w:i w:val="0"/>
          <w:sz w:val="24"/>
        </w:rPr>
        <w:t>Les résultats sont consultables en temps réel dans l'application SCAR d'Atlantic Re : visualisations interactives, filtres par région ou badge, simulation de pondérations personnalisées, et téléchargement des données pays par pays.</w:t>
      </w:r>
    </w:p>
    <w:tbl>
      <w:tblPr>
        <w:tblW w:type="auto" w:w="0"/>
        <w:jc w:val="left"/>
        <w:tblLook w:firstColumn="1" w:firstRow="1" w:lastColumn="0" w:lastRow="0" w:noHBand="0" w:noVBand="1" w:val="04A0"/>
      </w:tblPr>
      <w:tblGrid>
        <w:gridCol w:w="9406"/>
      </w:tblGrid>
      <w:tr>
        <w:tc>
          <w:tcPr>
            <w:tcW w:type="dxa" w:w="9406"/>
            <w:shd w:val="clear" w:color="auto" w:fill="F5F5F5"/>
            <w:tcBorders>
              <w:top w:val="none"/>
              <w:right w:val="none"/>
              <w:bottom w:val="none"/>
              <w:left w:val="single" w:sz="14" w:space="0" w:color="5D8438"/>
            </w:tcBorders>
          </w:tcPr>
          <w:p>
            <w:pPr>
              <w:spacing w:after="40" w:before="40"/>
            </w:pPr>
            <w:r>
              <w:rPr>
                <w:rFonts w:ascii="Calibri" w:hAnsi="Calibri"/>
                <w:b/>
                <w:color w:val="5D8438"/>
                <w:sz w:val="22"/>
              </w:rPr>
              <w:t xml:space="preserve">💡  </w:t>
            </w:r>
            <w:r>
              <w:rPr>
                <w:rFonts w:ascii="Calibri" w:hAnsi="Calibri"/>
                <w:i/>
                <w:sz w:val="22"/>
              </w:rPr>
              <w:t>Ce rapport est un document vivant : les modèles sont recalibrés annuellement à chaque mise à jour des données. La méthodologie reste constante, permettant des comparaisons fiables dans le temps.</w:t>
            </w:r>
          </w:p>
        </w:tc>
      </w:tr>
    </w:tbl>
    <w:p>
      <w:pPr>
        <w:spacing w:after="80"/>
      </w:pP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95959"/>
        <w:sz w:val="18"/>
      </w:rPr>
      <w:t>Atlantic Re  —  Guide Méthodologique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