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0BF" w:rsidRDefault="00C930BF">
      <w:pPr>
        <w:spacing w:after="0"/>
      </w:pPr>
    </w:p>
    <w:p w:rsidR="00C930BF" w:rsidRDefault="00C930BF">
      <w:pPr>
        <w:spacing w:after="0"/>
      </w:pPr>
    </w:p>
    <w:p w:rsidR="00C930BF" w:rsidRDefault="00C930BF">
      <w:pPr>
        <w:spacing w:after="0"/>
      </w:pPr>
    </w:p>
    <w:p w:rsidR="00C930BF" w:rsidRDefault="00C930BF">
      <w:pPr>
        <w:spacing w:after="0"/>
      </w:pPr>
    </w:p>
    <w:p w:rsidR="00C930BF" w:rsidRDefault="00C930BF">
      <w:pPr>
        <w:spacing w:after="0"/>
      </w:pPr>
    </w:p>
    <w:p w:rsidR="00C930BF" w:rsidRDefault="00C930BF">
      <w:pPr>
        <w:spacing w:after="0"/>
      </w:pPr>
    </w:p>
    <w:p w:rsidR="00C930BF" w:rsidRDefault="00B16C3E">
      <w:pPr>
        <w:spacing w:after="40"/>
        <w:jc w:val="center"/>
      </w:pPr>
      <w:r>
        <w:rPr>
          <w:rFonts w:ascii="Calibri" w:hAnsi="Calibri"/>
          <w:b/>
          <w:color w:val="1E3A5F"/>
          <w:sz w:val="72"/>
        </w:rPr>
        <w:t>ATLANTIC RE</w:t>
      </w:r>
    </w:p>
    <w:p w:rsidR="00C930BF" w:rsidRDefault="00B16C3E">
      <w:pPr>
        <w:spacing w:after="40"/>
        <w:jc w:val="center"/>
      </w:pPr>
      <w:r>
        <w:rPr>
          <w:rFonts w:ascii="Calibri" w:hAnsi="Calibri"/>
          <w:color w:val="4E6820"/>
          <w:sz w:val="28"/>
        </w:rPr>
        <w:t>CDG GROUP</w:t>
      </w:r>
    </w:p>
    <w:p w:rsidR="00C930BF" w:rsidRDefault="00B16C3E">
      <w:pPr>
        <w:shd w:val="clear" w:color="auto" w:fill="1E3A5F"/>
        <w:spacing w:before="160" w:after="160"/>
        <w:jc w:val="center"/>
      </w:pPr>
      <w:r>
        <w:rPr>
          <w:rFonts w:ascii="Calibri" w:hAnsi="Calibri"/>
          <w:sz w:val="8"/>
        </w:rPr>
        <w:t xml:space="preserve">                                                                                                                        </w:t>
      </w:r>
    </w:p>
    <w:p w:rsidR="00C930BF" w:rsidRDefault="00C930BF">
      <w:pPr>
        <w:spacing w:after="0"/>
      </w:pPr>
    </w:p>
    <w:p w:rsidR="00C930BF" w:rsidRDefault="00C930BF">
      <w:pPr>
        <w:spacing w:after="0"/>
      </w:pPr>
    </w:p>
    <w:p w:rsidR="00C930BF" w:rsidRDefault="00C930BF">
      <w:pPr>
        <w:spacing w:after="0"/>
      </w:pPr>
    </w:p>
    <w:p w:rsidR="00C930BF" w:rsidRDefault="00B16C3E">
      <w:pPr>
        <w:spacing w:after="80"/>
        <w:jc w:val="center"/>
      </w:pPr>
      <w:r>
        <w:rPr>
          <w:rFonts w:ascii="Calibri" w:hAnsi="Calibri"/>
          <w:b/>
          <w:color w:val="1E3A5F"/>
          <w:sz w:val="52"/>
        </w:rPr>
        <w:t>Guide de Démarrage</w:t>
      </w:r>
    </w:p>
    <w:p w:rsidR="00C930BF" w:rsidRDefault="00B16C3E">
      <w:pPr>
        <w:spacing w:after="80"/>
        <w:jc w:val="center"/>
      </w:pPr>
      <w:r>
        <w:rPr>
          <w:rFonts w:ascii="Calibri" w:hAnsi="Calibri"/>
          <w:color w:val="1E3A5F"/>
          <w:sz w:val="44"/>
        </w:rPr>
        <w:t>et Présentation Fonctionnelle</w:t>
      </w:r>
    </w:p>
    <w:p w:rsidR="00C930BF" w:rsidRDefault="00C930BF">
      <w:pPr>
        <w:spacing w:after="0"/>
      </w:pPr>
    </w:p>
    <w:p w:rsidR="00C930BF" w:rsidRDefault="00C930BF">
      <w:pPr>
        <w:spacing w:after="0"/>
      </w:pPr>
    </w:p>
    <w:p w:rsidR="00C930BF" w:rsidRDefault="00B16C3E">
      <w:pPr>
        <w:spacing w:after="80"/>
        <w:jc w:val="center"/>
      </w:pPr>
      <w:r>
        <w:rPr>
          <w:rFonts w:ascii="Calibri" w:hAnsi="Calibri"/>
          <w:i/>
          <w:color w:val="444444"/>
          <w:sz w:val="26"/>
        </w:rPr>
        <w:t>Guide destiné à l'encadrant</w:t>
      </w:r>
    </w:p>
    <w:p w:rsidR="00C930BF" w:rsidRDefault="00B16C3E">
      <w:pPr>
        <w:spacing w:before="80" w:after="0"/>
        <w:jc w:val="center"/>
      </w:pPr>
      <w:r>
        <w:rPr>
          <w:rFonts w:ascii="Calibri" w:hAnsi="Calibri"/>
          <w:color w:val="444444"/>
          <w:sz w:val="24"/>
        </w:rPr>
        <w:t>Avril 2026</w:t>
      </w:r>
    </w:p>
    <w:p w:rsidR="00C930BF" w:rsidRDefault="00C930BF">
      <w:pPr>
        <w:spacing w:after="0"/>
      </w:pPr>
    </w:p>
    <w:p w:rsidR="00C930BF" w:rsidRDefault="00C930BF">
      <w:pPr>
        <w:spacing w:after="0"/>
      </w:pPr>
    </w:p>
    <w:p w:rsidR="00C930BF" w:rsidRDefault="00C930BF">
      <w:pPr>
        <w:spacing w:after="0"/>
      </w:pPr>
    </w:p>
    <w:p w:rsidR="00C930BF" w:rsidRDefault="00C930BF">
      <w:pPr>
        <w:spacing w:after="0"/>
      </w:pPr>
    </w:p>
    <w:p w:rsidR="00C930BF" w:rsidRDefault="00C930BF">
      <w:pPr>
        <w:spacing w:after="0"/>
      </w:pPr>
    </w:p>
    <w:p w:rsidR="00C930BF" w:rsidRDefault="00C930BF">
      <w:pPr>
        <w:spacing w:after="0"/>
      </w:pPr>
    </w:p>
    <w:p w:rsidR="00C930BF" w:rsidRDefault="00B16C3E">
      <w:pPr>
        <w:shd w:val="clear" w:color="auto" w:fill="4E6820"/>
        <w:spacing w:before="160" w:after="160"/>
        <w:jc w:val="center"/>
      </w:pPr>
      <w:r>
        <w:rPr>
          <w:rFonts w:ascii="Calibri" w:hAnsi="Calibri"/>
          <w:sz w:val="8"/>
        </w:rPr>
        <w:t xml:space="preserve">                                                                                                                        </w:t>
      </w:r>
    </w:p>
    <w:p w:rsidR="00C930BF" w:rsidRDefault="00B16C3E">
      <w:pPr>
        <w:spacing w:before="120" w:after="0"/>
        <w:jc w:val="center"/>
      </w:pPr>
      <w:r>
        <w:rPr>
          <w:rFonts w:ascii="Calibri" w:hAnsi="Calibri"/>
          <w:i/>
          <w:color w:val="444444"/>
          <w:sz w:val="20"/>
        </w:rPr>
        <w:t>Plateforme de Réassurance — Version 2.0</w:t>
      </w:r>
    </w:p>
    <w:p w:rsidR="00C930BF" w:rsidRDefault="00B16C3E">
      <w:r>
        <w:br w:type="page"/>
      </w:r>
    </w:p>
    <w:p w:rsidR="00C930BF" w:rsidRDefault="00B16C3E">
      <w:r>
        <w:rPr>
          <w:rFonts w:ascii="Calibri" w:hAnsi="Calibri"/>
          <w:b/>
          <w:color w:val="1E3A5F"/>
          <w:sz w:val="32"/>
        </w:rPr>
        <w:lastRenderedPageBreak/>
        <w:t>SOMMAIRE</w:t>
      </w:r>
    </w:p>
    <w:p w:rsidR="00C930BF" w:rsidRDefault="00B16C3E">
      <w:pPr>
        <w:spacing w:before="40" w:after="40"/>
      </w:pPr>
      <w:r>
        <w:rPr>
          <w:rFonts w:ascii="Calibri" w:hAnsi="Calibri"/>
          <w:b/>
          <w:color w:val="1E3A5F"/>
          <w:sz w:val="21"/>
        </w:rPr>
        <w:t>Partie 1   Guide de démarrage</w:t>
      </w:r>
      <w:r>
        <w:rPr>
          <w:rFonts w:ascii="Calibri" w:hAnsi="Calibri"/>
          <w:color w:val="999999"/>
          <w:sz w:val="20"/>
        </w:rPr>
        <w:t xml:space="preserve"> .................................. 3</w:t>
      </w:r>
    </w:p>
    <w:p w:rsidR="00C930BF" w:rsidRDefault="00B16C3E">
      <w:pPr>
        <w:spacing w:before="40" w:after="40"/>
      </w:pPr>
      <w:r>
        <w:rPr>
          <w:rFonts w:ascii="Calibri" w:hAnsi="Calibri"/>
          <w:color w:val="444444"/>
          <w:sz w:val="21"/>
        </w:rPr>
        <w:t>1.1   Prérequis et mise à jour</w:t>
      </w:r>
      <w:r>
        <w:rPr>
          <w:rFonts w:ascii="Calibri" w:hAnsi="Calibri"/>
          <w:color w:val="999999"/>
          <w:sz w:val="20"/>
        </w:rPr>
        <w:t xml:space="preserve"> ............................... 3</w:t>
      </w:r>
    </w:p>
    <w:p w:rsidR="00C930BF" w:rsidRDefault="00B16C3E">
      <w:pPr>
        <w:spacing w:before="40" w:after="40"/>
      </w:pPr>
      <w:r>
        <w:rPr>
          <w:rFonts w:ascii="Calibri" w:hAnsi="Calibri"/>
          <w:color w:val="444444"/>
          <w:sz w:val="21"/>
        </w:rPr>
        <w:t>1.2   Lancement du backend</w:t>
      </w:r>
      <w:r>
        <w:rPr>
          <w:rFonts w:ascii="Calibri" w:hAnsi="Calibri"/>
          <w:color w:val="999999"/>
          <w:sz w:val="20"/>
        </w:rPr>
        <w:t xml:space="preserve"> ................................... 3</w:t>
      </w:r>
    </w:p>
    <w:p w:rsidR="00C930BF" w:rsidRDefault="00B16C3E">
      <w:pPr>
        <w:spacing w:before="40" w:after="40"/>
      </w:pPr>
      <w:r>
        <w:rPr>
          <w:rFonts w:ascii="Calibri" w:hAnsi="Calibri"/>
          <w:color w:val="444444"/>
          <w:sz w:val="21"/>
        </w:rPr>
        <w:t>1.3   Lancement du frontend</w:t>
      </w:r>
      <w:r>
        <w:rPr>
          <w:rFonts w:ascii="Calibri" w:hAnsi="Calibri"/>
          <w:color w:val="999999"/>
          <w:sz w:val="20"/>
        </w:rPr>
        <w:t xml:space="preserve"> .................................. 4</w:t>
      </w:r>
    </w:p>
    <w:p w:rsidR="00C930BF" w:rsidRDefault="00B16C3E">
      <w:pPr>
        <w:spacing w:before="40" w:after="40"/>
      </w:pPr>
      <w:r>
        <w:rPr>
          <w:rFonts w:ascii="Calibri" w:hAnsi="Calibri"/>
          <w:color w:val="444444"/>
          <w:sz w:val="21"/>
        </w:rPr>
        <w:t>1.4   Connexion et configuration</w:t>
      </w:r>
      <w:r>
        <w:rPr>
          <w:rFonts w:ascii="Calibri" w:hAnsi="Calibri"/>
          <w:color w:val="999999"/>
          <w:sz w:val="20"/>
        </w:rPr>
        <w:t xml:space="preserve"> ............................. 4</w:t>
      </w:r>
    </w:p>
    <w:p w:rsidR="00C930BF" w:rsidRDefault="00B16C3E">
      <w:pPr>
        <w:spacing w:before="40" w:after="40"/>
      </w:pPr>
      <w:r>
        <w:rPr>
          <w:rFonts w:ascii="Calibri" w:hAnsi="Calibri"/>
          <w:b/>
          <w:color w:val="1E3A5F"/>
          <w:sz w:val="21"/>
        </w:rPr>
        <w:t>Partie 2   Guide des fonctionnalités</w:t>
      </w:r>
      <w:r>
        <w:rPr>
          <w:rFonts w:ascii="Calibri" w:hAnsi="Calibri"/>
          <w:color w:val="999999"/>
          <w:sz w:val="20"/>
        </w:rPr>
        <w:t xml:space="preserve"> ........................... 5</w:t>
      </w:r>
    </w:p>
    <w:p w:rsidR="00C930BF" w:rsidRDefault="00B16C3E">
      <w:pPr>
        <w:spacing w:before="40" w:after="20"/>
      </w:pPr>
      <w:r>
        <w:rPr>
          <w:rFonts w:ascii="Calibri" w:hAnsi="Calibri"/>
          <w:b/>
          <w:color w:val="1E3A5F"/>
          <w:sz w:val="20"/>
        </w:rPr>
        <w:t>Axe 1 — Portefeuille Interne</w:t>
      </w:r>
    </w:p>
    <w:p w:rsidR="00C930BF" w:rsidRDefault="00B16C3E">
      <w:pPr>
        <w:spacing w:before="20" w:after="20"/>
      </w:pPr>
      <w:r>
        <w:rPr>
          <w:rFonts w:ascii="Calibri" w:hAnsi="Calibri"/>
          <w:color w:val="444444"/>
          <w:sz w:val="20"/>
        </w:rPr>
        <w:t>2.1   Tableau de bord — Vue panoramique du portefeuille (KPIs, carte, alertes, pipeline) ............. 5</w:t>
      </w:r>
    </w:p>
    <w:p w:rsidR="00C930BF" w:rsidRDefault="00B16C3E">
      <w:pPr>
        <w:spacing w:before="20" w:after="20"/>
      </w:pPr>
      <w:r>
        <w:rPr>
          <w:rFonts w:ascii="Calibri" w:hAnsi="Calibri"/>
          <w:color w:val="444444"/>
          <w:sz w:val="20"/>
        </w:rPr>
        <w:t>2.2   Analyse — Globale par pays, Cédante, Courtiers, Exposition &amp; Risques ........................ 5</w:t>
      </w:r>
    </w:p>
    <w:p w:rsidR="00C930BF" w:rsidRDefault="00B16C3E">
      <w:pPr>
        <w:spacing w:before="20" w:after="20"/>
      </w:pPr>
      <w:r>
        <w:rPr>
          <w:rFonts w:ascii="Calibri" w:hAnsi="Calibri"/>
          <w:color w:val="444444"/>
          <w:sz w:val="20"/>
        </w:rPr>
        <w:t>2.3   Scoring Marché — Scoring multicritère dynamique des marchés Pays × Branche ................... 6</w:t>
      </w:r>
    </w:p>
    <w:p w:rsidR="00C930BF" w:rsidRDefault="00B16C3E">
      <w:pPr>
        <w:spacing w:before="20" w:after="20"/>
      </w:pPr>
      <w:r>
        <w:rPr>
          <w:rFonts w:ascii="Calibri" w:hAnsi="Calibri"/>
          <w:color w:val="444444"/>
          <w:sz w:val="20"/>
        </w:rPr>
        <w:t>2.4   Comparaison Marché — Comparatif côte-à-côte de deux marchés (radar, évolution, KPIs) ........ 7</w:t>
      </w:r>
    </w:p>
    <w:p w:rsidR="00C930BF" w:rsidRDefault="00B16C3E">
      <w:pPr>
        <w:spacing w:before="20" w:after="20"/>
      </w:pPr>
      <w:r>
        <w:rPr>
          <w:rFonts w:ascii="Calibri" w:hAnsi="Calibri"/>
          <w:color w:val="444444"/>
          <w:sz w:val="20"/>
        </w:rPr>
        <w:t>2.5   Pilotage — Cibles TTY (parts optimales) &amp; Saturation FAC ...................................... 7</w:t>
      </w:r>
    </w:p>
    <w:p w:rsidR="00C930BF" w:rsidRDefault="00B16C3E">
      <w:pPr>
        <w:spacing w:before="20" w:after="20"/>
      </w:pPr>
      <w:r>
        <w:rPr>
          <w:rFonts w:ascii="Calibri" w:hAnsi="Calibri"/>
          <w:color w:val="444444"/>
          <w:sz w:val="20"/>
        </w:rPr>
        <w:t>2.6   Rétrocession — Affaires Traitées, Panel de Sécurité, FAC-to-FAC .............................. 8</w:t>
      </w:r>
    </w:p>
    <w:p w:rsidR="00C930BF" w:rsidRDefault="00B16C3E">
      <w:pPr>
        <w:spacing w:before="40" w:after="20"/>
      </w:pPr>
      <w:r>
        <w:rPr>
          <w:rFonts w:ascii="Calibri" w:hAnsi="Calibri"/>
          <w:b/>
          <w:color w:val="4E6820"/>
          <w:sz w:val="20"/>
        </w:rPr>
        <w:t>Axe 2 — Modélisation Afrique 2030</w:t>
      </w:r>
    </w:p>
    <w:p w:rsidR="00C930BF" w:rsidRDefault="00B16C3E">
      <w:pPr>
        <w:spacing w:before="20" w:after="20"/>
      </w:pPr>
      <w:r>
        <w:rPr>
          <w:rFonts w:ascii="Calibri" w:hAnsi="Calibri"/>
          <w:color w:val="444444"/>
          <w:sz w:val="20"/>
        </w:rPr>
        <w:t>2.7   Cartographie Non-Vie — Marché Non-Vie africain, 9 onglets, insights dynamiques .............. 9</w:t>
      </w:r>
    </w:p>
    <w:p w:rsidR="00C930BF" w:rsidRDefault="00B16C3E">
      <w:pPr>
        <w:spacing w:before="20" w:after="20"/>
      </w:pPr>
      <w:r>
        <w:rPr>
          <w:rFonts w:ascii="Calibri" w:hAnsi="Calibri"/>
          <w:color w:val="444444"/>
          <w:sz w:val="20"/>
        </w:rPr>
        <w:t>2.8   Cartographie Vie — Marché Vie africain, même architecture en onglets ...................... 10</w:t>
      </w:r>
    </w:p>
    <w:p w:rsidR="00C930BF" w:rsidRDefault="00B16C3E">
      <w:pPr>
        <w:spacing w:before="20" w:after="20"/>
      </w:pPr>
      <w:r>
        <w:rPr>
          <w:rFonts w:ascii="Calibri" w:hAnsi="Calibri"/>
          <w:color w:val="444444"/>
          <w:sz w:val="20"/>
        </w:rPr>
        <w:t>2.9   Cartographie Macroéconomie — PIB, croissance, inflation, intégration régionale .............. 10</w:t>
      </w:r>
    </w:p>
    <w:p w:rsidR="00C930BF" w:rsidRDefault="00B16C3E">
      <w:pPr>
        <w:spacing w:before="20" w:after="20"/>
      </w:pPr>
      <w:r>
        <w:rPr>
          <w:rFonts w:ascii="Calibri" w:hAnsi="Calibri"/>
          <w:color w:val="444444"/>
          <w:sz w:val="20"/>
        </w:rPr>
        <w:t>2.10  Cartographie Gouvernance — Stabilité politique, qualité réglementaire, IDE, KAOPEN ......... 11</w:t>
      </w:r>
    </w:p>
    <w:p w:rsidR="00C930BF" w:rsidRDefault="00B16C3E">
      <w:pPr>
        <w:spacing w:before="20" w:after="20"/>
      </w:pPr>
      <w:r>
        <w:rPr>
          <w:rFonts w:ascii="Calibri" w:hAnsi="Calibri"/>
          <w:color w:val="444444"/>
          <w:sz w:val="20"/>
        </w:rPr>
        <w:t>2.11  SCAR Scoring — Scoring stratégique multicritère des marchés africains ...................... 11</w:t>
      </w:r>
    </w:p>
    <w:p w:rsidR="00C930BF" w:rsidRDefault="00B16C3E">
      <w:pPr>
        <w:spacing w:before="20" w:after="20"/>
      </w:pPr>
      <w:r>
        <w:rPr>
          <w:rFonts w:ascii="Calibri" w:hAnsi="Calibri"/>
          <w:color w:val="444444"/>
          <w:sz w:val="20"/>
        </w:rPr>
        <w:t>2.12  Analyse par Pays — Fiche pays 9 onglets (NV, Vie, Macro, Gouvernance, Positionnement) ....... 12</w:t>
      </w:r>
    </w:p>
    <w:p w:rsidR="00C930BF" w:rsidRDefault="00B16C3E">
      <w:pPr>
        <w:spacing w:before="20" w:after="20"/>
      </w:pPr>
      <w:r>
        <w:rPr>
          <w:rFonts w:ascii="Calibri" w:hAnsi="Calibri"/>
          <w:color w:val="444444"/>
          <w:sz w:val="20"/>
        </w:rPr>
        <w:t>2.13  Comparaison de Pays — Analyse côte-à-côte de 2 pays africains, 7 onglets ................. 12</w:t>
      </w:r>
    </w:p>
    <w:p w:rsidR="00C930BF" w:rsidRDefault="00B16C3E">
      <w:pPr>
        <w:spacing w:before="40" w:after="20"/>
      </w:pPr>
      <w:r>
        <w:rPr>
          <w:rFonts w:ascii="Calibri" w:hAnsi="Calibri"/>
          <w:b/>
          <w:color w:val="B8860B"/>
          <w:sz w:val="20"/>
        </w:rPr>
        <w:t>Module Synergique — Axe 1 × Axe 2</w:t>
      </w:r>
    </w:p>
    <w:p w:rsidR="00C930BF" w:rsidRDefault="00B16C3E">
      <w:pPr>
        <w:spacing w:before="20" w:after="20"/>
      </w:pPr>
      <w:r>
        <w:rPr>
          <w:rFonts w:ascii="Calibri" w:hAnsi="Calibri"/>
          <w:color w:val="444444"/>
          <w:sz w:val="20"/>
        </w:rPr>
        <w:t>2.14  Analyse Synergique Vue Globale — Portefeuille × Marchés, Top 15 pays, évolution ............ 13</w:t>
      </w:r>
    </w:p>
    <w:p w:rsidR="00C930BF" w:rsidRDefault="00B16C3E">
      <w:pPr>
        <w:spacing w:before="20" w:after="40"/>
      </w:pPr>
      <w:r>
        <w:rPr>
          <w:rFonts w:ascii="Calibri" w:hAnsi="Calibri"/>
          <w:color w:val="444444"/>
          <w:sz w:val="20"/>
        </w:rPr>
        <w:t>2.15  Analyse Synergique Vue Pays — Rapport de recommandation stratégique automatique ............ 13</w:t>
      </w:r>
    </w:p>
    <w:p w:rsidR="00C930BF" w:rsidRDefault="00B16C3E">
      <w:r>
        <w:br w:type="page"/>
      </w:r>
    </w:p>
    <w:p w:rsidR="00C930BF" w:rsidRDefault="00B16C3E">
      <w:pPr>
        <w:pBdr>
          <w:bottom w:val="single" w:sz="6" w:space="1" w:color="1E3A5F"/>
        </w:pBdr>
        <w:spacing w:before="360" w:after="120"/>
      </w:pPr>
      <w:r>
        <w:rPr>
          <w:rFonts w:ascii="Calibri" w:hAnsi="Calibri"/>
          <w:b/>
          <w:color w:val="1E3A5F"/>
          <w:sz w:val="32"/>
        </w:rPr>
        <w:lastRenderedPageBreak/>
        <w:t>Partie 1 — Guide de démarrage</w:t>
      </w:r>
    </w:p>
    <w:p w:rsidR="00C930BF" w:rsidRDefault="00B16C3E">
      <w:pPr>
        <w:spacing w:before="40" w:after="80"/>
      </w:pPr>
      <w:r>
        <w:rPr>
          <w:rFonts w:ascii="Calibri" w:hAnsi="Calibri"/>
          <w:color w:val="444444"/>
          <w:sz w:val="21"/>
        </w:rPr>
        <w:t>Cette partie décrit les étapes nécessaires pour lancer l'application Atlantic Re sur votre poste à partir du dépôt déjà cloné. Ouvrez deux fenêtres de terminal (CMD ou PowerShell) avant de commencer : l'une pour le backend, l'autre pour le frontend.</w:t>
      </w:r>
    </w:p>
    <w:p w:rsidR="00C930BF" w:rsidRDefault="00B16C3E">
      <w:pPr>
        <w:spacing w:before="240" w:after="80"/>
      </w:pPr>
      <w:r>
        <w:rPr>
          <w:rFonts w:ascii="Calibri" w:hAnsi="Calibri"/>
          <w:b/>
          <w:color w:val="4E6820"/>
          <w:sz w:val="26"/>
        </w:rPr>
        <w:t>1.1  Prérequis et mise à jour du code</w:t>
      </w:r>
    </w:p>
    <w:p w:rsidR="00C930BF" w:rsidRDefault="00B16C3E">
      <w:pPr>
        <w:spacing w:before="40" w:after="80"/>
      </w:pPr>
      <w:r>
        <w:rPr>
          <w:rFonts w:ascii="Calibri" w:hAnsi="Calibri"/>
          <w:color w:val="444444"/>
          <w:sz w:val="21"/>
        </w:rPr>
        <w:t>Avant de lancer l'application, récupérez les dernières modifications depuis le dépôt distant.</w:t>
      </w:r>
    </w:p>
    <w:p w:rsidR="00C930BF" w:rsidRDefault="00B16C3E">
      <w:pPr>
        <w:spacing w:before="60" w:after="60"/>
        <w:ind w:left="283"/>
      </w:pPr>
      <w:r>
        <w:rPr>
          <w:rFonts w:ascii="Calibri" w:hAnsi="Calibri"/>
          <w:b/>
          <w:color w:val="1E3A5F"/>
          <w:sz w:val="21"/>
        </w:rPr>
        <w:t xml:space="preserve">1.  </w:t>
      </w:r>
      <w:r>
        <w:rPr>
          <w:rFonts w:ascii="Calibri" w:hAnsi="Calibri"/>
          <w:color w:val="444444"/>
          <w:sz w:val="21"/>
        </w:rPr>
        <w:t>Ouvrez un terminal et naviguez vers le répertoire racine du projet :</w:t>
      </w:r>
    </w:p>
    <w:p w:rsidR="00C930BF" w:rsidRDefault="00B16C3E">
      <w:pPr>
        <w:shd w:val="clear" w:color="auto" w:fill="EBEBEB"/>
        <w:spacing w:before="60" w:after="60"/>
        <w:ind w:left="567" w:right="283"/>
      </w:pPr>
      <w:r>
        <w:rPr>
          <w:rFonts w:ascii="Courier New" w:hAnsi="Courier New"/>
          <w:color w:val="1A1A1A"/>
          <w:sz w:val="19"/>
        </w:rPr>
        <w:t>cd C:\chemin\vers\AtlanticRe</w:t>
      </w:r>
    </w:p>
    <w:p w:rsidR="00C930BF" w:rsidRDefault="00B16C3E">
      <w:pPr>
        <w:spacing w:before="60" w:after="60"/>
        <w:ind w:left="283"/>
      </w:pPr>
      <w:r>
        <w:rPr>
          <w:rFonts w:ascii="Calibri" w:hAnsi="Calibri"/>
          <w:b/>
          <w:color w:val="1E3A5F"/>
          <w:sz w:val="21"/>
        </w:rPr>
        <w:t xml:space="preserve">2.  </w:t>
      </w:r>
      <w:r>
        <w:rPr>
          <w:rFonts w:ascii="Calibri" w:hAnsi="Calibri"/>
          <w:color w:val="444444"/>
          <w:sz w:val="21"/>
        </w:rPr>
        <w:t>Récupérez les dernières modifications :</w:t>
      </w:r>
    </w:p>
    <w:p w:rsidR="00C930BF" w:rsidRDefault="00B16C3E">
      <w:pPr>
        <w:shd w:val="clear" w:color="auto" w:fill="EBEBEB"/>
        <w:spacing w:before="60" w:after="60"/>
        <w:ind w:left="567" w:right="283"/>
      </w:pPr>
      <w:r>
        <w:rPr>
          <w:rFonts w:ascii="Courier New" w:hAnsi="Courier New"/>
          <w:color w:val="1A1A1A"/>
          <w:sz w:val="19"/>
        </w:rPr>
        <w:t>git pull origin main</w:t>
      </w:r>
    </w:p>
    <w:p w:rsidR="00C930BF" w:rsidRDefault="00B16C3E">
      <w:pPr>
        <w:spacing w:before="240" w:after="80"/>
      </w:pPr>
      <w:r>
        <w:rPr>
          <w:rFonts w:ascii="Calibri" w:hAnsi="Calibri"/>
          <w:b/>
          <w:color w:val="4E6820"/>
          <w:sz w:val="26"/>
        </w:rPr>
        <w:t>1.2  Lancement du backend (Terminal 1)</w:t>
      </w:r>
    </w:p>
    <w:p w:rsidR="00C930BF" w:rsidRDefault="00B16C3E">
      <w:pPr>
        <w:spacing w:before="40" w:after="80"/>
      </w:pPr>
      <w:r>
        <w:rPr>
          <w:rFonts w:ascii="Calibri" w:hAnsi="Calibri"/>
          <w:color w:val="444444"/>
          <w:sz w:val="21"/>
        </w:rPr>
        <w:t>Le backend est développé en Python avec le framework FastAPI. Il expose une API REST sur le port 8000.</w:t>
      </w:r>
    </w:p>
    <w:p w:rsidR="00C930BF" w:rsidRDefault="00B16C3E">
      <w:pPr>
        <w:spacing w:before="60" w:after="60"/>
        <w:ind w:left="283"/>
      </w:pPr>
      <w:r>
        <w:rPr>
          <w:rFonts w:ascii="Calibri" w:hAnsi="Calibri"/>
          <w:b/>
          <w:color w:val="1E3A5F"/>
          <w:sz w:val="21"/>
        </w:rPr>
        <w:t xml:space="preserve">1.  </w:t>
      </w:r>
      <w:r>
        <w:rPr>
          <w:rFonts w:ascii="Calibri" w:hAnsi="Calibri"/>
          <w:color w:val="444444"/>
          <w:sz w:val="21"/>
        </w:rPr>
        <w:t>Dans le premier terminal, déplacez-vous dans le dossier backend :</w:t>
      </w:r>
    </w:p>
    <w:p w:rsidR="00C930BF" w:rsidRDefault="00B16C3E">
      <w:pPr>
        <w:shd w:val="clear" w:color="auto" w:fill="EBEBEB"/>
        <w:spacing w:before="60" w:after="60"/>
        <w:ind w:left="567" w:right="283"/>
      </w:pPr>
      <w:r>
        <w:rPr>
          <w:rFonts w:ascii="Courier New" w:hAnsi="Courier New"/>
          <w:color w:val="1A1A1A"/>
          <w:sz w:val="19"/>
        </w:rPr>
        <w:t>cd backend</w:t>
      </w:r>
    </w:p>
    <w:p w:rsidR="00C930BF" w:rsidRDefault="00B16C3E">
      <w:pPr>
        <w:spacing w:before="60" w:after="60"/>
        <w:ind w:left="283"/>
      </w:pPr>
      <w:r>
        <w:rPr>
          <w:rFonts w:ascii="Calibri" w:hAnsi="Calibri"/>
          <w:b/>
          <w:color w:val="1E3A5F"/>
          <w:sz w:val="21"/>
        </w:rPr>
        <w:t xml:space="preserve">2.  </w:t>
      </w:r>
      <w:r>
        <w:rPr>
          <w:rFonts w:ascii="Calibri" w:hAnsi="Calibri"/>
          <w:color w:val="444444"/>
          <w:sz w:val="21"/>
        </w:rPr>
        <w:t>Créez l'environnement virtuel Python (à effectuer une seule fois) :</w:t>
      </w:r>
    </w:p>
    <w:p w:rsidR="00C930BF" w:rsidRDefault="000677EF">
      <w:pPr>
        <w:shd w:val="clear" w:color="auto" w:fill="EBEBEB"/>
        <w:spacing w:before="60" w:after="60"/>
        <w:ind w:left="567" w:right="283"/>
      </w:pPr>
      <w:r>
        <w:rPr>
          <w:rFonts w:ascii="Courier New" w:hAnsi="Courier New"/>
          <w:color w:val="1A1A1A"/>
          <w:sz w:val="19"/>
        </w:rPr>
        <w:t>P</w:t>
      </w:r>
      <w:r w:rsidR="00B16C3E">
        <w:rPr>
          <w:rFonts w:ascii="Courier New" w:hAnsi="Courier New"/>
          <w:color w:val="1A1A1A"/>
          <w:sz w:val="19"/>
        </w:rPr>
        <w:t>ython</w:t>
      </w:r>
      <w:r>
        <w:rPr>
          <w:rFonts w:ascii="Courier New" w:hAnsi="Courier New"/>
          <w:color w:val="1A1A1A"/>
          <w:sz w:val="19"/>
        </w:rPr>
        <w:t xml:space="preserve"> -3.12</w:t>
      </w:r>
      <w:bookmarkStart w:id="0" w:name="_GoBack"/>
      <w:bookmarkEnd w:id="0"/>
      <w:r w:rsidR="00B16C3E">
        <w:rPr>
          <w:rFonts w:ascii="Courier New" w:hAnsi="Courier New"/>
          <w:color w:val="1A1A1A"/>
          <w:sz w:val="19"/>
        </w:rPr>
        <w:t xml:space="preserve"> -m </w:t>
      </w:r>
      <w:proofErr w:type="spellStart"/>
      <w:r w:rsidR="00B16C3E">
        <w:rPr>
          <w:rFonts w:ascii="Courier New" w:hAnsi="Courier New"/>
          <w:color w:val="1A1A1A"/>
          <w:sz w:val="19"/>
        </w:rPr>
        <w:t>venv</w:t>
      </w:r>
      <w:proofErr w:type="spellEnd"/>
      <w:r w:rsidR="00B16C3E">
        <w:rPr>
          <w:rFonts w:ascii="Courier New" w:hAnsi="Courier New"/>
          <w:color w:val="1A1A1A"/>
          <w:sz w:val="19"/>
        </w:rPr>
        <w:t xml:space="preserve"> venv</w:t>
      </w:r>
    </w:p>
    <w:p w:rsidR="00C930BF" w:rsidRDefault="00B16C3E">
      <w:pPr>
        <w:spacing w:before="60" w:after="60"/>
        <w:ind w:left="283"/>
      </w:pPr>
      <w:r>
        <w:rPr>
          <w:rFonts w:ascii="Calibri" w:hAnsi="Calibri"/>
          <w:b/>
          <w:color w:val="1E3A5F"/>
          <w:sz w:val="21"/>
        </w:rPr>
        <w:t xml:space="preserve">3.  </w:t>
      </w:r>
      <w:r>
        <w:rPr>
          <w:rFonts w:ascii="Calibri" w:hAnsi="Calibri"/>
          <w:color w:val="444444"/>
          <w:sz w:val="21"/>
        </w:rPr>
        <w:t>Activez l'environnement virtuel :</w:t>
      </w:r>
    </w:p>
    <w:p w:rsidR="00C930BF" w:rsidRDefault="00B16C3E">
      <w:pPr>
        <w:shd w:val="clear" w:color="auto" w:fill="EBEBEB"/>
        <w:spacing w:before="60" w:after="60"/>
        <w:ind w:left="567" w:right="283"/>
      </w:pPr>
      <w:r>
        <w:rPr>
          <w:rFonts w:ascii="Courier New" w:hAnsi="Courier New"/>
          <w:color w:val="1A1A1A"/>
          <w:sz w:val="19"/>
        </w:rPr>
        <w:t>venv\Scripts\activate          (Windows)</w:t>
      </w:r>
      <w:r>
        <w:rPr>
          <w:rFonts w:ascii="Courier New" w:hAnsi="Courier New"/>
          <w:color w:val="1A1A1A"/>
          <w:sz w:val="19"/>
        </w:rPr>
        <w:br/>
        <w:t>source venv/bin/activate        (Mac / Linux)</w:t>
      </w:r>
    </w:p>
    <w:p w:rsidR="00C930BF" w:rsidRDefault="00B16C3E">
      <w:pPr>
        <w:spacing w:before="60" w:after="60"/>
        <w:ind w:left="283"/>
      </w:pPr>
      <w:r>
        <w:rPr>
          <w:rFonts w:ascii="Calibri" w:hAnsi="Calibri"/>
          <w:b/>
          <w:color w:val="1E3A5F"/>
          <w:sz w:val="21"/>
        </w:rPr>
        <w:t xml:space="preserve">4.  </w:t>
      </w:r>
      <w:r>
        <w:rPr>
          <w:rFonts w:ascii="Calibri" w:hAnsi="Calibri"/>
          <w:color w:val="444444"/>
          <w:sz w:val="21"/>
        </w:rPr>
        <w:t>Installez les dépendances Python :</w:t>
      </w:r>
    </w:p>
    <w:p w:rsidR="00C930BF" w:rsidRDefault="00B16C3E">
      <w:pPr>
        <w:shd w:val="clear" w:color="auto" w:fill="EBEBEB"/>
        <w:spacing w:before="60" w:after="60"/>
        <w:ind w:left="567" w:right="283"/>
      </w:pPr>
      <w:r>
        <w:rPr>
          <w:rFonts w:ascii="Courier New" w:hAnsi="Courier New"/>
          <w:color w:val="1A1A1A"/>
          <w:sz w:val="19"/>
        </w:rPr>
        <w:t>pip install -r requirements.txt</w:t>
      </w:r>
    </w:p>
    <w:p w:rsidR="00C930BF" w:rsidRDefault="00B16C3E">
      <w:pPr>
        <w:spacing w:before="60" w:after="60"/>
        <w:ind w:left="283"/>
      </w:pPr>
      <w:r>
        <w:rPr>
          <w:rFonts w:ascii="Calibri" w:hAnsi="Calibri"/>
          <w:b/>
          <w:color w:val="1E3A5F"/>
          <w:sz w:val="21"/>
        </w:rPr>
        <w:t xml:space="preserve">5.  </w:t>
      </w:r>
      <w:r>
        <w:rPr>
          <w:rFonts w:ascii="Calibri" w:hAnsi="Calibri"/>
          <w:color w:val="444444"/>
          <w:sz w:val="21"/>
        </w:rPr>
        <w:t>Lancez le serveur backend :</w:t>
      </w:r>
    </w:p>
    <w:p w:rsidR="00C930BF" w:rsidRDefault="00B16C3E">
      <w:pPr>
        <w:shd w:val="clear" w:color="auto" w:fill="EBEBEB"/>
        <w:spacing w:before="60" w:after="60"/>
        <w:ind w:left="567" w:right="283"/>
      </w:pPr>
      <w:r>
        <w:rPr>
          <w:rFonts w:ascii="Courier New" w:hAnsi="Courier New"/>
          <w:color w:val="1A1A1A"/>
          <w:sz w:val="19"/>
        </w:rPr>
        <w:t>uvicorn main:app --reload --port 8000</w:t>
      </w:r>
    </w:p>
    <w:p w:rsidR="00C930BF" w:rsidRDefault="00B16C3E">
      <w:pPr>
        <w:spacing w:before="40" w:after="80"/>
      </w:pPr>
      <w:r>
        <w:rPr>
          <w:rFonts w:ascii="Calibri" w:hAnsi="Calibri"/>
          <w:color w:val="444444"/>
          <w:sz w:val="21"/>
        </w:rPr>
        <w:t>Le backend est opérationnel lorsque le terminal affiche :</w:t>
      </w:r>
      <w:r>
        <w:rPr>
          <w:rFonts w:ascii="Calibri" w:hAnsi="Calibri"/>
          <w:color w:val="444444"/>
          <w:sz w:val="21"/>
        </w:rPr>
        <w:br/>
        <w:t xml:space="preserve">  Application startup complete.</w:t>
      </w:r>
    </w:p>
    <w:p w:rsidR="00C930BF" w:rsidRDefault="00B16C3E">
      <w:pPr>
        <w:shd w:val="clear" w:color="auto" w:fill="FFF3CD"/>
        <w:spacing w:before="120" w:after="120"/>
        <w:ind w:left="283"/>
      </w:pPr>
      <w:r>
        <w:rPr>
          <w:rFonts w:ascii="Calibri" w:hAnsi="Calibri"/>
          <w:b/>
          <w:color w:val="856000"/>
          <w:sz w:val="20"/>
        </w:rPr>
        <w:t xml:space="preserve">  ⚠️  Note : </w:t>
      </w:r>
      <w:r>
        <w:rPr>
          <w:rFonts w:ascii="Calibri" w:hAnsi="Calibri"/>
          <w:color w:val="5C4000"/>
          <w:sz w:val="20"/>
        </w:rPr>
        <w:t>Si le port 8000 est déjà utilisé par une autre application, arrêtez le processus concerné avant de relancer le serveur.</w:t>
      </w:r>
    </w:p>
    <w:p w:rsidR="00C930BF" w:rsidRDefault="00B16C3E">
      <w:pPr>
        <w:spacing w:before="240" w:after="80"/>
      </w:pPr>
      <w:r>
        <w:rPr>
          <w:rFonts w:ascii="Calibri" w:hAnsi="Calibri"/>
          <w:b/>
          <w:color w:val="4E6820"/>
          <w:sz w:val="26"/>
        </w:rPr>
        <w:t>1.3  Lancement du frontend (Terminal 2)</w:t>
      </w:r>
    </w:p>
    <w:p w:rsidR="00C930BF" w:rsidRDefault="00B16C3E">
      <w:pPr>
        <w:spacing w:before="40" w:after="80"/>
      </w:pPr>
      <w:r>
        <w:rPr>
          <w:rFonts w:ascii="Calibri" w:hAnsi="Calibri"/>
          <w:color w:val="444444"/>
          <w:sz w:val="21"/>
        </w:rPr>
        <w:t>Le frontend est développé en React (TypeScript) avec Vite. Il est accessible sur le port 5173 et communique avec le backend via un proxy.</w:t>
      </w:r>
    </w:p>
    <w:p w:rsidR="00C930BF" w:rsidRDefault="00B16C3E">
      <w:pPr>
        <w:spacing w:before="60" w:after="60"/>
        <w:ind w:left="283"/>
      </w:pPr>
      <w:r>
        <w:rPr>
          <w:rFonts w:ascii="Calibri" w:hAnsi="Calibri"/>
          <w:b/>
          <w:color w:val="1E3A5F"/>
          <w:sz w:val="21"/>
        </w:rPr>
        <w:t xml:space="preserve">1.  </w:t>
      </w:r>
      <w:r>
        <w:rPr>
          <w:rFonts w:ascii="Calibri" w:hAnsi="Calibri"/>
          <w:color w:val="444444"/>
          <w:sz w:val="21"/>
        </w:rPr>
        <w:t>Dans le second terminal, déplacez-vous dans le dossier frontend :</w:t>
      </w:r>
    </w:p>
    <w:p w:rsidR="00C930BF" w:rsidRDefault="00B16C3E">
      <w:pPr>
        <w:shd w:val="clear" w:color="auto" w:fill="EBEBEB"/>
        <w:spacing w:before="60" w:after="60"/>
        <w:ind w:left="567" w:right="283"/>
      </w:pPr>
      <w:r>
        <w:rPr>
          <w:rFonts w:ascii="Courier New" w:hAnsi="Courier New"/>
          <w:color w:val="1A1A1A"/>
          <w:sz w:val="19"/>
        </w:rPr>
        <w:t>cd frontend</w:t>
      </w:r>
    </w:p>
    <w:p w:rsidR="00C930BF" w:rsidRDefault="00B16C3E">
      <w:pPr>
        <w:spacing w:before="60" w:after="60"/>
        <w:ind w:left="283"/>
      </w:pPr>
      <w:r>
        <w:rPr>
          <w:rFonts w:ascii="Calibri" w:hAnsi="Calibri"/>
          <w:b/>
          <w:color w:val="1E3A5F"/>
          <w:sz w:val="21"/>
        </w:rPr>
        <w:t xml:space="preserve">2.  </w:t>
      </w:r>
      <w:r>
        <w:rPr>
          <w:rFonts w:ascii="Calibri" w:hAnsi="Calibri"/>
          <w:color w:val="444444"/>
          <w:sz w:val="21"/>
        </w:rPr>
        <w:t>Installez les dépendances Node.js (à effectuer une seule fois ou après mise à jour) :</w:t>
      </w:r>
    </w:p>
    <w:p w:rsidR="00C930BF" w:rsidRDefault="00B16C3E">
      <w:pPr>
        <w:shd w:val="clear" w:color="auto" w:fill="EBEBEB"/>
        <w:spacing w:before="60" w:after="60"/>
        <w:ind w:left="567" w:right="283"/>
      </w:pPr>
      <w:r>
        <w:rPr>
          <w:rFonts w:ascii="Courier New" w:hAnsi="Courier New"/>
          <w:color w:val="1A1A1A"/>
          <w:sz w:val="19"/>
        </w:rPr>
        <w:t>npm install</w:t>
      </w:r>
    </w:p>
    <w:p w:rsidR="00C930BF" w:rsidRDefault="00B16C3E">
      <w:pPr>
        <w:spacing w:before="60" w:after="60"/>
        <w:ind w:left="283"/>
      </w:pPr>
      <w:r>
        <w:rPr>
          <w:rFonts w:ascii="Calibri" w:hAnsi="Calibri"/>
          <w:b/>
          <w:color w:val="1E3A5F"/>
          <w:sz w:val="21"/>
        </w:rPr>
        <w:t xml:space="preserve">3.  </w:t>
      </w:r>
      <w:r>
        <w:rPr>
          <w:rFonts w:ascii="Calibri" w:hAnsi="Calibri"/>
          <w:color w:val="444444"/>
          <w:sz w:val="21"/>
        </w:rPr>
        <w:t>Lancez le serveur de développement :</w:t>
      </w:r>
    </w:p>
    <w:p w:rsidR="00C930BF" w:rsidRDefault="00B16C3E">
      <w:pPr>
        <w:shd w:val="clear" w:color="auto" w:fill="EBEBEB"/>
        <w:spacing w:before="60" w:after="60"/>
        <w:ind w:left="567" w:right="283"/>
      </w:pPr>
      <w:r>
        <w:rPr>
          <w:rFonts w:ascii="Courier New" w:hAnsi="Courier New"/>
          <w:color w:val="1A1A1A"/>
          <w:sz w:val="19"/>
        </w:rPr>
        <w:t>npm run dev</w:t>
      </w:r>
    </w:p>
    <w:p w:rsidR="00C930BF" w:rsidRDefault="00B16C3E">
      <w:pPr>
        <w:spacing w:before="60" w:after="60"/>
        <w:ind w:left="283"/>
      </w:pPr>
      <w:r>
        <w:rPr>
          <w:rFonts w:ascii="Calibri" w:hAnsi="Calibri"/>
          <w:b/>
          <w:color w:val="1E3A5F"/>
          <w:sz w:val="21"/>
        </w:rPr>
        <w:lastRenderedPageBreak/>
        <w:t xml:space="preserve">4.  </w:t>
      </w:r>
      <w:r>
        <w:rPr>
          <w:rFonts w:ascii="Calibri" w:hAnsi="Calibri"/>
          <w:color w:val="444444"/>
          <w:sz w:val="21"/>
        </w:rPr>
        <w:t>Copiez l'URL affichée dans le terminal et ouvrez-la dans votre navigateur :</w:t>
      </w:r>
    </w:p>
    <w:p w:rsidR="00C930BF" w:rsidRDefault="00B16C3E">
      <w:pPr>
        <w:shd w:val="clear" w:color="auto" w:fill="EBEBEB"/>
        <w:spacing w:before="60" w:after="60"/>
        <w:ind w:left="567" w:right="283"/>
      </w:pPr>
      <w:r>
        <w:rPr>
          <w:rFonts w:ascii="Courier New" w:hAnsi="Courier New"/>
          <w:color w:val="1A1A1A"/>
          <w:sz w:val="19"/>
        </w:rPr>
        <w:t>http://localhost:5173</w:t>
      </w:r>
    </w:p>
    <w:p w:rsidR="00C930BF" w:rsidRDefault="00B16C3E">
      <w:pPr>
        <w:spacing w:before="240" w:after="80"/>
      </w:pPr>
      <w:r>
        <w:rPr>
          <w:rFonts w:ascii="Calibri" w:hAnsi="Calibri"/>
          <w:b/>
          <w:color w:val="4E6820"/>
          <w:sz w:val="26"/>
        </w:rPr>
        <w:t>1.4  Connexion et configuration initiale</w:t>
      </w:r>
    </w:p>
    <w:p w:rsidR="00C930BF" w:rsidRDefault="00B16C3E">
      <w:pPr>
        <w:spacing w:before="40" w:after="80"/>
      </w:pPr>
      <w:r>
        <w:rPr>
          <w:rFonts w:ascii="Calibri" w:hAnsi="Calibri"/>
          <w:color w:val="444444"/>
          <w:sz w:val="21"/>
        </w:rPr>
        <w:t>Une fois les deux serveurs lancés, connectez-vous à l'application et renseignez les chemins des fichiers Excel sur votre poste.</w:t>
      </w:r>
    </w:p>
    <w:p w:rsidR="00C930BF" w:rsidRDefault="00B16C3E">
      <w:pPr>
        <w:spacing w:before="60" w:after="60"/>
        <w:ind w:left="283"/>
      </w:pPr>
      <w:r>
        <w:rPr>
          <w:rFonts w:ascii="Calibri" w:hAnsi="Calibri"/>
          <w:b/>
          <w:color w:val="1E3A5F"/>
          <w:sz w:val="21"/>
        </w:rPr>
        <w:t xml:space="preserve">1.  </w:t>
      </w:r>
      <w:r>
        <w:rPr>
          <w:rFonts w:ascii="Calibri" w:hAnsi="Calibri"/>
          <w:color w:val="444444"/>
          <w:sz w:val="21"/>
        </w:rPr>
        <w:t>Sur la page de connexion, saisissez vos identifiants administrateur (compte créé lors de la mise en place initiale).</w:t>
      </w:r>
    </w:p>
    <w:p w:rsidR="00C930BF" w:rsidRDefault="00B16C3E">
      <w:pPr>
        <w:spacing w:before="60" w:after="60"/>
        <w:ind w:left="283"/>
      </w:pPr>
      <w:r>
        <w:rPr>
          <w:rFonts w:ascii="Calibri" w:hAnsi="Calibri"/>
          <w:b/>
          <w:color w:val="1E3A5F"/>
          <w:sz w:val="21"/>
        </w:rPr>
        <w:t xml:space="preserve">2.  </w:t>
      </w:r>
      <w:r>
        <w:rPr>
          <w:rFonts w:ascii="Calibri" w:hAnsi="Calibri"/>
          <w:color w:val="444444"/>
          <w:sz w:val="21"/>
        </w:rPr>
        <w:t>Accédez au menu Administration → Configuration.</w:t>
      </w:r>
    </w:p>
    <w:p w:rsidR="00C930BF" w:rsidRDefault="00B16C3E">
      <w:pPr>
        <w:spacing w:before="60" w:after="60"/>
        <w:ind w:left="283"/>
      </w:pPr>
      <w:r>
        <w:rPr>
          <w:rFonts w:ascii="Calibri" w:hAnsi="Calibri"/>
          <w:b/>
          <w:color w:val="1E3A5F"/>
          <w:sz w:val="21"/>
        </w:rPr>
        <w:t xml:space="preserve">3.  </w:t>
      </w:r>
      <w:r>
        <w:rPr>
          <w:rFonts w:ascii="Calibri" w:hAnsi="Calibri"/>
          <w:color w:val="444444"/>
          <w:sz w:val="21"/>
        </w:rPr>
        <w:t>Renseignez les chemins locaux des trois fichiers Excel :</w:t>
      </w:r>
    </w:p>
    <w:p w:rsidR="00C930BF" w:rsidRDefault="00B16C3E">
      <w:pPr>
        <w:pStyle w:val="Listepuces"/>
        <w:spacing w:before="40" w:after="40"/>
        <w:ind w:left="454"/>
      </w:pPr>
      <w:r>
        <w:rPr>
          <w:rFonts w:ascii="Calibri" w:hAnsi="Calibri"/>
          <w:color w:val="444444"/>
          <w:sz w:val="21"/>
        </w:rPr>
        <w:t>Fichier Excel Données de Base — données principales de réassurance</w:t>
      </w:r>
    </w:p>
    <w:p w:rsidR="00C930BF" w:rsidRDefault="00B16C3E">
      <w:pPr>
        <w:pStyle w:val="Listepuces"/>
        <w:spacing w:before="40" w:after="40"/>
        <w:ind w:left="454"/>
      </w:pPr>
      <w:r>
        <w:rPr>
          <w:rFonts w:ascii="Calibri" w:hAnsi="Calibri"/>
          <w:color w:val="444444"/>
          <w:sz w:val="21"/>
        </w:rPr>
        <w:t>Fichier Excel Rétrocession par Traités — données de placement</w:t>
      </w:r>
    </w:p>
    <w:p w:rsidR="00C930BF" w:rsidRDefault="00B16C3E">
      <w:pPr>
        <w:pStyle w:val="Listepuces"/>
        <w:spacing w:before="40" w:after="40"/>
        <w:ind w:left="454"/>
      </w:pPr>
      <w:r>
        <w:rPr>
          <w:rFonts w:ascii="Calibri" w:hAnsi="Calibri"/>
          <w:color w:val="444444"/>
          <w:sz w:val="21"/>
        </w:rPr>
        <w:t>Fichier Excel FCM Partenaires (FAC-to-FAC) — données partenaires FAC</w:t>
      </w:r>
    </w:p>
    <w:p w:rsidR="00C930BF" w:rsidRDefault="00B16C3E">
      <w:pPr>
        <w:spacing w:before="60" w:after="60"/>
        <w:ind w:left="283"/>
      </w:pPr>
      <w:r>
        <w:rPr>
          <w:rFonts w:ascii="Calibri" w:hAnsi="Calibri"/>
          <w:b/>
          <w:color w:val="1E3A5F"/>
          <w:sz w:val="21"/>
        </w:rPr>
        <w:t xml:space="preserve">4.  </w:t>
      </w:r>
      <w:r>
        <w:rPr>
          <w:rFonts w:ascii="Calibri" w:hAnsi="Calibri"/>
          <w:color w:val="444444"/>
          <w:sz w:val="21"/>
        </w:rPr>
        <w:t>Cliquez sur Sauvegarder pour chaque chemin. L'application charge automatiquement les données et est prête à utiliser.</w:t>
      </w:r>
    </w:p>
    <w:p w:rsidR="00C930BF" w:rsidRDefault="00B16C3E">
      <w:pPr>
        <w:shd w:val="clear" w:color="auto" w:fill="FFF3CD"/>
        <w:spacing w:before="120" w:after="120"/>
        <w:ind w:left="283"/>
      </w:pPr>
      <w:r>
        <w:rPr>
          <w:rFonts w:ascii="Calibri" w:hAnsi="Calibri"/>
          <w:b/>
          <w:color w:val="856000"/>
          <w:sz w:val="20"/>
        </w:rPr>
        <w:t xml:space="preserve">  ⚠️  Note : </w:t>
      </w:r>
      <w:r>
        <w:rPr>
          <w:rFonts w:ascii="Calibri" w:hAnsi="Calibri"/>
          <w:color w:val="5C4000"/>
          <w:sz w:val="20"/>
        </w:rPr>
        <w:t>Les trois fichiers Excel doivent rester accessibles au même emplacement sur votre poste pendant toute la durée d'utilisation de l'application. Tout déplacement ou renommage de ces fichiers nécessitera une mise à jour des chemins dans la configuration.</w:t>
      </w:r>
    </w:p>
    <w:p w:rsidR="00C930BF" w:rsidRDefault="00B16C3E">
      <w:r>
        <w:br w:type="page"/>
      </w:r>
    </w:p>
    <w:p w:rsidR="00C930BF" w:rsidRDefault="00B16C3E">
      <w:pPr>
        <w:pBdr>
          <w:bottom w:val="single" w:sz="6" w:space="1" w:color="1E3A5F"/>
        </w:pBdr>
        <w:spacing w:before="360" w:after="120"/>
      </w:pPr>
      <w:r>
        <w:rPr>
          <w:rFonts w:ascii="Calibri" w:hAnsi="Calibri"/>
          <w:b/>
          <w:color w:val="1E3A5F"/>
          <w:sz w:val="32"/>
        </w:rPr>
        <w:lastRenderedPageBreak/>
        <w:t>Partie 2 — Guide des fonctionnalités</w:t>
      </w:r>
    </w:p>
    <w:p w:rsidR="00C930BF" w:rsidRDefault="00B16C3E">
      <w:pPr>
        <w:spacing w:before="40" w:after="80"/>
      </w:pPr>
      <w:r>
        <w:rPr>
          <w:rFonts w:ascii="Calibri" w:hAnsi="Calibri"/>
          <w:color w:val="444444"/>
          <w:sz w:val="21"/>
        </w:rPr>
        <w:t>Cette partie présente l’ensemble des sections et fonctionnalités accessibles depuis la barre de navigation de l’application Atlantic Re. L’application est structurée en deux axes stratégiques accessibles depuis la page d’accueil : l’Axe 1 (Portefeuille Interne) et l’Axe 2 (Modélisation Afrique 2030). Chaque section est décrite avec ses indicateurs clés, ses visualisations et son utilité métier.</w:t>
      </w:r>
    </w:p>
    <w:p w:rsidR="00C930BF" w:rsidRDefault="00B16C3E">
      <w:pPr>
        <w:pBdr>
          <w:bottom w:val="single" w:sz="6" w:space="1" w:color="1E3A5F"/>
        </w:pBdr>
        <w:spacing w:before="360" w:after="120"/>
      </w:pPr>
      <w:r>
        <w:rPr>
          <w:rFonts w:ascii="Calibri" w:hAnsi="Calibri"/>
          <w:b/>
          <w:color w:val="1E3A5F"/>
          <w:sz w:val="28"/>
        </w:rPr>
        <w:t>AXE 1 — PORTEFEUILLE INTERNE</w:t>
      </w:r>
    </w:p>
    <w:p w:rsidR="00C930BF" w:rsidRDefault="00B16C3E">
      <w:pPr>
        <w:spacing w:before="240" w:after="80"/>
      </w:pPr>
      <w:r>
        <w:rPr>
          <w:rFonts w:ascii="Calibri" w:hAnsi="Calibri"/>
          <w:b/>
          <w:color w:val="4E6820"/>
          <w:sz w:val="26"/>
        </w:rPr>
        <w:t>2.1  Tableau de bord</w:t>
      </w:r>
    </w:p>
    <w:p w:rsidR="00C930BF" w:rsidRDefault="00B16C3E">
      <w:pPr>
        <w:spacing w:before="40" w:after="80"/>
      </w:pPr>
      <w:r>
        <w:rPr>
          <w:rFonts w:ascii="Calibri" w:hAnsi="Calibri"/>
          <w:color w:val="444444"/>
          <w:sz w:val="21"/>
        </w:rPr>
        <w:t>Le tableau de bord est la page d’accueil opérationnelle de l’Axe 1. Il offre une vue panoramique du portefeuille Atlantic Re avec indicateurs de performance clés, alertes de risque et pipeline des affaires en cours.</w:t>
      </w:r>
    </w:p>
    <w:p w:rsidR="00C930BF" w:rsidRDefault="00B16C3E">
      <w:pPr>
        <w:spacing w:before="160" w:after="60"/>
      </w:pPr>
      <w:r>
        <w:rPr>
          <w:rFonts w:ascii="Calibri" w:hAnsi="Calibri"/>
          <w:b/>
          <w:color w:val="1E3A5F"/>
        </w:rPr>
        <w:t>Indicateurs clés (KPI Cards)</w:t>
      </w:r>
    </w:p>
    <w:p w:rsidR="00C930BF" w:rsidRDefault="00B16C3E">
      <w:pPr>
        <w:spacing w:before="40" w:after="80"/>
      </w:pPr>
      <w:r>
        <w:rPr>
          <w:rFonts w:ascii="Calibri" w:hAnsi="Calibri"/>
          <w:color w:val="444444"/>
          <w:sz w:val="21"/>
        </w:rPr>
        <w:t>Quatre indicateurs principaux sont affichés en haut de page (toutes les valeurs en MAD — Dirham Marocain) :</w:t>
      </w:r>
    </w:p>
    <w:p w:rsidR="00C930BF" w:rsidRDefault="00B16C3E">
      <w:pPr>
        <w:pStyle w:val="Listepuces"/>
        <w:spacing w:before="40" w:after="40"/>
        <w:ind w:left="454"/>
      </w:pPr>
      <w:r>
        <w:rPr>
          <w:rFonts w:ascii="Calibri" w:hAnsi="Calibri"/>
          <w:color w:val="444444"/>
          <w:sz w:val="21"/>
        </w:rPr>
        <w:t>Prime totale souscrite — volume global des primes (MAD)</w:t>
      </w:r>
    </w:p>
    <w:p w:rsidR="00C930BF" w:rsidRDefault="00B16C3E">
      <w:pPr>
        <w:pStyle w:val="Listepuces"/>
        <w:spacing w:before="40" w:after="40"/>
        <w:ind w:left="454"/>
      </w:pPr>
      <w:r>
        <w:rPr>
          <w:rFonts w:ascii="Calibri" w:hAnsi="Calibri"/>
          <w:color w:val="444444"/>
          <w:sz w:val="21"/>
        </w:rPr>
        <w:t>Résultat net — agrégat technique global (MAD)</w:t>
      </w:r>
    </w:p>
    <w:p w:rsidR="00C930BF" w:rsidRDefault="00B16C3E">
      <w:pPr>
        <w:pStyle w:val="Listepuces"/>
        <w:spacing w:before="40" w:after="40"/>
        <w:ind w:left="454"/>
      </w:pPr>
      <w:r>
        <w:rPr>
          <w:rFonts w:ascii="Calibri" w:hAnsi="Calibri"/>
          <w:color w:val="444444"/>
          <w:sz w:val="21"/>
        </w:rPr>
        <w:t>ULR moyen (Loss Ratio) — ratio sinistres/primes pondéré</w:t>
      </w:r>
    </w:p>
    <w:p w:rsidR="00C930BF" w:rsidRDefault="00B16C3E">
      <w:pPr>
        <w:pStyle w:val="Listepuces"/>
        <w:spacing w:before="40" w:after="40"/>
        <w:ind w:left="454"/>
      </w:pPr>
      <w:r>
        <w:rPr>
          <w:rFonts w:ascii="Calibri" w:hAnsi="Calibri"/>
          <w:color w:val="444444"/>
          <w:sz w:val="21"/>
        </w:rPr>
        <w:t>Nombre de contrats — périmètre actif filtré</w:t>
      </w:r>
    </w:p>
    <w:p w:rsidR="00C930BF" w:rsidRDefault="00B16C3E">
      <w:pPr>
        <w:spacing w:before="160" w:after="60"/>
      </w:pPr>
      <w:r>
        <w:rPr>
          <w:rFonts w:ascii="Calibri" w:hAnsi="Calibri"/>
          <w:b/>
          <w:color w:val="1E3A5F"/>
        </w:rPr>
        <w:t>Vues disponibles et visualisations</w:t>
      </w:r>
    </w:p>
    <w:p w:rsidR="00C930BF" w:rsidRDefault="00B16C3E">
      <w:pPr>
        <w:pStyle w:val="Listepuces"/>
        <w:spacing w:before="40" w:after="40"/>
        <w:ind w:left="454"/>
      </w:pPr>
      <w:r>
        <w:rPr>
          <w:rFonts w:ascii="Calibri" w:hAnsi="Calibri"/>
          <w:color w:val="444444"/>
          <w:sz w:val="21"/>
        </w:rPr>
        <w:t>Carte mondiale choroplèthe — distribution géographique du portefeuille, couleur proportionnelle au volume de primes par pays, tooltip détaillé au survol</w:t>
      </w:r>
    </w:p>
    <w:p w:rsidR="00C930BF" w:rsidRDefault="00B16C3E">
      <w:pPr>
        <w:pStyle w:val="Listepuces"/>
        <w:spacing w:before="40" w:after="40"/>
        <w:ind w:left="454"/>
      </w:pPr>
      <w:r>
        <w:rPr>
          <w:rFonts w:ascii="Calibri" w:hAnsi="Calibri"/>
          <w:color w:val="444444"/>
          <w:sz w:val="21"/>
        </w:rPr>
        <w:t>Évolution temporelle — graphiques linéaires historiques des primes, résultats et loss ratio par année de souscription</w:t>
      </w:r>
    </w:p>
    <w:p w:rsidR="00C930BF" w:rsidRDefault="00B16C3E">
      <w:pPr>
        <w:pStyle w:val="Listepuces"/>
        <w:spacing w:before="40" w:after="40"/>
        <w:ind w:left="454"/>
      </w:pPr>
      <w:r>
        <w:rPr>
          <w:rFonts w:ascii="Calibri" w:hAnsi="Calibri"/>
          <w:color w:val="444444"/>
          <w:sz w:val="21"/>
        </w:rPr>
        <w:t>Répartition par branche — graphiques à barres horizontaux montrant la distribution en % par branche d’assurance</w:t>
      </w:r>
    </w:p>
    <w:p w:rsidR="00C930BF" w:rsidRDefault="00B16C3E">
      <w:pPr>
        <w:pStyle w:val="Listepuces"/>
        <w:spacing w:before="40" w:after="40"/>
        <w:ind w:left="454"/>
      </w:pPr>
      <w:r>
        <w:rPr>
          <w:rFonts w:ascii="Calibri" w:hAnsi="Calibri"/>
          <w:color w:val="444444"/>
          <w:sz w:val="21"/>
        </w:rPr>
        <w:t>Rentabilité — ULR par pays (top 20) en scatter ou barres colorées</w:t>
      </w:r>
    </w:p>
    <w:p w:rsidR="00C930BF" w:rsidRDefault="00B16C3E">
      <w:pPr>
        <w:pStyle w:val="Listepuces"/>
        <w:spacing w:before="40" w:after="40"/>
        <w:ind w:left="454"/>
      </w:pPr>
      <w:r>
        <w:rPr>
          <w:rFonts w:ascii="Calibri" w:hAnsi="Calibri"/>
          <w:color w:val="444444"/>
          <w:sz w:val="21"/>
        </w:rPr>
        <w:t>Alertes et signaux de risque — composant DashboardAlerts mettant en évidence les contrats et marchés nécessitant une attention immédiate</w:t>
      </w:r>
    </w:p>
    <w:p w:rsidR="00C930BF" w:rsidRDefault="00B16C3E">
      <w:pPr>
        <w:pStyle w:val="Listepuces"/>
        <w:spacing w:before="40" w:after="40"/>
        <w:ind w:left="454"/>
      </w:pPr>
      <w:r>
        <w:rPr>
          <w:rFonts w:ascii="Calibri" w:hAnsi="Calibri"/>
          <w:color w:val="444444"/>
          <w:sz w:val="21"/>
        </w:rPr>
        <w:t>Pipeline des affaires — vue des affaires en cours de traitement</w:t>
      </w:r>
    </w:p>
    <w:p w:rsidR="00C930BF" w:rsidRDefault="00B16C3E">
      <w:pPr>
        <w:spacing w:before="160" w:after="60"/>
      </w:pPr>
      <w:r>
        <w:rPr>
          <w:rFonts w:ascii="Calibri" w:hAnsi="Calibri"/>
          <w:b/>
          <w:color w:val="1E3A5F"/>
        </w:rPr>
        <w:t>Filtres globaux</w:t>
      </w:r>
    </w:p>
    <w:p w:rsidR="00C930BF" w:rsidRDefault="00B16C3E">
      <w:pPr>
        <w:spacing w:before="40" w:after="80"/>
      </w:pPr>
      <w:r>
        <w:rPr>
          <w:rFonts w:ascii="Calibri" w:hAnsi="Calibri"/>
          <w:color w:val="444444"/>
          <w:sz w:val="21"/>
        </w:rPr>
        <w:t>Un panneau de filtres persistant en haut du dashboard permet d’affiner toutes les vues par : année de souscription, branche, pays, courtiers, cédantes, type de contrat (FAC / TTY / TTE) et périmètre Vie / Non-Vie. Un bouton Réinitialiser remet tous les filtres à zéro.</w:t>
      </w:r>
    </w:p>
    <w:p w:rsidR="00C930BF" w:rsidRDefault="00B16C3E">
      <w:pPr>
        <w:spacing w:before="240" w:after="80"/>
      </w:pPr>
      <w:r>
        <w:rPr>
          <w:rFonts w:ascii="Calibri" w:hAnsi="Calibri"/>
          <w:b/>
          <w:color w:val="4E6820"/>
          <w:sz w:val="26"/>
        </w:rPr>
        <w:t>2.2  Analyse</w:t>
      </w:r>
    </w:p>
    <w:p w:rsidR="00C930BF" w:rsidRDefault="00B16C3E">
      <w:pPr>
        <w:spacing w:before="40" w:after="80"/>
      </w:pPr>
      <w:r>
        <w:rPr>
          <w:rFonts w:ascii="Calibri" w:hAnsi="Calibri"/>
          <w:color w:val="444444"/>
          <w:sz w:val="21"/>
        </w:rPr>
        <w:t>La section Analyse regroupe quatre sous-pages permettant d’examiner le portefeuille selon différents axes métier : géographique, cédante, courtier et exposition aux risques.</w:t>
      </w:r>
    </w:p>
    <w:p w:rsidR="00C930BF" w:rsidRDefault="00B16C3E">
      <w:pPr>
        <w:spacing w:before="160" w:after="60"/>
      </w:pPr>
      <w:r>
        <w:rPr>
          <w:rFonts w:ascii="Calibri" w:hAnsi="Calibri"/>
          <w:b/>
          <w:color w:val="1E3A5F"/>
        </w:rPr>
        <w:lastRenderedPageBreak/>
        <w:t>Analyse Globale (par pays)</w:t>
      </w:r>
    </w:p>
    <w:p w:rsidR="00C930BF" w:rsidRDefault="00B16C3E">
      <w:pPr>
        <w:spacing w:before="40" w:after="40"/>
      </w:pPr>
      <w:r>
        <w:rPr>
          <w:rFonts w:ascii="Calibri" w:hAnsi="Calibri"/>
          <w:color w:val="444444"/>
          <w:sz w:val="21"/>
        </w:rPr>
        <w:t>Analyse approfondie du portefeuille par pays. L’utilisateur sélectionne un pays et accède à l’ensemble des indicateurs de performance associés. La route /analyse/:pays permet une navigation directe avec pays pré-sélectionné. Visualisations disponibles : KPI cards par pays (prime, résultat, ULR, somme assurée, contrats), carte mondiale de distribution géographique, graphique d’évolution annuelle, répartition par branche en donut, top 10 branches et top 10 cédantes, tableau détaillé des contrats exportable en Excel.</w:t>
      </w:r>
    </w:p>
    <w:p w:rsidR="00C930BF" w:rsidRDefault="00B16C3E">
      <w:pPr>
        <w:spacing w:before="160" w:after="60"/>
      </w:pPr>
      <w:r>
        <w:rPr>
          <w:rFonts w:ascii="Calibri" w:hAnsi="Calibri"/>
          <w:b/>
          <w:color w:val="1E3A5F"/>
        </w:rPr>
        <w:t>Analyse Cédante</w:t>
      </w:r>
    </w:p>
    <w:p w:rsidR="00C930BF" w:rsidRDefault="00B16C3E">
      <w:pPr>
        <w:spacing w:before="40" w:after="40"/>
      </w:pPr>
      <w:r>
        <w:rPr>
          <w:rFonts w:ascii="Calibri" w:hAnsi="Calibri"/>
          <w:color w:val="444444"/>
          <w:sz w:val="21"/>
        </w:rPr>
        <w:t>Profil analytique complet par cédante. Accessible via /analyse-cedante ou directement via /analyse-cedante/:cedante. Visualisations : fiche profil avec KPIs consolidés, courbe d’évolution annuelle, répartition par branche, top 10 branches, tableau des commissions par branche (prime, résultat, ULR moyen, nombre de contrats), analyse de diversification géographique et comparaison avec les 12 principales branches du marché.</w:t>
      </w:r>
    </w:p>
    <w:p w:rsidR="00C930BF" w:rsidRDefault="00B16C3E">
      <w:pPr>
        <w:spacing w:before="160" w:after="60"/>
      </w:pPr>
      <w:r>
        <w:rPr>
          <w:rFonts w:ascii="Calibri" w:hAnsi="Calibri"/>
          <w:b/>
          <w:color w:val="1E3A5F"/>
        </w:rPr>
        <w:t>Analyse Courtiers</w:t>
      </w:r>
    </w:p>
    <w:p w:rsidR="00C930BF" w:rsidRDefault="00B16C3E">
      <w:pPr>
        <w:spacing w:before="40" w:after="40"/>
      </w:pPr>
      <w:r>
        <w:rPr>
          <w:rFonts w:ascii="Calibri" w:hAnsi="Calibri"/>
          <w:color w:val="444444"/>
          <w:sz w:val="21"/>
        </w:rPr>
        <w:t>Classement et analyse des courtiers apporteurs d’affaires, croisé avec les données de rétrocession. Visualisations : tableau des top courtiers triable (prime, résultat, ULR moyen, part signée, contrats), colonnes rétrocession (PMD placée, courtage perçu, solde net), badge de rôle par courtier (Double Rôle, Apporteur seul, Placeur seul), scatter Volume vs ULR pour identifier les courtiers attractifs ou à risque, accès au profil détaillé de chaque courtier avec évolution annuelle et répartition par branche.</w:t>
      </w:r>
    </w:p>
    <w:p w:rsidR="00C930BF" w:rsidRDefault="00B16C3E">
      <w:pPr>
        <w:spacing w:before="160" w:after="60"/>
      </w:pPr>
      <w:r>
        <w:rPr>
          <w:rFonts w:ascii="Calibri" w:hAnsi="Calibri"/>
          <w:b/>
          <w:color w:val="1E3A5F"/>
        </w:rPr>
        <w:t>Exposition &amp; Risques</w:t>
      </w:r>
    </w:p>
    <w:p w:rsidR="00C930BF" w:rsidRDefault="00B16C3E">
      <w:pPr>
        <w:spacing w:before="40" w:after="80"/>
      </w:pPr>
      <w:r>
        <w:rPr>
          <w:rFonts w:ascii="Calibri" w:hAnsi="Calibri"/>
          <w:color w:val="444444"/>
          <w:sz w:val="21"/>
        </w:rPr>
        <w:t>Analyse de l’exposition aux risques : concentrations géographiques et risques unitaires. Visualisations : KPI cards (nombre de pays exposés, somme assurée totale, part moyenne signée, top risques), carte mondiale des expositions, tableau par pays et par branche, top 15 risques triés par exposition (police, cédante, branche, pays, somme assurée, part, prime, ULR), graphique à barres des top 10 risques.</w:t>
      </w:r>
    </w:p>
    <w:p w:rsidR="00C930BF" w:rsidRDefault="00B16C3E">
      <w:pPr>
        <w:spacing w:before="240" w:after="80"/>
      </w:pPr>
      <w:r>
        <w:rPr>
          <w:rFonts w:ascii="Calibri" w:hAnsi="Calibri"/>
          <w:b/>
          <w:color w:val="4E6820"/>
          <w:sz w:val="26"/>
        </w:rPr>
        <w:t>2.3  Scoring Marché</w:t>
      </w:r>
    </w:p>
    <w:p w:rsidR="00C930BF" w:rsidRDefault="00B16C3E">
      <w:pPr>
        <w:spacing w:before="40" w:after="80"/>
      </w:pPr>
      <w:r>
        <w:rPr>
          <w:rFonts w:ascii="Calibri" w:hAnsi="Calibri"/>
          <w:color w:val="444444"/>
          <w:sz w:val="21"/>
        </w:rPr>
        <w:t>Module de scoring multicritère dynamique des marchés (Pays × Branche). Permet à l’équipe de souscription d’identifier les marchés attractifs selon des critères paramétrables.</w:t>
      </w:r>
    </w:p>
    <w:p w:rsidR="00C930BF" w:rsidRDefault="00B16C3E">
      <w:pPr>
        <w:spacing w:before="160" w:after="60"/>
      </w:pPr>
      <w:r>
        <w:rPr>
          <w:rFonts w:ascii="Calibri" w:hAnsi="Calibri"/>
          <w:b/>
          <w:color w:val="1E3A5F"/>
        </w:rPr>
        <w:t>Configuration des critères</w:t>
      </w:r>
    </w:p>
    <w:p w:rsidR="00C930BF" w:rsidRDefault="00B16C3E">
      <w:pPr>
        <w:spacing w:before="40" w:after="40"/>
      </w:pPr>
      <w:r>
        <w:rPr>
          <w:rFonts w:ascii="Calibri" w:hAnsi="Calibri"/>
          <w:color w:val="444444"/>
          <w:sz w:val="21"/>
        </w:rPr>
        <w:t>Une sidebar de configuration permet de régler pour chaque critère son poids (%), son seuil cible et sa direction (minimiser ou maximiser). Cinq critères par défaut : Loss Ratio ULR (40%), Prime écrite (25%), Résultat net (20%), Taux de commission (10%), Part souscrite (5%). La somme des poids doit être égale à 100% ; une jauge rouge/verte valide en temps réel. Les seuils peuvent être sauvegardés (acces paramétrable selon le rôle utilisateur).</w:t>
      </w:r>
    </w:p>
    <w:p w:rsidR="00C930BF" w:rsidRDefault="00B16C3E">
      <w:pPr>
        <w:spacing w:before="160" w:after="60"/>
      </w:pPr>
      <w:r>
        <w:rPr>
          <w:rFonts w:ascii="Calibri" w:hAnsi="Calibri"/>
          <w:b/>
          <w:color w:val="1E3A5F"/>
        </w:rPr>
        <w:t>Résultats et recommandations</w:t>
      </w:r>
    </w:p>
    <w:p w:rsidR="00C930BF" w:rsidRDefault="00B16C3E">
      <w:pPr>
        <w:spacing w:before="40" w:after="80"/>
      </w:pPr>
      <w:r>
        <w:rPr>
          <w:rFonts w:ascii="Calibri" w:hAnsi="Calibri"/>
          <w:color w:val="444444"/>
          <w:sz w:val="21"/>
        </w:rPr>
        <w:t>Chaque marché reçoit un score global de 0 à 100 et un badge coloré : ATTRACTIF (score ≥ 70, vert), NEUTRE (40-70, orange) ou À ÉVITER (score &lt; 40, rouge). Le tableau de résultats est triable sur toutes les colonnes (score, ULR, prime, résultat, commission, part, contrats). Un filtre badge, un sélecteur Top N et un export Excel sont disponibles. Un bouton “Comparer” permet de naviguer directement vers la section Comparaison avec le marché pré-sélectionné.</w:t>
      </w:r>
    </w:p>
    <w:p w:rsidR="00C930BF" w:rsidRDefault="00B16C3E">
      <w:pPr>
        <w:spacing w:before="240" w:after="80"/>
      </w:pPr>
      <w:r>
        <w:rPr>
          <w:rFonts w:ascii="Calibri" w:hAnsi="Calibri"/>
          <w:b/>
          <w:color w:val="4E6820"/>
          <w:sz w:val="26"/>
        </w:rPr>
        <w:lastRenderedPageBreak/>
        <w:t>2.4  Comparaison Marché</w:t>
      </w:r>
    </w:p>
    <w:p w:rsidR="00C930BF" w:rsidRDefault="00B16C3E">
      <w:pPr>
        <w:spacing w:before="40" w:after="80"/>
      </w:pPr>
      <w:r>
        <w:rPr>
          <w:rFonts w:ascii="Calibri" w:hAnsi="Calibri"/>
          <w:color w:val="444444"/>
          <w:sz w:val="21"/>
        </w:rPr>
        <w:t>Outil de comparaison côte-à-côte de deux marchés (Pays × Branche). Pré-rempli depuis le module Scoring. Deux modes : comparaison par pays ou par branches. Indicateurs comparés : prime écrite, résultat, ULR moyen, somme assurée, nombre de contrats, ratio résultat/prime. Visualisations : bandeau comparatif avec indicateurs d’écart en delta %, graphique Radar multi-dimensionnel sur les indicateurs de performance, graphique d’évolution annuelle avec courbes superposées. Filtres disponibles : année de souscription, type de contrat, type SPC.</w:t>
      </w:r>
    </w:p>
    <w:p w:rsidR="00C930BF" w:rsidRDefault="00B16C3E">
      <w:pPr>
        <w:spacing w:before="240" w:after="80"/>
      </w:pPr>
      <w:r>
        <w:rPr>
          <w:rFonts w:ascii="Calibri" w:hAnsi="Calibri"/>
          <w:b/>
          <w:color w:val="4E6820"/>
          <w:sz w:val="26"/>
        </w:rPr>
        <w:t>2.5  Pilotage</w:t>
      </w:r>
    </w:p>
    <w:p w:rsidR="00C930BF" w:rsidRDefault="00B16C3E">
      <w:pPr>
        <w:spacing w:before="40" w:after="80"/>
      </w:pPr>
      <w:r>
        <w:rPr>
          <w:rFonts w:ascii="Calibri" w:hAnsi="Calibri"/>
          <w:color w:val="444444"/>
          <w:sz w:val="21"/>
        </w:rPr>
        <w:t>La section Pilotage regroupe les outils de suivi et d’optimisation du portefeuille : gestion des parts de marché cibles sur les traités TTY et surveillance de la saturation FAC.</w:t>
      </w:r>
    </w:p>
    <w:p w:rsidR="00C930BF" w:rsidRDefault="00B16C3E">
      <w:pPr>
        <w:spacing w:before="160" w:after="60"/>
      </w:pPr>
      <w:r>
        <w:rPr>
          <w:rFonts w:ascii="Calibri" w:hAnsi="Calibri"/>
          <w:b/>
          <w:color w:val="1E3A5F"/>
        </w:rPr>
        <w:t>Cibles TTY — Parts Signées Optimales</w:t>
      </w:r>
    </w:p>
    <w:p w:rsidR="00C930BF" w:rsidRDefault="00B16C3E">
      <w:pPr>
        <w:spacing w:before="40" w:after="40"/>
      </w:pPr>
      <w:r>
        <w:rPr>
          <w:rFonts w:ascii="Calibri" w:hAnsi="Calibri"/>
          <w:color w:val="444444"/>
          <w:sz w:val="21"/>
        </w:rPr>
        <w:t>Module de calcul des parts cibles sur les traités TTY basé sur des règles métier paramétrables (bonus ULR, bonus LOB, bonus faible part, malus ULR, plafond prime et plafond multiple). Un panneau d’ajustements collapsible permet de modifier tous les paramètres en temps réel. KPI cards : nombre de traités TTY analysés, potentiel additionnel total (MAD), décompte des orientations HAUSSE / BAISSE / STABLE. Visualisations : top 15 contrats par potentiel (tableau avec badges d’orientation), scatter part actuelle vs part cible, tableau de détail dépliable avec décomposition des ajustements. Recherche avec débounce, pagination 25 lignes/page et export Excel complet (bypass pagination).</w:t>
      </w:r>
    </w:p>
    <w:p w:rsidR="00C930BF" w:rsidRDefault="00B16C3E">
      <w:pPr>
        <w:spacing w:before="160" w:after="60"/>
      </w:pPr>
      <w:r>
        <w:rPr>
          <w:rFonts w:ascii="Calibri" w:hAnsi="Calibri"/>
          <w:b/>
          <w:color w:val="1E3A5F"/>
        </w:rPr>
        <w:t>Saturation FAC — Surveillance des Concentrations</w:t>
      </w:r>
    </w:p>
    <w:p w:rsidR="00C930BF" w:rsidRDefault="00B16C3E">
      <w:pPr>
        <w:spacing w:before="40" w:after="80"/>
      </w:pPr>
      <w:r>
        <w:rPr>
          <w:rFonts w:ascii="Calibri" w:hAnsi="Calibri"/>
          <w:color w:val="444444"/>
          <w:sz w:val="21"/>
        </w:rPr>
        <w:t>Module de surveillance de la saturation des affaires facultatives (FAC) par cédante et par branche. Identifie les cédantes dont la part des affaires FAC dépasse les seuils d’alerte fixés. KPI cards : nombre de branches avec activité FAC, prime FAC totale, taux de part FAC moyen, score de saturation maximum observé. Visualisations : liste des cédantes avec score de saturation global, modal de détail par cédante (tableau par branche avec prime FAC, nombre de contrats, taux de saturation, seuils, barre colorée vert/orange/rouge), alertes des cédantes dépassant les seuils critiques. Filtres : année de souscription, nature, traité.</w:t>
      </w:r>
    </w:p>
    <w:p w:rsidR="00C930BF" w:rsidRDefault="00B16C3E">
      <w:pPr>
        <w:spacing w:before="240" w:after="80"/>
      </w:pPr>
      <w:r>
        <w:rPr>
          <w:rFonts w:ascii="Calibri" w:hAnsi="Calibri"/>
          <w:b/>
          <w:color w:val="4E6820"/>
          <w:sz w:val="26"/>
        </w:rPr>
        <w:t>2.6  Rétrocession</w:t>
      </w:r>
    </w:p>
    <w:p w:rsidR="00C930BF" w:rsidRDefault="00B16C3E">
      <w:pPr>
        <w:spacing w:before="40" w:after="80"/>
      </w:pPr>
      <w:r>
        <w:rPr>
          <w:rFonts w:ascii="Calibri" w:hAnsi="Calibri"/>
          <w:color w:val="444444"/>
          <w:sz w:val="21"/>
        </w:rPr>
        <w:t>La section Rétrocession couvre l’ensemble du dispositif de cession en rétrocession d’Atlantic Re : traités placés, sécurités mobilisées et affaires FAC cédées à des partenaires.</w:t>
      </w:r>
    </w:p>
    <w:p w:rsidR="00C930BF" w:rsidRDefault="00B16C3E">
      <w:pPr>
        <w:spacing w:before="160" w:after="60"/>
      </w:pPr>
      <w:r>
        <w:rPr>
          <w:rFonts w:ascii="Calibri" w:hAnsi="Calibri"/>
          <w:b/>
          <w:color w:val="1E3A5F"/>
        </w:rPr>
        <w:t>Affaires Traitées</w:t>
      </w:r>
    </w:p>
    <w:p w:rsidR="00C930BF" w:rsidRDefault="00B16C3E">
      <w:pPr>
        <w:spacing w:before="40" w:after="40"/>
      </w:pPr>
      <w:r>
        <w:rPr>
          <w:rFonts w:ascii="Calibri" w:hAnsi="Calibri"/>
          <w:color w:val="444444"/>
          <w:sz w:val="21"/>
        </w:rPr>
        <w:t>Synthèse du placement des traités de rétrocession en deux onglets. KPI cards : EPI total, PMD totale placée, courtage total, taux de placement (PMD/EPI), part chez sécurités avec rating &gt; A. Vue Globale : donut Proportionnel vs Non-Proportionnel, barres PMD par traité, barres taux de placement, tableau des traités dépliable avec détail des sécurités (export Excel 2 feuilles). Vue par Courtier : scatter Double Rôle (primes apportées vs PMD placée), accordions Apporteurs purs / Placeurs purs, barres top 10 courtiers par PMD et par taux de courtage, tableau des courtiers avec filtre de rôle (Double Rôle / Apporteur / Placeur). Filtres : année, nature, traité, courtier, rating A+ uniquement.</w:t>
      </w:r>
    </w:p>
    <w:p w:rsidR="00C930BF" w:rsidRDefault="00B16C3E">
      <w:pPr>
        <w:spacing w:before="160" w:after="60"/>
      </w:pPr>
      <w:r>
        <w:rPr>
          <w:rFonts w:ascii="Calibri" w:hAnsi="Calibri"/>
          <w:b/>
          <w:color w:val="1E3A5F"/>
        </w:rPr>
        <w:t>Panel de Sécurité</w:t>
      </w:r>
    </w:p>
    <w:p w:rsidR="00C930BF" w:rsidRDefault="00B16C3E">
      <w:pPr>
        <w:spacing w:before="40" w:after="40"/>
      </w:pPr>
      <w:r>
        <w:rPr>
          <w:rFonts w:ascii="Calibri" w:hAnsi="Calibri"/>
          <w:color w:val="444444"/>
          <w:sz w:val="21"/>
        </w:rPr>
        <w:lastRenderedPageBreak/>
        <w:t>Gestion et suivi des sécurités (réassureurs preneurs). KPI cards : nombre de sécurités actives, PMD totale reçue, pourcentage de sécurités notées ≥ A, taux de concentration maximum. Visualisations : graphique à barres horizontal du top 10 sécurités par PMD, fiches sécurités (nom, note, PMD totale, nombre de traités, part moyenne, part maximum, concentration, traités couverts), alertes de concentration pour les sécurités dépassant 30% de concentration sur un traité, tableau de tous les réassureurs avec filtre rating ≥ A et export Excel. Filtres : année, nature, traité.</w:t>
      </w:r>
    </w:p>
    <w:p w:rsidR="00C930BF" w:rsidRDefault="00B16C3E">
      <w:pPr>
        <w:spacing w:before="160" w:after="60"/>
      </w:pPr>
      <w:r>
        <w:rPr>
          <w:rFonts w:ascii="Calibri" w:hAnsi="Calibri"/>
          <w:b/>
          <w:color w:val="1E3A5F"/>
        </w:rPr>
        <w:t>FAC-to-FAC</w:t>
      </w:r>
    </w:p>
    <w:p w:rsidR="00C930BF" w:rsidRDefault="00B16C3E">
      <w:pPr>
        <w:spacing w:before="40" w:after="80"/>
      </w:pPr>
      <w:r>
        <w:rPr>
          <w:rFonts w:ascii="Calibri" w:hAnsi="Calibri"/>
          <w:color w:val="444444"/>
          <w:sz w:val="21"/>
        </w:rPr>
        <w:t>Suivi des affaires facultatives échangées avec des partenaires (FAC-to-FAC) en deux onglets. KPI cards : engagement partenaire total, prime partenaire totale, moyenne part partenaire, prime Atlantic Re totale, nombre de partenaires. Vue Globale : évolution des primes partenaire par année (LineChart), primes par branche (BarChart avec highlight LOB), tableau détaillé par branche exportable. Vue Par Partenaire : scatter Croisement Donneurs × Preneurs (bulle size = engagement), top 10 partenaires par prime et par engagement, tableau avec filtre de rôle (Double Rôle / Donneur / Preneur) et export Excel. Filtres : année, LOB, branche, type de contrat.</w:t>
      </w:r>
    </w:p>
    <w:p w:rsidR="00C930BF" w:rsidRDefault="00B16C3E">
      <w:pPr>
        <w:pBdr>
          <w:bottom w:val="single" w:sz="6" w:space="1" w:color="4E6820"/>
        </w:pBdr>
        <w:spacing w:before="360" w:after="120"/>
      </w:pPr>
      <w:r>
        <w:rPr>
          <w:rFonts w:ascii="Calibri" w:hAnsi="Calibri"/>
          <w:b/>
          <w:color w:val="4E6820"/>
          <w:sz w:val="28"/>
        </w:rPr>
        <w:t>AXE 2 — MODÉLISATION AFRIQUE 2030</w:t>
      </w:r>
    </w:p>
    <w:p w:rsidR="00C930BF" w:rsidRDefault="00B16C3E">
      <w:pPr>
        <w:spacing w:before="40" w:after="80"/>
      </w:pPr>
      <w:r>
        <w:rPr>
          <w:rFonts w:ascii="Calibri" w:hAnsi="Calibri"/>
          <w:color w:val="444444"/>
          <w:sz w:val="21"/>
        </w:rPr>
        <w:t>L’Axe 2 est la dimension prospective et stratégique d’AtlanticRe. Il analyse les marchés africains d’assurance sur un plan externe (données de marché, indicateurs macroéconomiques, gouvernance) pour orienter la stratégie de développement à horizon 2030. Périmètre : 34 pays africains, données 2015–2024. Les pages de l’Axe 2 utilisent un système de navigation par onglets horizontaux avec barre de progression.</w:t>
      </w:r>
    </w:p>
    <w:p w:rsidR="00C930BF" w:rsidRDefault="00B16C3E">
      <w:pPr>
        <w:spacing w:before="240" w:after="80"/>
      </w:pPr>
      <w:r>
        <w:rPr>
          <w:rFonts w:ascii="Calibri" w:hAnsi="Calibri"/>
          <w:b/>
          <w:color w:val="4E6820"/>
          <w:sz w:val="26"/>
        </w:rPr>
        <w:t>2.7  Cartographie Non-Vie</w:t>
      </w:r>
    </w:p>
    <w:p w:rsidR="00C930BF" w:rsidRDefault="00B16C3E">
      <w:pPr>
        <w:spacing w:before="40" w:after="80"/>
      </w:pPr>
      <w:r>
        <w:rPr>
          <w:rFonts w:ascii="Calibri" w:hAnsi="Calibri"/>
          <w:color w:val="444444"/>
          <w:sz w:val="21"/>
        </w:rPr>
        <w:t>Analyse complète du marché de l’assurance Non-Vie africain en 9 onglets. Sources : Axco Navigator, Backcasting. KPIs : primes Non-Vie totales, croissance médiane, pénétration moyenne, densité moyenne. Onglets : KPIs (4 cartes), Top 10 pays (barres classées), Carte choroplèthe interactive (5 indicateurs paramétrables : primes, pénétration, densité, croissance, ratio S/P), Scatter configurables axes X/Y, Évolution régionale (ComposedChart stacked area), Structure du marché (donut Plotly par région), Distribution S/P (boîte à moustaches), Détail pays (graphique dual-axis par pays sélectionné), Classement (tableau 34 pays avec badges S/P colorés). Panels d’insights analytiques dynamiques sur chaque onglet.</w:t>
      </w:r>
    </w:p>
    <w:p w:rsidR="00C930BF" w:rsidRDefault="00B16C3E">
      <w:pPr>
        <w:spacing w:before="240" w:after="80"/>
      </w:pPr>
      <w:r>
        <w:rPr>
          <w:rFonts w:ascii="Calibri" w:hAnsi="Calibri"/>
          <w:b/>
          <w:color w:val="4E6820"/>
          <w:sz w:val="26"/>
        </w:rPr>
        <w:t>2.8  Cartographie Vie</w:t>
      </w:r>
    </w:p>
    <w:p w:rsidR="00C930BF" w:rsidRDefault="00B16C3E">
      <w:pPr>
        <w:spacing w:before="40" w:after="80"/>
      </w:pPr>
      <w:r>
        <w:rPr>
          <w:rFonts w:ascii="Calibri" w:hAnsi="Calibri"/>
          <w:color w:val="444444"/>
          <w:sz w:val="21"/>
        </w:rPr>
        <w:t>Analyse du marché Vie africain avec la même architecture en onglets que la cartographie Non-Vie. Sources : Axco Navigator, Backcasting. KPIs : primes Vie totales, croissance médiane, pénétration et densité moyennes. Carte choroplèthe, scatter, évolution régionale, structure, distribution de la pénétration, détail pays et classement des 34 pays. Attention : l’Afrique du Sud représente environ 85% du marché Vie continental et est traitée comme une région distincte pour éviter les distorsions d’échelle.</w:t>
      </w:r>
    </w:p>
    <w:p w:rsidR="00C930BF" w:rsidRDefault="00B16C3E">
      <w:pPr>
        <w:spacing w:before="240" w:after="80"/>
      </w:pPr>
      <w:r>
        <w:rPr>
          <w:rFonts w:ascii="Calibri" w:hAnsi="Calibri"/>
          <w:b/>
          <w:color w:val="4E6820"/>
          <w:sz w:val="26"/>
        </w:rPr>
        <w:t>2.9  Cartographie Macroéconomie</w:t>
      </w:r>
    </w:p>
    <w:p w:rsidR="00C930BF" w:rsidRDefault="00B16C3E">
      <w:pPr>
        <w:spacing w:before="40" w:after="80"/>
      </w:pPr>
      <w:r>
        <w:rPr>
          <w:rFonts w:ascii="Calibri" w:hAnsi="Calibri"/>
          <w:color w:val="444444"/>
          <w:sz w:val="21"/>
        </w:rPr>
        <w:t xml:space="preserve">Analyse macroéconomique des 34 pays africains. Sources : World Bank, IMF, UNCTAD. 7 indicateurs couverts : PIB, PIB/habitant, croissance PIB, inflation, compte courant, intégration régionale (Chinn-Ito). KPIs : croissance PIB médiane, PIB/habitant médian, inflation médiane, meilleure intégration régionale. </w:t>
      </w:r>
      <w:r>
        <w:rPr>
          <w:rFonts w:ascii="Calibri" w:hAnsi="Calibri"/>
          <w:color w:val="444444"/>
          <w:sz w:val="21"/>
        </w:rPr>
        <w:lastRenderedPageBreak/>
        <w:t>Onglets spécifiques : carte choroplèthe (6 indicateurs paramétrables), scatter configurable, top 10 par indicateur, évolution régionale, radar profil macro régional (4 dimensions : croissance, inflation, PIB/hab, intégration), distribution inflation, détail pays, classement.</w:t>
      </w:r>
    </w:p>
    <w:p w:rsidR="00C930BF" w:rsidRDefault="00B16C3E">
      <w:pPr>
        <w:spacing w:before="240" w:after="80"/>
      </w:pPr>
      <w:r>
        <w:rPr>
          <w:rFonts w:ascii="Calibri" w:hAnsi="Calibri"/>
          <w:b/>
          <w:color w:val="4E6820"/>
          <w:sz w:val="26"/>
        </w:rPr>
        <w:t>2.10  Cartographie Gouvernance</w:t>
      </w:r>
    </w:p>
    <w:p w:rsidR="00C930BF" w:rsidRDefault="00B16C3E">
      <w:pPr>
        <w:spacing w:before="40" w:after="80"/>
      </w:pPr>
      <w:r>
        <w:rPr>
          <w:rFonts w:ascii="Calibri" w:hAnsi="Calibri"/>
          <w:color w:val="444444"/>
          <w:sz w:val="21"/>
        </w:rPr>
        <w:t>Analyse de la gouvernance et du risque politique. Sources : World Bank WGI, Chinn-Ito, UNCTAD FDI. 4 indicateurs : stabilité politique WGI [-2.5, +2.5], qualité réglementaire WGI, flux IDE (% PIB), KAOPEN (index d’ouverture financière Chinn-Ito). Onglets : carte choroplethète, Scatter 1 (Stabilité vs Réglementation, quadrants institutionnels), Scatter 2 (KAOPEN vs IDE, ouverture vs attractivité), évolution régionale, heatmap gouvernance, distribution KAOPEN (badges Ouvert / Partiel / Fermé), détail pays, classement avec badges de stabilité colorés.</w:t>
      </w:r>
    </w:p>
    <w:p w:rsidR="00C930BF" w:rsidRDefault="00B16C3E">
      <w:pPr>
        <w:spacing w:before="240" w:after="80"/>
      </w:pPr>
      <w:r>
        <w:rPr>
          <w:rFonts w:ascii="Calibri" w:hAnsi="Calibri"/>
          <w:b/>
          <w:color w:val="4E6820"/>
          <w:sz w:val="26"/>
        </w:rPr>
        <w:t>2.11  SCAR Scoring</w:t>
      </w:r>
    </w:p>
    <w:p w:rsidR="00C930BF" w:rsidRDefault="00B16C3E">
      <w:pPr>
        <w:spacing w:before="40" w:after="80"/>
      </w:pPr>
      <w:r>
        <w:rPr>
          <w:rFonts w:ascii="Calibri" w:hAnsi="Calibri"/>
          <w:color w:val="444444"/>
          <w:sz w:val="21"/>
        </w:rPr>
        <w:t>Module de scoring SCAR (Scoring des Capacités et Attractivité de Réassurance) appliqué aux marchés africains d’un point de vue stratégique. Tableau de scoring des pays selon les critères SCAR croisant les 4 dimensions (Non-Vie, Vie, Macro, Gouvernance). Visualisation radar par pays permettant une lecture synthétique du profil stratégique de chaque marché africain.</w:t>
      </w:r>
    </w:p>
    <w:p w:rsidR="00C930BF" w:rsidRDefault="00B16C3E">
      <w:pPr>
        <w:spacing w:before="240" w:after="80"/>
      </w:pPr>
      <w:r>
        <w:rPr>
          <w:rFonts w:ascii="Calibri" w:hAnsi="Calibri"/>
          <w:b/>
          <w:color w:val="4E6820"/>
          <w:sz w:val="26"/>
        </w:rPr>
        <w:t>2.12  Analyse par Pays (Axe 2)</w:t>
      </w:r>
    </w:p>
    <w:p w:rsidR="00C930BF" w:rsidRDefault="00B16C3E">
      <w:pPr>
        <w:spacing w:before="40" w:after="80"/>
      </w:pPr>
      <w:r>
        <w:rPr>
          <w:rFonts w:ascii="Calibri" w:hAnsi="Calibri"/>
          <w:color w:val="444444"/>
          <w:sz w:val="21"/>
        </w:rPr>
        <w:t>La section Analyse Globale est un hub de navigation vers les fiches pays individuelles. Elle présente 6 cartes de classement (Top 8) par indicateur : primes Non-Vie, pénétration Non-Vie, primes Vie, PIB/habitant, stabilité politique, attractivité IDE. Un tableau de synthèse des 34 pays avec 9 colonnes et badges colorés est disponible. Chaque ligne est cliquable pour accéder à la fiche pays détaillée (9 onglets : Identité, KPIs, Évolution, Radar, Non-Vie, Vie, Macroéconomie, Gouvernance, Positionnement continental). La fiche pays inclut un système de sélection de période (année ou moyenne 2015–2024) et un bouton direct vers la comparaison de pays.</w:t>
      </w:r>
    </w:p>
    <w:p w:rsidR="00C930BF" w:rsidRDefault="00B16C3E">
      <w:pPr>
        <w:spacing w:before="240" w:after="80"/>
      </w:pPr>
      <w:r>
        <w:rPr>
          <w:rFonts w:ascii="Calibri" w:hAnsi="Calibri"/>
          <w:b/>
          <w:color w:val="4E6820"/>
          <w:sz w:val="26"/>
        </w:rPr>
        <w:t>2.13  Comparaison de Pays (Axe 2)</w:t>
      </w:r>
    </w:p>
    <w:p w:rsidR="00C930BF" w:rsidRDefault="00B16C3E">
      <w:pPr>
        <w:spacing w:before="40" w:after="80"/>
      </w:pPr>
      <w:r>
        <w:rPr>
          <w:rFonts w:ascii="Calibri" w:hAnsi="Calibri"/>
          <w:color w:val="444444"/>
          <w:sz w:val="21"/>
        </w:rPr>
        <w:t>Analyse comparative côte-à-côte de deux pays africains sur les 4 dimensions (Non-Vie, Vie, Macro, Gouvernance) en 7 onglets. Le pays A s’affiche en bleu navy, le pays B en olive. Sélecteurs de pays A et B avec pré-remplissage possible depuis l’Analyse Pays. Onglets : KPIs &amp; Évolution (tableau de 9 indicateurs comparés avec delta %, graphiques d’évolution superposés), Radar 6 dimensions (pays A, B et médiane continentale), Non-Vie, Vie, Macro, Gouvernance (graphiques et tableaux historiques côte-à-côte), Positionnement (rang continental pour chaque indicateur avec badges Vert/Orange/Rouge selon top 10 / 11-20 / 21+). Sélecteur de période commun à toutes les vues.</w:t>
      </w:r>
    </w:p>
    <w:p w:rsidR="00C930BF" w:rsidRDefault="00B16C3E">
      <w:pPr>
        <w:pBdr>
          <w:bottom w:val="single" w:sz="6" w:space="1" w:color="B8860B"/>
        </w:pBdr>
        <w:spacing w:before="360" w:after="120"/>
      </w:pPr>
      <w:r>
        <w:rPr>
          <w:rFonts w:ascii="Calibri" w:hAnsi="Calibri"/>
          <w:b/>
          <w:color w:val="B8860B"/>
          <w:sz w:val="28"/>
        </w:rPr>
        <w:t>MODULE SYNERGIQUE — AXE 1 × AXE 2</w:t>
      </w:r>
    </w:p>
    <w:p w:rsidR="00C930BF" w:rsidRDefault="00B16C3E">
      <w:pPr>
        <w:spacing w:before="40" w:after="80"/>
      </w:pPr>
      <w:r>
        <w:rPr>
          <w:rFonts w:ascii="Calibri" w:hAnsi="Calibri"/>
          <w:color w:val="444444"/>
          <w:sz w:val="21"/>
        </w:rPr>
        <w:t>Le module Synergique est la couche de synthèse stratégique d’AtlanticRe. Il croise les données du portefeuille interne (Axe 1) avec les données de marché africaines (Axe 2) pour mesurer le positionnement effectif d’Atlantic Re sur chaque marché africain. Thème couleur doré/ambre, distinct des deux axes. Un taux de conversion USD → MAD paramétrable permet d’harmoniser les données des deux sources.</w:t>
      </w:r>
    </w:p>
    <w:p w:rsidR="00C930BF" w:rsidRDefault="00B16C3E">
      <w:pPr>
        <w:spacing w:before="240" w:after="80"/>
      </w:pPr>
      <w:r>
        <w:rPr>
          <w:rFonts w:ascii="Calibri" w:hAnsi="Calibri"/>
          <w:b/>
          <w:color w:val="4E6820"/>
          <w:sz w:val="26"/>
        </w:rPr>
        <w:lastRenderedPageBreak/>
        <w:t>2.14  Analyse Synergique — Vue Globale</w:t>
      </w:r>
    </w:p>
    <w:p w:rsidR="00C930BF" w:rsidRDefault="00B16C3E">
      <w:pPr>
        <w:spacing w:before="40" w:after="80"/>
      </w:pPr>
      <w:r>
        <w:rPr>
          <w:rFonts w:ascii="Calibri" w:hAnsi="Calibri"/>
          <w:color w:val="444444"/>
          <w:sz w:val="21"/>
        </w:rPr>
        <w:t>Vue croisée Portefeuille Interne × Marchés Africains en 5 onglets. Contrôles globaux persistants : taux USD→MAD, filtre Vie/Non-Vie, sélecteur d’année, sélecteur de pays. L’indicateur stratégique clé est la Pénétration Réelle (= Part signée × Subject Premium / Primes Marché × 100), qui mesure la part effective d’Atlantic Re sur l’ensemble d’un marché. Onglets : KPIs &amp; Synthèse (6 cartes KPI dont la Pénétration Réelle mise en avant), Classement Pays (6 graphiques Top 15 pays par Primes Marché, Primes Affaires, Primes Atlantic Re, Part signée, Pénétration Réelle et ULR), Évolution (5 métriques sélectionnables avec graphiques annuels), Synthèse par Pays (tableau complet triable avec recherche et pagination), Détail par Cédante (tableau cédantes × pays avec toutes les métriques). Clic sur un pays → navigation vers la fiche synergique pays.</w:t>
      </w:r>
    </w:p>
    <w:p w:rsidR="00C930BF" w:rsidRDefault="00B16C3E">
      <w:pPr>
        <w:spacing w:before="240" w:after="80"/>
      </w:pPr>
      <w:r>
        <w:rPr>
          <w:rFonts w:ascii="Calibri" w:hAnsi="Calibri"/>
          <w:b/>
          <w:color w:val="4E6820"/>
          <w:sz w:val="26"/>
        </w:rPr>
        <w:t>2.15  Analyse Synergique — Vue Pays</w:t>
      </w:r>
    </w:p>
    <w:p w:rsidR="00C930BF" w:rsidRDefault="00B16C3E">
      <w:pPr>
        <w:spacing w:before="40" w:after="80"/>
      </w:pPr>
      <w:r>
        <w:rPr>
          <w:rFonts w:ascii="Calibri" w:hAnsi="Calibri"/>
          <w:color w:val="444444"/>
          <w:sz w:val="21"/>
        </w:rPr>
        <w:t>Rapport détaillé de positionnement Atlantic Re dans un marché africain spécifique en 4 onglets. C’est la page la plus stratégique de l’application. Onglet KPIs &amp; Synthèse : 6 cartes KPI (primes totales du marché, primes des affaires souscrites, primes Atlantic Re, part sur les affaires, indicateurs d’activité, pénétration réelle) filtrables par Vie/Non-Vie. Onglet Évolution : 5 métriques sélectionnables scopas au pays. Onglet Rapport de Recommandation : système de diagnostic automatique générant 6 sections analytiques (positionnement, sinistralité, diversification cédantes, dynamique de marché, branches, recommandations stratégiques) avec paramètres ajustables via un panneau dédié et recalcul 100% côté client. Onglet Détail par Cédante : tableau des cédantes du pays avec recherche et pagination.</w:t>
      </w:r>
    </w:p>
    <w:p w:rsidR="00C930BF" w:rsidRDefault="00B16C3E">
      <w:r>
        <w:br w:type="page"/>
      </w:r>
    </w:p>
    <w:p w:rsidR="00C930BF" w:rsidRDefault="00B16C3E">
      <w:pPr>
        <w:shd w:val="clear" w:color="auto" w:fill="1E3A5F"/>
        <w:spacing w:after="120"/>
      </w:pPr>
      <w:r>
        <w:rPr>
          <w:rFonts w:ascii="Calibri" w:hAnsi="Calibri"/>
          <w:sz w:val="8"/>
        </w:rPr>
        <w:lastRenderedPageBreak/>
        <w:t xml:space="preserve">                                                                                                                        </w:t>
      </w:r>
    </w:p>
    <w:p w:rsidR="00C930BF" w:rsidRDefault="00C930BF">
      <w:pPr>
        <w:spacing w:after="0"/>
      </w:pPr>
    </w:p>
    <w:p w:rsidR="00C930BF" w:rsidRDefault="00C930BF">
      <w:pPr>
        <w:spacing w:after="0"/>
      </w:pPr>
    </w:p>
    <w:p w:rsidR="00C930BF" w:rsidRDefault="00B16C3E">
      <w:pPr>
        <w:jc w:val="center"/>
      </w:pPr>
      <w:r>
        <w:rPr>
          <w:rFonts w:ascii="Calibri" w:hAnsi="Calibri"/>
          <w:i/>
          <w:color w:val="444444"/>
          <w:sz w:val="18"/>
        </w:rPr>
        <w:t>Atlantic Re — CDG Group  |  Plateforme Réassurance v2.0  |  Avril 2026</w:t>
      </w:r>
    </w:p>
    <w:p w:rsidR="00C930BF" w:rsidRDefault="00B16C3E">
      <w:pPr>
        <w:jc w:val="center"/>
      </w:pPr>
      <w:r>
        <w:rPr>
          <w:rFonts w:ascii="Calibri" w:hAnsi="Calibri"/>
          <w:i/>
          <w:color w:val="444444"/>
          <w:sz w:val="18"/>
        </w:rPr>
        <w:t>Document confidentiel — Destiné à l'encadrant du projet de stage</w:t>
      </w:r>
    </w:p>
    <w:sectPr w:rsidR="00C930B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77EF"/>
    <w:rsid w:val="0015074B"/>
    <w:rsid w:val="0029639D"/>
    <w:rsid w:val="00326F90"/>
    <w:rsid w:val="00AA1D8D"/>
    <w:rsid w:val="00B16C3E"/>
    <w:rsid w:val="00B47730"/>
    <w:rsid w:val="00C930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45DE2"/>
  <w14:defaultImageDpi w14:val="300"/>
  <w15:docId w15:val="{15FFD470-AC43-4197-8203-FCBD9BD75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EB4906-422A-48CC-AD0D-1E7042C72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3399</Words>
  <Characters>18695</Characters>
  <Application>Microsoft Office Word</Application>
  <DocSecurity>0</DocSecurity>
  <Lines>155</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Smaiki Anas</cp:lastModifiedBy>
  <cp:revision>3</cp:revision>
  <dcterms:created xsi:type="dcterms:W3CDTF">2013-12-23T23:15:00Z</dcterms:created>
  <dcterms:modified xsi:type="dcterms:W3CDTF">2026-04-20T10:39:00Z</dcterms:modified>
  <cp:category/>
</cp:coreProperties>
</file>