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2A6" w:rsidRDefault="009B0D14">
      <w:pPr>
        <w:spacing w:before="1200" w:after="200"/>
        <w:jc w:val="center"/>
      </w:pPr>
      <w:r>
        <w:rPr>
          <w:b/>
          <w:bCs/>
          <w:color w:val="1F3864"/>
          <w:sz w:val="36"/>
          <w:szCs w:val="36"/>
        </w:rPr>
        <w:t>RAPPORT TECHNIQUE SYNTHÉTIQUE</w:t>
      </w:r>
    </w:p>
    <w:p w:rsidR="008E42A6" w:rsidRDefault="009B0D14">
      <w:pPr>
        <w:spacing w:after="100"/>
        <w:jc w:val="center"/>
      </w:pPr>
      <w:r>
        <w:rPr>
          <w:color w:val="2E75B6"/>
          <w:sz w:val="26"/>
          <w:szCs w:val="26"/>
        </w:rPr>
        <w:t>Modélisation des marchés africains d'assurance à horizon 2030</w:t>
      </w:r>
    </w:p>
    <w:p w:rsidR="008E42A6" w:rsidRDefault="009B0D14"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Axe 2 – Notebook de </w:t>
      </w:r>
      <w:proofErr w:type="gramStart"/>
      <w:r>
        <w:rPr>
          <w:i/>
          <w:iCs/>
          <w:color w:val="555555"/>
          <w:sz w:val="22"/>
          <w:szCs w:val="22"/>
        </w:rPr>
        <w:t>prédiction  |</w:t>
      </w:r>
      <w:proofErr w:type="gramEnd"/>
      <w:r>
        <w:rPr>
          <w:i/>
          <w:iCs/>
          <w:color w:val="555555"/>
          <w:sz w:val="22"/>
          <w:szCs w:val="22"/>
        </w:rPr>
        <w:t xml:space="preserve">  </w:t>
      </w:r>
      <w:proofErr w:type="spellStart"/>
      <w:r>
        <w:rPr>
          <w:i/>
          <w:iCs/>
          <w:color w:val="555555"/>
          <w:sz w:val="22"/>
          <w:szCs w:val="22"/>
        </w:rPr>
        <w:t>AtlanticRe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E42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Document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Notebook axe2_atlanticre_predictions_2030.ipynb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Auteur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Équipe Modélisation – </w:t>
            </w:r>
            <w:proofErr w:type="spellStart"/>
            <w:r>
              <w:rPr>
                <w:color w:val="000000"/>
                <w:sz w:val="19"/>
                <w:szCs w:val="19"/>
              </w:rPr>
              <w:t>AtlanticRe</w:t>
            </w:r>
            <w:proofErr w:type="spellEnd"/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Date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Avril 2026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Statut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C00000"/>
                <w:sz w:val="19"/>
                <w:szCs w:val="19"/>
              </w:rPr>
              <w:t>Soumis pour relecture et approbation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Synthèse – 8 pages (version binôme)</w:t>
            </w:r>
          </w:p>
        </w:tc>
      </w:tr>
    </w:tbl>
    <w:p w:rsidR="008E42A6" w:rsidRDefault="009B0D14">
      <w:r>
        <w:br w:type="page"/>
      </w:r>
    </w:p>
    <w:p w:rsidR="008E42A6" w:rsidRDefault="009B0D14">
      <w:pPr>
        <w:pStyle w:val="Titre1"/>
        <w:pBdr>
          <w:bottom w:val="single" w:sz="6" w:space="1" w:color="2E75B6"/>
        </w:pBdr>
      </w:pPr>
      <w:r>
        <w:lastRenderedPageBreak/>
        <w:t>1. Contexte et objectifs</w:t>
      </w:r>
    </w:p>
    <w:p w:rsidR="008E42A6" w:rsidRDefault="009B0D14">
      <w:pPr>
        <w:spacing w:before="60" w:after="60"/>
      </w:pPr>
      <w:proofErr w:type="spellStart"/>
      <w:r>
        <w:rPr>
          <w:color w:val="000000"/>
        </w:rPr>
        <w:t>AtlanticRe</w:t>
      </w:r>
      <w:proofErr w:type="spellEnd"/>
      <w:r>
        <w:rPr>
          <w:color w:val="000000"/>
        </w:rPr>
        <w:t xml:space="preserve"> est actif sur 33 marchés africains. Pour orienter ses décisions stratégiques, le groupe a besoin d'une vision prospective quantitative des dynamiques économiques et assurantielles de chaque pays.</w:t>
      </w:r>
    </w:p>
    <w:p w:rsidR="008E42A6" w:rsidRDefault="009B0D14">
      <w:pPr>
        <w:spacing w:before="60" w:after="60"/>
      </w:pPr>
      <w:r>
        <w:rPr>
          <w:color w:val="000000"/>
        </w:rPr>
        <w:t>Ce notebook constitue le cœur analytique de l'Axe</w:t>
      </w:r>
      <w:r>
        <w:rPr>
          <w:color w:val="000000"/>
        </w:rPr>
        <w:t xml:space="preserve"> 2 (Modélisation Afrique 2030). Il modélise l'évolution des marchés Non-Vie et Vie à horizon 2030 et identifie les marchés les plus attractifs. Les résultats alimentent directement la plateforme interactive </w:t>
      </w:r>
      <w:proofErr w:type="spellStart"/>
      <w:r>
        <w:rPr>
          <w:color w:val="000000"/>
        </w:rPr>
        <w:t>AtlanticRe</w:t>
      </w:r>
      <w:proofErr w:type="spellEnd"/>
      <w:r>
        <w:rPr>
          <w:color w:val="000000"/>
        </w:rPr>
        <w:t>.</w:t>
      </w:r>
    </w:p>
    <w:p w:rsidR="008E42A6" w:rsidRDefault="008E42A6"/>
    <w:p w:rsidR="008E42A6" w:rsidRDefault="009B0D14">
      <w:pPr>
        <w:pStyle w:val="Titre1"/>
        <w:pBdr>
          <w:bottom w:val="single" w:sz="6" w:space="1" w:color="2E75B6"/>
        </w:pBdr>
      </w:pPr>
      <w:r>
        <w:t>2. Données sources</w:t>
      </w:r>
    </w:p>
    <w:p w:rsidR="008E42A6" w:rsidRDefault="009B0D14">
      <w:pPr>
        <w:spacing w:before="60" w:after="60"/>
      </w:pPr>
      <w:r>
        <w:rPr>
          <w:color w:val="000000"/>
        </w:rPr>
        <w:t>Quatre fichiers d</w:t>
      </w:r>
      <w:r>
        <w:rPr>
          <w:color w:val="000000"/>
        </w:rPr>
        <w:t>e données couvrant 2015–2024 pour 33 pays africains (l'Afrique du Sud est exclue pour éviter un biais d'échelle) :</w:t>
      </w:r>
    </w:p>
    <w:p w:rsidR="008E42A6" w:rsidRDefault="008E42A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9"/>
        <w:gridCol w:w="2996"/>
        <w:gridCol w:w="3033"/>
      </w:tblGrid>
      <w:tr w:rsidR="008E42A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Fichier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Contenu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Variables clés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africa_eco_integration_FINAL.csv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Macro-économie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PIB total, PIB/</w:t>
            </w:r>
            <w:proofErr w:type="spellStart"/>
            <w:r>
              <w:rPr>
                <w:color w:val="000000"/>
                <w:sz w:val="19"/>
                <w:szCs w:val="19"/>
              </w:rPr>
              <w:t>hab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inflation, </w:t>
            </w:r>
            <w:proofErr w:type="spellStart"/>
            <w:r>
              <w:rPr>
                <w:color w:val="000000"/>
                <w:sz w:val="19"/>
                <w:szCs w:val="19"/>
              </w:rPr>
              <w:t>kaopen</w:t>
            </w:r>
            <w:proofErr w:type="spellEnd"/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marche_assurance_non_vie_FINAL.csv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Marché Non-Vie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Taux pénétration NV, primes, S/P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marche_assurance_vie_FINAL.csv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Marché Vie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Taux pénétration Vie, primes, densité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wgi_africa_kaopen_FINAL.csv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Gouvernance WGI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Stabilité politique, qualité réglementaire</w:t>
            </w:r>
          </w:p>
        </w:tc>
      </w:tr>
    </w:tbl>
    <w:p w:rsidR="008E42A6" w:rsidRDefault="008E42A6"/>
    <w:p w:rsidR="008E42A6" w:rsidRDefault="009B0D14">
      <w:pPr>
        <w:pStyle w:val="Titre1"/>
        <w:pBdr>
          <w:bottom w:val="single" w:sz="6" w:space="1" w:color="2E75B6"/>
        </w:pBdr>
      </w:pPr>
      <w:r>
        <w:t>3. Vue d'ensemble du pipeline de modélisation</w:t>
      </w:r>
    </w:p>
    <w:p w:rsidR="008E42A6" w:rsidRDefault="009B0D14">
      <w:pPr>
        <w:spacing w:before="60" w:after="60"/>
      </w:pPr>
      <w:r>
        <w:rPr>
          <w:color w:val="000000"/>
        </w:rPr>
        <w:t>Le notebook est structuré en 13 étapes séquentielles (0 à 12). Chaque étape produit un output servant d'input aux étapes suivantes :</w:t>
      </w:r>
    </w:p>
    <w:p w:rsidR="008E42A6" w:rsidRDefault="008E42A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3300"/>
        <w:gridCol w:w="2358"/>
        <w:gridCol w:w="3000"/>
      </w:tblGrid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Étape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Action principale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Modèle utilisé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Chargement &amp; fusion des données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pandas </w:t>
            </w:r>
            <w:proofErr w:type="spellStart"/>
            <w:r>
              <w:rPr>
                <w:color w:val="000000"/>
                <w:sz w:val="19"/>
                <w:szCs w:val="19"/>
              </w:rPr>
              <w:t>merge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winsorisation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330 lignes (33 pays × 10 ans)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Projection de la population 2025–2030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Régression linéaire (extrapolation)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Population estimée par pays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Prédiction croissance du PIB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AR(1) avec </w:t>
            </w:r>
            <w:proofErr w:type="spellStart"/>
            <w:r>
              <w:rPr>
                <w:color w:val="000000"/>
                <w:sz w:val="19"/>
                <w:szCs w:val="19"/>
              </w:rPr>
              <w:t>mean-reversion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(cible 3,5%)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Taux de croissance [−10%, +15%]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Prédiction PIB par habitant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Ridge + effets fixes pays + ARIMA(1,0,0)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PIB/</w:t>
            </w:r>
            <w:proofErr w:type="spellStart"/>
            <w:r>
              <w:rPr>
                <w:color w:val="000000"/>
                <w:sz w:val="19"/>
                <w:szCs w:val="19"/>
              </w:rPr>
              <w:t>hab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USD par pays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Prédiction indicateurs de gouvernance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roofErr w:type="spellStart"/>
            <w:r>
              <w:rPr>
                <w:color w:val="000000"/>
                <w:sz w:val="19"/>
                <w:szCs w:val="19"/>
              </w:rPr>
              <w:t>Gaussian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Process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Regressor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(RBF </w:t>
            </w:r>
            <w:proofErr w:type="spellStart"/>
            <w:r>
              <w:rPr>
                <w:color w:val="000000"/>
                <w:sz w:val="19"/>
                <w:szCs w:val="19"/>
              </w:rPr>
              <w:t>kernel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roofErr w:type="spellStart"/>
            <w:r>
              <w:rPr>
                <w:color w:val="000000"/>
                <w:sz w:val="19"/>
                <w:szCs w:val="19"/>
              </w:rPr>
              <w:t>polstab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regqual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intervalles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Pénétration Non-Vie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Ridge + effets fixes + ARIMA(1,0,0)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Taux NV % [0,01 ; 5,0]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Pénétration Vie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Idem + pénétration NV comme </w:t>
            </w:r>
            <w:proofErr w:type="spellStart"/>
            <w:r>
              <w:rPr>
                <w:color w:val="000000"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Taux Vie % [0,001 ; 10,0]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Ratio Sinistres/Primes (S/P)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AR(2) + Ridge + </w:t>
            </w:r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sur résidus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S/P % [5 ; 95]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Variables calculées (primes, densités)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Formules arithmétiques directes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Primes </w:t>
            </w:r>
            <w:proofErr w:type="spellStart"/>
            <w:r>
              <w:rPr>
                <w:color w:val="000000"/>
                <w:sz w:val="19"/>
                <w:szCs w:val="19"/>
              </w:rPr>
              <w:t>NV&amp;Vie</w:t>
            </w:r>
            <w:proofErr w:type="spellEnd"/>
            <w:r>
              <w:rPr>
                <w:color w:val="000000"/>
                <w:sz w:val="19"/>
                <w:szCs w:val="19"/>
              </w:rPr>
              <w:t>, densités, CAGR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Intervalles de confiance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roofErr w:type="spellStart"/>
            <w:r>
              <w:rPr>
                <w:color w:val="000000"/>
                <w:sz w:val="19"/>
                <w:szCs w:val="19"/>
              </w:rPr>
              <w:t>Conformal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Prediction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walk-forward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CV)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IC 80% et 95% par variable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10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Tests de cohérence économique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6 tests automatiques (CAGR, 2-sigma…)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Liste d'alertes / validation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42162B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11</w:t>
            </w:r>
            <w:bookmarkStart w:id="0" w:name="_GoBack"/>
            <w:bookmarkEnd w:id="0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Export &amp; Visualisations</w:t>
            </w:r>
          </w:p>
        </w:tc>
        <w:tc>
          <w:tcPr>
            <w:tcW w:w="2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 xml:space="preserve">pandas </w:t>
            </w:r>
            <w:proofErr w:type="spellStart"/>
            <w:r>
              <w:rPr>
                <w:color w:val="000000"/>
                <w:sz w:val="19"/>
                <w:szCs w:val="19"/>
              </w:rPr>
              <w:t>to_csv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matplotlib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2 CSV + 3 graphiques PNG</w:t>
            </w:r>
          </w:p>
        </w:tc>
      </w:tr>
    </w:tbl>
    <w:p w:rsidR="008E42A6" w:rsidRDefault="009B0D14">
      <w:r>
        <w:br w:type="page"/>
      </w:r>
    </w:p>
    <w:p w:rsidR="008E42A6" w:rsidRDefault="009B0D14">
      <w:pPr>
        <w:pStyle w:val="Titre1"/>
        <w:pBdr>
          <w:bottom w:val="single" w:sz="6" w:space="1" w:color="2E75B6"/>
        </w:pBdr>
      </w:pPr>
      <w:r>
        <w:lastRenderedPageBreak/>
        <w:t>4. Description des étapes clés</w:t>
      </w:r>
    </w:p>
    <w:p w:rsidR="008E42A6" w:rsidRDefault="009B0D14">
      <w:pPr>
        <w:pStyle w:val="Titre2"/>
      </w:pPr>
      <w:r>
        <w:t>Étapes 0–1 : Préparation des données</w:t>
      </w:r>
    </w:p>
    <w:p w:rsidR="008E42A6" w:rsidRDefault="009B0D14">
      <w:pPr>
        <w:spacing w:before="60" w:after="60"/>
      </w:pPr>
      <w:r>
        <w:rPr>
          <w:color w:val="000000"/>
        </w:rPr>
        <w:t xml:space="preserve">Les quatre sources sont fusionnées sur les clés (pays, année). Des variables dérivées sont créées : logarithmes pour stabiliser les distributions, </w:t>
      </w:r>
      <w:proofErr w:type="spellStart"/>
      <w:r>
        <w:rPr>
          <w:color w:val="000000"/>
        </w:rPr>
        <w:t>lags</w:t>
      </w:r>
      <w:proofErr w:type="spellEnd"/>
      <w:r>
        <w:rPr>
          <w:color w:val="000000"/>
        </w:rPr>
        <w:t xml:space="preserve"> (décalages) pour capter l'inertie économique, </w:t>
      </w:r>
      <w:proofErr w:type="spellStart"/>
      <w:r>
        <w:rPr>
          <w:color w:val="000000"/>
        </w:rPr>
        <w:t>winsorisation</w:t>
      </w:r>
      <w:proofErr w:type="spellEnd"/>
      <w:r>
        <w:rPr>
          <w:color w:val="000000"/>
        </w:rPr>
        <w:t xml:space="preserve"> aux percentiles 1–99% pour neutraliser les </w:t>
      </w:r>
      <w:proofErr w:type="spellStart"/>
      <w:r>
        <w:rPr>
          <w:color w:val="000000"/>
        </w:rPr>
        <w:t>o</w:t>
      </w:r>
      <w:r>
        <w:rPr>
          <w:color w:val="000000"/>
        </w:rPr>
        <w:t>utliers</w:t>
      </w:r>
      <w:proofErr w:type="spellEnd"/>
      <w:r>
        <w:rPr>
          <w:color w:val="000000"/>
        </w:rPr>
        <w:t>. La population est reconstituée par la formule PIB / PIB par habitant, puis extrapolée linéairement jusqu'en 2030.</w:t>
      </w:r>
    </w:p>
    <w:p w:rsidR="008E42A6" w:rsidRDefault="008E42A6"/>
    <w:p w:rsidR="008E42A6" w:rsidRDefault="009B0D14">
      <w:pPr>
        <w:pStyle w:val="Titre2"/>
      </w:pPr>
      <w:r>
        <w:t>Étapes 2–4 : Prédiction des variables macro-économiques</w:t>
      </w:r>
    </w:p>
    <w:p w:rsidR="008E42A6" w:rsidRDefault="009B0D14">
      <w:pPr>
        <w:spacing w:before="60" w:after="60"/>
      </w:pPr>
      <w:r>
        <w:rPr>
          <w:color w:val="000000"/>
        </w:rPr>
        <w:t xml:space="preserve">La croissance du PIB est prédite par un modèle </w:t>
      </w:r>
      <w:proofErr w:type="gramStart"/>
      <w:r>
        <w:rPr>
          <w:color w:val="000000"/>
        </w:rPr>
        <w:t>AR(</w:t>
      </w:r>
      <w:proofErr w:type="gramEnd"/>
      <w:r>
        <w:rPr>
          <w:color w:val="000000"/>
        </w:rPr>
        <w:t xml:space="preserve">1) à </w:t>
      </w:r>
      <w:proofErr w:type="spellStart"/>
      <w:r>
        <w:rPr>
          <w:color w:val="000000"/>
        </w:rPr>
        <w:t>mean-reversion</w:t>
      </w:r>
      <w:proofErr w:type="spellEnd"/>
      <w:r>
        <w:rPr>
          <w:color w:val="000000"/>
        </w:rPr>
        <w:t xml:space="preserve"> (cible</w:t>
      </w:r>
      <w:r>
        <w:rPr>
          <w:color w:val="000000"/>
        </w:rPr>
        <w:t xml:space="preserve"> 3,5%, moyenne historique africaine). Le PIB par habitant — variable centrale du modèle — est prédit par une architecture en deux couches : Ridge avec effets fixes pays (couche 1) et </w:t>
      </w:r>
      <w:proofErr w:type="gramStart"/>
      <w:r>
        <w:rPr>
          <w:color w:val="000000"/>
        </w:rPr>
        <w:t>ARIMA(</w:t>
      </w:r>
      <w:proofErr w:type="gramEnd"/>
      <w:r>
        <w:rPr>
          <w:color w:val="000000"/>
        </w:rPr>
        <w:t>1,0,0) sur les résidus (couche 2). Les indicateurs de gouvernance (</w:t>
      </w:r>
      <w:r>
        <w:rPr>
          <w:color w:val="000000"/>
        </w:rPr>
        <w:t xml:space="preserve">stabilité politique, qualité réglementaire) sont modélisés par un </w:t>
      </w:r>
      <w:proofErr w:type="spellStart"/>
      <w:r>
        <w:rPr>
          <w:color w:val="000000"/>
        </w:rPr>
        <w:t>Gaussian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Regressor</w:t>
      </w:r>
      <w:proofErr w:type="spellEnd"/>
      <w:r>
        <w:rPr>
          <w:color w:val="000000"/>
        </w:rPr>
        <w:t>, choisi pour sa capacité à produire nativement des intervalles de confiance et à capturer la très faible volatilité de ces indices.</w:t>
      </w:r>
    </w:p>
    <w:p w:rsidR="008E42A6" w:rsidRDefault="008E42A6"/>
    <w:p w:rsidR="008E42A6" w:rsidRDefault="009B0D14">
      <w:pPr>
        <w:pStyle w:val="Titre2"/>
      </w:pPr>
      <w:r>
        <w:t>Étapes 5–7 : Prédiction des va</w:t>
      </w:r>
      <w:r>
        <w:t>riables assurantielles</w:t>
      </w:r>
    </w:p>
    <w:p w:rsidR="008E42A6" w:rsidRDefault="009B0D14">
      <w:pPr>
        <w:spacing w:before="60" w:after="60"/>
      </w:pPr>
      <w:r>
        <w:rPr>
          <w:color w:val="000000"/>
        </w:rPr>
        <w:t xml:space="preserve">Les taux de pénétration Non-Vie et Vie suivent la même architecture Ridge + ARIMA, enrichie de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spécifiques : </w:t>
      </w:r>
      <w:proofErr w:type="spellStart"/>
      <w:r>
        <w:rPr>
          <w:color w:val="000000"/>
        </w:rPr>
        <w:t>lag</w:t>
      </w:r>
      <w:proofErr w:type="spellEnd"/>
      <w:r>
        <w:rPr>
          <w:color w:val="000000"/>
        </w:rPr>
        <w:t xml:space="preserve"> de pénétration, richesse (log PIB/</w:t>
      </w:r>
      <w:proofErr w:type="spellStart"/>
      <w:r>
        <w:rPr>
          <w:color w:val="000000"/>
        </w:rPr>
        <w:t>hab</w:t>
      </w:r>
      <w:proofErr w:type="spellEnd"/>
      <w:r>
        <w:rPr>
          <w:color w:val="000000"/>
        </w:rPr>
        <w:t>), gouvernance, inflation, intégration régionale. Les valeurs sont modélis</w:t>
      </w:r>
      <w:r>
        <w:rPr>
          <w:color w:val="000000"/>
        </w:rPr>
        <w:t>ées en log pour garantir la positivité. Le marché Vie intègre la pénétration NV comme prédicteur (corrélation observée r = +0,716 entre les deux marchés).</w:t>
      </w:r>
    </w:p>
    <w:p w:rsidR="008E42A6" w:rsidRDefault="009B0D14">
      <w:pPr>
        <w:spacing w:before="60" w:after="60"/>
      </w:pPr>
      <w:r>
        <w:rPr>
          <w:color w:val="000000"/>
        </w:rPr>
        <w:t xml:space="preserve">Le ratio S/P utilise une architecture à deux couches : </w:t>
      </w:r>
      <w:proofErr w:type="gramStart"/>
      <w:r>
        <w:rPr>
          <w:color w:val="000000"/>
        </w:rPr>
        <w:t>AR(</w:t>
      </w:r>
      <w:proofErr w:type="gramEnd"/>
      <w:r>
        <w:rPr>
          <w:color w:val="000000"/>
        </w:rPr>
        <w:t>2) + Ridge (tendances linéaires) suivi d'un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shallow</w:t>
      </w:r>
      <w:proofErr w:type="spellEnd"/>
      <w:r>
        <w:rPr>
          <w:color w:val="000000"/>
        </w:rPr>
        <w:t xml:space="preserve"> sur les résidus (non-linéarités). Une tendance baissière de −0,29 pt/an est intégrée, conforme aux données historiques africaines.</w:t>
      </w:r>
    </w:p>
    <w:p w:rsidR="008E42A6" w:rsidRDefault="008E42A6"/>
    <w:p w:rsidR="008E42A6" w:rsidRDefault="009B0D14">
      <w:pPr>
        <w:pStyle w:val="Titre2"/>
      </w:pPr>
      <w:r>
        <w:t>Étapes 8–10 : Variables dérivées, incertitude et validation</w:t>
      </w:r>
    </w:p>
    <w:p w:rsidR="008E42A6" w:rsidRDefault="009B0D14" w:rsidP="0042162B">
      <w:pPr>
        <w:spacing w:before="60" w:after="60"/>
      </w:pPr>
      <w:r>
        <w:rPr>
          <w:color w:val="000000"/>
        </w:rPr>
        <w:t>Les primes et densités sont calculées arithméti</w:t>
      </w:r>
      <w:r>
        <w:rPr>
          <w:color w:val="000000"/>
        </w:rPr>
        <w:t xml:space="preserve">quement à partir des taux et du PIB. Les intervalles de confiance sont générés par </w:t>
      </w:r>
      <w:proofErr w:type="spellStart"/>
      <w:r>
        <w:rPr>
          <w:color w:val="000000"/>
        </w:rPr>
        <w:t>Conformal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walk-forward</w:t>
      </w:r>
      <w:proofErr w:type="spellEnd"/>
      <w:r>
        <w:rPr>
          <w:color w:val="000000"/>
        </w:rPr>
        <w:t xml:space="preserve"> cross-validation (5 </w:t>
      </w:r>
      <w:proofErr w:type="spellStart"/>
      <w:r>
        <w:rPr>
          <w:color w:val="000000"/>
        </w:rPr>
        <w:t>splits</w:t>
      </w:r>
      <w:proofErr w:type="spellEnd"/>
      <w:r>
        <w:rPr>
          <w:color w:val="000000"/>
        </w:rPr>
        <w:t xml:space="preserve"> temporels) : l'IC 80% correspond au quantile 80% des erreurs historiques, propagé par √horizon. Six tests d</w:t>
      </w:r>
      <w:r>
        <w:rPr>
          <w:color w:val="000000"/>
        </w:rPr>
        <w:t>e cohérence économique vérifient automatiquement l'absence d'anomalies (CAGR hors bornes, inversion NV/Vie, saut de S/P &gt; 20 pts, couverture IC).</w:t>
      </w:r>
      <w:r>
        <w:br w:type="page"/>
      </w:r>
    </w:p>
    <w:p w:rsidR="008E42A6" w:rsidRDefault="0042162B">
      <w:pPr>
        <w:pStyle w:val="Titre1"/>
        <w:pBdr>
          <w:bottom w:val="single" w:sz="6" w:space="1" w:color="2E75B6"/>
        </w:pBdr>
      </w:pPr>
      <w:r>
        <w:lastRenderedPageBreak/>
        <w:t>5</w:t>
      </w:r>
      <w:r w:rsidR="009B0D14">
        <w:t>. Résultats et livrables</w:t>
      </w:r>
    </w:p>
    <w:p w:rsidR="008E42A6" w:rsidRDefault="009B0D14">
      <w:pPr>
        <w:spacing w:before="60" w:after="60"/>
      </w:pPr>
      <w:r>
        <w:rPr>
          <w:color w:val="000000"/>
        </w:rPr>
        <w:t>L'exécution complète du notebook produit les livrables suivants :</w:t>
      </w:r>
    </w:p>
    <w:p w:rsidR="008E42A6" w:rsidRDefault="008E42A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8"/>
        <w:gridCol w:w="5880"/>
      </w:tblGrid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Livrable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1F3864"/>
                <w:sz w:val="19"/>
                <w:szCs w:val="19"/>
              </w:rPr>
              <w:t>Description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000000"/>
                <w:sz w:val="19"/>
                <w:szCs w:val="19"/>
              </w:rPr>
              <w:t>predictions_2025_2030_AtlanticRe.csv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Prédictions + IC 80%/95% pour 33 pays × 6 ans × 6 variables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000000"/>
                <w:sz w:val="19"/>
                <w:szCs w:val="19"/>
              </w:rPr>
              <w:t>score_attractivite_2030_AtlanticRe.csv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Score 0–100 par pays avec décomposition par critère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000000"/>
                <w:sz w:val="19"/>
                <w:szCs w:val="19"/>
              </w:rPr>
              <w:t>attractivite_2030_top15.png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Barres horizontales – Top 15 marchés par score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000000"/>
                <w:sz w:val="19"/>
                <w:szCs w:val="19"/>
              </w:rPr>
              <w:t>trajectoires_top5_2015_2030.png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color w:val="000000"/>
                <w:sz w:val="19"/>
                <w:szCs w:val="19"/>
              </w:rPr>
              <w:t>Trajectoires 2015–2030 des 5 meilleurs marchés avec intervalles de confiance</w:t>
            </w:r>
          </w:p>
        </w:tc>
      </w:tr>
      <w:tr w:rsidR="008E42A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r>
              <w:rPr>
                <w:b/>
                <w:bCs/>
                <w:color w:val="000000"/>
                <w:sz w:val="19"/>
                <w:szCs w:val="19"/>
              </w:rPr>
              <w:t>matrice_risque_op</w:t>
            </w:r>
            <w:r>
              <w:rPr>
                <w:b/>
                <w:bCs/>
                <w:color w:val="000000"/>
                <w:sz w:val="19"/>
                <w:szCs w:val="19"/>
              </w:rPr>
              <w:t>portunite_2030.png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E42A6" w:rsidRDefault="009B0D14">
            <w:proofErr w:type="spellStart"/>
            <w:r>
              <w:rPr>
                <w:color w:val="000000"/>
                <w:sz w:val="19"/>
                <w:szCs w:val="19"/>
              </w:rPr>
              <w:t>Scatter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plot S/P (risque) × Primes NV (opportunité), taille = score</w:t>
            </w:r>
          </w:p>
        </w:tc>
      </w:tr>
    </w:tbl>
    <w:p w:rsidR="008E42A6" w:rsidRDefault="008E42A6"/>
    <w:p w:rsidR="008E42A6" w:rsidRDefault="0042162B">
      <w:pPr>
        <w:pStyle w:val="Titre1"/>
        <w:pBdr>
          <w:bottom w:val="single" w:sz="6" w:space="1" w:color="2E75B6"/>
        </w:pBdr>
      </w:pPr>
      <w:r>
        <w:t>6</w:t>
      </w:r>
      <w:r w:rsidR="009B0D14">
        <w:t>. Conclusion et points d'approbation</w:t>
      </w:r>
    </w:p>
    <w:p w:rsidR="008E42A6" w:rsidRDefault="009B0D14">
      <w:pPr>
        <w:spacing w:before="60" w:after="60"/>
      </w:pPr>
      <w:r>
        <w:rPr>
          <w:color w:val="000000"/>
        </w:rPr>
        <w:t>Ce pipeline de modélisation présente plusieurs points forts méthodologiques qui méritent d'être validés conjointement :</w:t>
      </w:r>
    </w:p>
    <w:p w:rsidR="008E42A6" w:rsidRDefault="008E42A6"/>
    <w:p w:rsidR="008E42A6" w:rsidRDefault="009B0D14">
      <w:pPr>
        <w:pStyle w:val="Paragraphedeliste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Architecture en couches systématique : chaque modèle combine un composant linéaire (Ridge/AR) pour la tendance structurelle et un composant non-linéaire (ARIMA, </w:t>
      </w:r>
      <w:proofErr w:type="spellStart"/>
      <w:r>
        <w:rPr>
          <w:sz w:val="19"/>
          <w:szCs w:val="19"/>
        </w:rPr>
        <w:t>XGBoost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Gaussian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Process</w:t>
      </w:r>
      <w:proofErr w:type="spellEnd"/>
      <w:r>
        <w:rPr>
          <w:sz w:val="19"/>
          <w:szCs w:val="19"/>
        </w:rPr>
        <w:t xml:space="preserve">) pour les dynamiques résiduelles, limitant ainsi le risque de </w:t>
      </w:r>
      <w:proofErr w:type="spellStart"/>
      <w:r>
        <w:rPr>
          <w:sz w:val="19"/>
          <w:szCs w:val="19"/>
        </w:rPr>
        <w:t>surappr</w:t>
      </w:r>
      <w:r>
        <w:rPr>
          <w:sz w:val="19"/>
          <w:szCs w:val="19"/>
        </w:rPr>
        <w:t>entissage</w:t>
      </w:r>
      <w:proofErr w:type="spellEnd"/>
      <w:r>
        <w:rPr>
          <w:sz w:val="19"/>
          <w:szCs w:val="19"/>
        </w:rPr>
        <w:t>.</w:t>
      </w:r>
    </w:p>
    <w:p w:rsidR="008E42A6" w:rsidRDefault="009B0D14">
      <w:pPr>
        <w:pStyle w:val="Paragraphedeliste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Causalités économiques respectées : les étapes sont enchaînées dans l'ordre causal réel (PIB/</w:t>
      </w:r>
      <w:proofErr w:type="spellStart"/>
      <w:r>
        <w:rPr>
          <w:sz w:val="19"/>
          <w:szCs w:val="19"/>
        </w:rPr>
        <w:t>hab</w:t>
      </w:r>
      <w:proofErr w:type="spellEnd"/>
      <w:r>
        <w:rPr>
          <w:sz w:val="19"/>
          <w:szCs w:val="19"/>
        </w:rPr>
        <w:t xml:space="preserve"> → gouvernance → pénétration NV → pénétration Vie), ce qui garantit la cohérence interne des projections.</w:t>
      </w:r>
    </w:p>
    <w:p w:rsidR="008E42A6" w:rsidRDefault="009B0D14">
      <w:pPr>
        <w:pStyle w:val="Paragraphedeliste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Incertitude quantifiée sans hypothèse paramétrique : la </w:t>
      </w:r>
      <w:proofErr w:type="spellStart"/>
      <w:r>
        <w:rPr>
          <w:sz w:val="19"/>
          <w:szCs w:val="19"/>
        </w:rPr>
        <w:t>Conformal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Prediction</w:t>
      </w:r>
      <w:proofErr w:type="spellEnd"/>
      <w:r>
        <w:rPr>
          <w:sz w:val="19"/>
          <w:szCs w:val="19"/>
        </w:rPr>
        <w:t xml:space="preserve"> produit des intervalles de confiance à 80% et 95% validés empiriquement (couverture vérifiée sur les données historiques).</w:t>
      </w:r>
    </w:p>
    <w:p w:rsidR="008E42A6" w:rsidRDefault="009B0D14">
      <w:pPr>
        <w:pStyle w:val="Paragraphedeliste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Validation automatique des sorties : les 6 tests de cohé</w:t>
      </w:r>
      <w:r>
        <w:rPr>
          <w:sz w:val="19"/>
          <w:szCs w:val="19"/>
        </w:rPr>
        <w:t>rence économique constituent un filet de sécurité explicite avant toute utilisation des résultats.</w:t>
      </w:r>
    </w:p>
    <w:p w:rsidR="008E42A6" w:rsidRDefault="009B0D14">
      <w:pPr>
        <w:pStyle w:val="Paragraphedeliste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Score d'attractivité directement actionnable : la pondération proposée (30% pénétration NV, 25% S/P inversé, 20% PIB/</w:t>
      </w:r>
      <w:proofErr w:type="spellStart"/>
      <w:r>
        <w:rPr>
          <w:sz w:val="19"/>
          <w:szCs w:val="19"/>
        </w:rPr>
        <w:t>hab</w:t>
      </w:r>
      <w:proofErr w:type="spellEnd"/>
      <w:r>
        <w:rPr>
          <w:sz w:val="19"/>
          <w:szCs w:val="19"/>
        </w:rPr>
        <w:t>…) est ouverte à discussion pour ajus</w:t>
      </w:r>
      <w:r>
        <w:rPr>
          <w:sz w:val="19"/>
          <w:szCs w:val="19"/>
        </w:rPr>
        <w:t>tement si besoin.</w:t>
      </w:r>
    </w:p>
    <w:p w:rsidR="008E42A6" w:rsidRDefault="008E42A6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E42A6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E42A6" w:rsidRDefault="009B0D14">
            <w:r>
              <w:rPr>
                <w:b/>
                <w:bCs/>
                <w:color w:val="1F3864"/>
              </w:rPr>
              <w:t>Note de validation</w:t>
            </w:r>
          </w:p>
          <w:p w:rsidR="008E42A6" w:rsidRDefault="009B0D14">
            <w:pPr>
              <w:spacing w:before="80"/>
            </w:pPr>
            <w:r>
              <w:rPr>
                <w:i/>
                <w:iCs/>
                <w:color w:val="333333"/>
                <w:sz w:val="19"/>
                <w:szCs w:val="19"/>
              </w:rPr>
              <w:t>Ce rapport synthétique est soumis pour relecture et approbation avant de passer à la partie suivante du projet. Pour toute question sur une étape spécifique, se référer au notebook source : axe2_atlanticre_predictions_</w:t>
            </w:r>
            <w:r>
              <w:rPr>
                <w:i/>
                <w:iCs/>
                <w:color w:val="333333"/>
                <w:sz w:val="19"/>
                <w:szCs w:val="19"/>
              </w:rPr>
              <w:t>2030.ipynb et au rapport technique complet (20 pages).</w:t>
            </w:r>
          </w:p>
        </w:tc>
      </w:tr>
    </w:tbl>
    <w:p w:rsidR="009B0D14" w:rsidRDefault="009B0D14"/>
    <w:sectPr w:rsidR="009B0D1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D14" w:rsidRDefault="009B0D14">
      <w:r>
        <w:separator/>
      </w:r>
    </w:p>
  </w:endnote>
  <w:endnote w:type="continuationSeparator" w:id="0">
    <w:p w:rsidR="009B0D14" w:rsidRDefault="009B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2A6" w:rsidRDefault="009B0D14">
    <w:pPr>
      <w:jc w:val="center"/>
    </w:pPr>
    <w:proofErr w:type="spellStart"/>
    <w:r>
      <w:rPr>
        <w:color w:val="888888"/>
        <w:sz w:val="17"/>
        <w:szCs w:val="17"/>
      </w:rPr>
      <w:t>AtlanticRe</w:t>
    </w:r>
    <w:proofErr w:type="spellEnd"/>
    <w:r>
      <w:rPr>
        <w:color w:val="888888"/>
        <w:sz w:val="17"/>
        <w:szCs w:val="17"/>
      </w:rPr>
      <w:t xml:space="preserve"> – Axe 2 – Modélisation Afrique </w:t>
    </w:r>
    <w:proofErr w:type="gramStart"/>
    <w:r>
      <w:rPr>
        <w:color w:val="888888"/>
        <w:sz w:val="17"/>
        <w:szCs w:val="17"/>
      </w:rPr>
      <w:t>2030  |</w:t>
    </w:r>
    <w:proofErr w:type="gramEnd"/>
    <w:r>
      <w:rPr>
        <w:color w:val="888888"/>
        <w:sz w:val="17"/>
        <w:szCs w:val="17"/>
      </w:rPr>
      <w:t xml:space="preserve">  Avril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D14" w:rsidRDefault="009B0D14">
      <w:r>
        <w:separator/>
      </w:r>
    </w:p>
  </w:footnote>
  <w:footnote w:type="continuationSeparator" w:id="0">
    <w:p w:rsidR="009B0D14" w:rsidRDefault="009B0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6527E"/>
    <w:multiLevelType w:val="hybridMultilevel"/>
    <w:tmpl w:val="F5740CA4"/>
    <w:lvl w:ilvl="0" w:tplc="531A88B4">
      <w:start w:val="1"/>
      <w:numFmt w:val="bullet"/>
      <w:lvlText w:val="•"/>
      <w:lvlJc w:val="left"/>
      <w:pPr>
        <w:ind w:left="540" w:hanging="280"/>
      </w:pPr>
    </w:lvl>
    <w:lvl w:ilvl="1" w:tplc="C55AA516">
      <w:numFmt w:val="decimal"/>
      <w:lvlText w:val=""/>
      <w:lvlJc w:val="left"/>
    </w:lvl>
    <w:lvl w:ilvl="2" w:tplc="C61460D8">
      <w:numFmt w:val="decimal"/>
      <w:lvlText w:val=""/>
      <w:lvlJc w:val="left"/>
    </w:lvl>
    <w:lvl w:ilvl="3" w:tplc="AADAFC40">
      <w:numFmt w:val="decimal"/>
      <w:lvlText w:val=""/>
      <w:lvlJc w:val="left"/>
    </w:lvl>
    <w:lvl w:ilvl="4" w:tplc="B14AD96C">
      <w:numFmt w:val="decimal"/>
      <w:lvlText w:val=""/>
      <w:lvlJc w:val="left"/>
    </w:lvl>
    <w:lvl w:ilvl="5" w:tplc="7E0E627A">
      <w:numFmt w:val="decimal"/>
      <w:lvlText w:val=""/>
      <w:lvlJc w:val="left"/>
    </w:lvl>
    <w:lvl w:ilvl="6" w:tplc="4454C216">
      <w:numFmt w:val="decimal"/>
      <w:lvlText w:val=""/>
      <w:lvlJc w:val="left"/>
    </w:lvl>
    <w:lvl w:ilvl="7" w:tplc="55F4F480">
      <w:numFmt w:val="decimal"/>
      <w:lvlText w:val=""/>
      <w:lvlJc w:val="left"/>
    </w:lvl>
    <w:lvl w:ilvl="8" w:tplc="7128A9B8">
      <w:numFmt w:val="decimal"/>
      <w:lvlText w:val=""/>
      <w:lvlJc w:val="left"/>
    </w:lvl>
  </w:abstractNum>
  <w:abstractNum w:abstractNumId="1" w15:restartNumberingAfterBreak="0">
    <w:nsid w:val="62812919"/>
    <w:multiLevelType w:val="hybridMultilevel"/>
    <w:tmpl w:val="989AD0A8"/>
    <w:lvl w:ilvl="0" w:tplc="541E7988">
      <w:start w:val="1"/>
      <w:numFmt w:val="bullet"/>
      <w:lvlText w:val="●"/>
      <w:lvlJc w:val="left"/>
      <w:pPr>
        <w:ind w:left="720" w:hanging="360"/>
      </w:pPr>
    </w:lvl>
    <w:lvl w:ilvl="1" w:tplc="E522CDEA">
      <w:start w:val="1"/>
      <w:numFmt w:val="bullet"/>
      <w:lvlText w:val="○"/>
      <w:lvlJc w:val="left"/>
      <w:pPr>
        <w:ind w:left="1440" w:hanging="360"/>
      </w:pPr>
    </w:lvl>
    <w:lvl w:ilvl="2" w:tplc="2C0AF5EC">
      <w:start w:val="1"/>
      <w:numFmt w:val="bullet"/>
      <w:lvlText w:val="■"/>
      <w:lvlJc w:val="left"/>
      <w:pPr>
        <w:ind w:left="2160" w:hanging="360"/>
      </w:pPr>
    </w:lvl>
    <w:lvl w:ilvl="3" w:tplc="045A395E">
      <w:start w:val="1"/>
      <w:numFmt w:val="bullet"/>
      <w:lvlText w:val="●"/>
      <w:lvlJc w:val="left"/>
      <w:pPr>
        <w:ind w:left="2880" w:hanging="360"/>
      </w:pPr>
    </w:lvl>
    <w:lvl w:ilvl="4" w:tplc="54BAFCF2">
      <w:start w:val="1"/>
      <w:numFmt w:val="bullet"/>
      <w:lvlText w:val="○"/>
      <w:lvlJc w:val="left"/>
      <w:pPr>
        <w:ind w:left="3600" w:hanging="360"/>
      </w:pPr>
    </w:lvl>
    <w:lvl w:ilvl="5" w:tplc="5936FA76">
      <w:start w:val="1"/>
      <w:numFmt w:val="bullet"/>
      <w:lvlText w:val="■"/>
      <w:lvlJc w:val="left"/>
      <w:pPr>
        <w:ind w:left="4320" w:hanging="360"/>
      </w:pPr>
    </w:lvl>
    <w:lvl w:ilvl="6" w:tplc="18062300">
      <w:start w:val="1"/>
      <w:numFmt w:val="bullet"/>
      <w:lvlText w:val="●"/>
      <w:lvlJc w:val="left"/>
      <w:pPr>
        <w:ind w:left="5040" w:hanging="360"/>
      </w:pPr>
    </w:lvl>
    <w:lvl w:ilvl="7" w:tplc="210E6460">
      <w:start w:val="1"/>
      <w:numFmt w:val="bullet"/>
      <w:lvlText w:val="●"/>
      <w:lvlJc w:val="left"/>
      <w:pPr>
        <w:ind w:left="5760" w:hanging="360"/>
      </w:pPr>
    </w:lvl>
    <w:lvl w:ilvl="8" w:tplc="2C4229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2A6"/>
    <w:rsid w:val="0042162B"/>
    <w:rsid w:val="008E42A6"/>
    <w:rsid w:val="009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55E9F"/>
  <w15:docId w15:val="{7C481181-CCBA-4B36-A7EC-19D7B2AE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1084</Words>
  <Characters>5962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Smaiki Anas</cp:lastModifiedBy>
  <cp:revision>2</cp:revision>
  <dcterms:created xsi:type="dcterms:W3CDTF">2026-04-25T12:59:00Z</dcterms:created>
  <dcterms:modified xsi:type="dcterms:W3CDTF">2026-04-25T14:35:00Z</dcterms:modified>
</cp:coreProperties>
</file>