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995" w14:textId="77777777" w:rsidR="005F3765" w:rsidRPr="000748DF" w:rsidRDefault="005F3765" w:rsidP="005F3765">
      <w:pPr>
        <w:spacing w:before="100" w:after="100" w:line="240" w:lineRule="auto"/>
        <w:rPr>
          <w:rFonts w:eastAsia="Times New Roman" w:cstheme="minorHAnsi"/>
          <w:b/>
          <w:bCs/>
          <w:color w:val="C00000"/>
          <w:sz w:val="20"/>
          <w:szCs w:val="20"/>
          <w:u w:val="single"/>
          <w:lang w:eastAsia="fr-FR"/>
        </w:rPr>
      </w:pPr>
      <w:r w:rsidRPr="000748DF">
        <w:rPr>
          <w:rFonts w:eastAsia="Times New Roman" w:cstheme="minorHAnsi"/>
          <w:b/>
          <w:bCs/>
          <w:color w:val="C00000"/>
          <w:sz w:val="20"/>
          <w:szCs w:val="20"/>
          <w:u w:val="single"/>
          <w:lang w:eastAsia="fr-FR"/>
        </w:rPr>
        <w:t>Présentation d</w:t>
      </w:r>
      <w:r>
        <w:rPr>
          <w:rFonts w:eastAsia="Times New Roman" w:cstheme="minorHAnsi"/>
          <w:b/>
          <w:bCs/>
          <w:color w:val="C00000"/>
          <w:sz w:val="20"/>
          <w:szCs w:val="20"/>
          <w:u w:val="single"/>
          <w:lang w:eastAsia="fr-FR"/>
        </w:rPr>
        <w:t>es dirigeants :</w:t>
      </w:r>
    </w:p>
    <w:p w14:paraId="3C4C0C01" w14:textId="77777777" w:rsidR="005F3765" w:rsidRPr="009C3C58" w:rsidRDefault="005F3765" w:rsidP="005F3765">
      <w:pPr>
        <w:pStyle w:val="Paragraphedeliste"/>
        <w:numPr>
          <w:ilvl w:val="0"/>
          <w:numId w:val="2"/>
        </w:numPr>
        <w:spacing w:after="0" w:line="240" w:lineRule="auto"/>
        <w:rPr>
          <w:rFonts w:eastAsia="Times New Roman" w:cstheme="minorHAnsi"/>
          <w:bCs/>
          <w:sz w:val="20"/>
          <w:szCs w:val="20"/>
          <w:lang w:eastAsia="fr-FR"/>
        </w:rPr>
      </w:pPr>
      <w:r w:rsidRPr="009C3C58">
        <w:rPr>
          <w:rFonts w:eastAsia="Times New Roman" w:cstheme="minorHAnsi"/>
          <w:b/>
          <w:sz w:val="20"/>
          <w:szCs w:val="20"/>
          <w:u w:val="single"/>
          <w:lang w:eastAsia="fr-FR"/>
        </w:rPr>
        <w:t>Organe de contrôle</w:t>
      </w:r>
      <w:r w:rsidRPr="009C3C58">
        <w:rPr>
          <w:rFonts w:eastAsia="Times New Roman" w:cstheme="minorHAnsi"/>
          <w:bCs/>
          <w:sz w:val="20"/>
          <w:szCs w:val="20"/>
          <w:lang w:eastAsia="fr-FR"/>
        </w:rPr>
        <w:t xml:space="preserve"> : Le Conseil d’Administration est constitué de 4 membres actionnaires dont les mandats ont été renouvelés en mois d’Aout 2023. Les membres du CA sont : </w:t>
      </w:r>
    </w:p>
    <w:p w14:paraId="4C756904" w14:textId="77777777" w:rsidR="005F3765" w:rsidRDefault="005F3765" w:rsidP="005F3765">
      <w:pPr>
        <w:pStyle w:val="Paragraphedeliste"/>
        <w:numPr>
          <w:ilvl w:val="0"/>
          <w:numId w:val="3"/>
        </w:numPr>
        <w:spacing w:after="0" w:line="240" w:lineRule="auto"/>
        <w:rPr>
          <w:rFonts w:eastAsia="Times New Roman" w:cstheme="minorHAnsi"/>
          <w:bCs/>
          <w:sz w:val="20"/>
          <w:szCs w:val="20"/>
          <w:lang w:eastAsia="fr-FR"/>
        </w:rPr>
      </w:pPr>
      <w:r w:rsidRPr="009C3C58">
        <w:rPr>
          <w:rFonts w:eastAsia="Times New Roman" w:cstheme="minorHAnsi"/>
          <w:b/>
          <w:sz w:val="20"/>
          <w:szCs w:val="20"/>
          <w:lang w:eastAsia="fr-FR"/>
        </w:rPr>
        <w:t>Fuat TOSYALI</w:t>
      </w:r>
      <w:r w:rsidRPr="009C3C58">
        <w:rPr>
          <w:rFonts w:eastAsia="Times New Roman" w:cstheme="minorHAnsi"/>
          <w:bCs/>
          <w:sz w:val="20"/>
          <w:szCs w:val="20"/>
          <w:lang w:eastAsia="fr-FR"/>
        </w:rPr>
        <w:t xml:space="preserve"> : en qualité du PCA, il a reçu un doctorat honorifique de l'université Osmaniye Korkut Ata. </w:t>
      </w:r>
    </w:p>
    <w:p w14:paraId="4F4A9272" w14:textId="77777777" w:rsidR="005F3765" w:rsidRDefault="005F3765" w:rsidP="005F3765">
      <w:pPr>
        <w:pStyle w:val="Paragraphedeliste"/>
        <w:numPr>
          <w:ilvl w:val="0"/>
          <w:numId w:val="3"/>
        </w:numPr>
        <w:spacing w:after="0" w:line="240" w:lineRule="auto"/>
        <w:rPr>
          <w:rFonts w:eastAsia="Times New Roman" w:cstheme="minorHAnsi"/>
          <w:bCs/>
          <w:sz w:val="20"/>
          <w:szCs w:val="20"/>
          <w:lang w:val="en-US" w:eastAsia="fr-FR"/>
        </w:rPr>
      </w:pPr>
      <w:r w:rsidRPr="009C3C58">
        <w:rPr>
          <w:rFonts w:eastAsia="Times New Roman" w:cstheme="minorHAnsi"/>
          <w:b/>
          <w:sz w:val="20"/>
          <w:szCs w:val="20"/>
          <w:lang w:val="en-US" w:eastAsia="fr-FR"/>
        </w:rPr>
        <w:t>Alaîddin Alper TOPCUOGLU</w:t>
      </w:r>
      <w:r w:rsidRPr="009C3C58">
        <w:rPr>
          <w:rFonts w:eastAsia="Times New Roman" w:cstheme="minorHAnsi"/>
          <w:bCs/>
          <w:sz w:val="20"/>
          <w:szCs w:val="20"/>
          <w:lang w:val="en-US" w:eastAsia="fr-FR"/>
        </w:rPr>
        <w:t xml:space="preserve">: vice-PCA. </w:t>
      </w:r>
    </w:p>
    <w:p w14:paraId="7AE11101" w14:textId="77777777" w:rsidR="005F3765" w:rsidRDefault="005F3765" w:rsidP="005F3765">
      <w:pPr>
        <w:pStyle w:val="Paragraphedeliste"/>
        <w:numPr>
          <w:ilvl w:val="0"/>
          <w:numId w:val="3"/>
        </w:numPr>
        <w:spacing w:after="0" w:line="240" w:lineRule="auto"/>
        <w:rPr>
          <w:rFonts w:eastAsia="Times New Roman" w:cstheme="minorHAnsi"/>
          <w:bCs/>
          <w:sz w:val="20"/>
          <w:szCs w:val="20"/>
          <w:lang w:eastAsia="fr-FR"/>
        </w:rPr>
      </w:pPr>
      <w:r w:rsidRPr="009C3C58">
        <w:rPr>
          <w:rFonts w:eastAsia="Times New Roman" w:cstheme="minorHAnsi"/>
          <w:b/>
          <w:sz w:val="20"/>
          <w:szCs w:val="20"/>
          <w:lang w:eastAsia="fr-FR"/>
        </w:rPr>
        <w:t>Mehmet Fatih TOSYALI</w:t>
      </w:r>
      <w:r w:rsidRPr="009C3C58">
        <w:rPr>
          <w:rFonts w:eastAsia="Times New Roman" w:cstheme="minorHAnsi"/>
          <w:bCs/>
          <w:sz w:val="20"/>
          <w:szCs w:val="20"/>
          <w:lang w:eastAsia="fr-FR"/>
        </w:rPr>
        <w:t xml:space="preserve"> : membre du CA. </w:t>
      </w:r>
    </w:p>
    <w:p w14:paraId="27563B4A" w14:textId="77777777" w:rsidR="005F3765" w:rsidRPr="009C3C58" w:rsidRDefault="005F3765" w:rsidP="005F3765">
      <w:pPr>
        <w:pStyle w:val="Paragraphedeliste"/>
        <w:numPr>
          <w:ilvl w:val="0"/>
          <w:numId w:val="3"/>
        </w:numPr>
        <w:spacing w:after="0" w:line="240" w:lineRule="auto"/>
        <w:rPr>
          <w:rFonts w:eastAsia="Times New Roman" w:cstheme="minorHAnsi"/>
          <w:bCs/>
          <w:sz w:val="20"/>
          <w:szCs w:val="20"/>
          <w:lang w:eastAsia="fr-FR"/>
        </w:rPr>
      </w:pPr>
      <w:r w:rsidRPr="009C3C58">
        <w:rPr>
          <w:rFonts w:eastAsia="Times New Roman" w:cstheme="minorHAnsi"/>
          <w:b/>
          <w:sz w:val="20"/>
          <w:szCs w:val="20"/>
          <w:lang w:eastAsia="fr-FR"/>
        </w:rPr>
        <w:t>Alp TPCUOGLO</w:t>
      </w:r>
      <w:r w:rsidRPr="009C3C58">
        <w:rPr>
          <w:rFonts w:eastAsia="Times New Roman" w:cstheme="minorHAnsi"/>
          <w:bCs/>
          <w:sz w:val="20"/>
          <w:szCs w:val="20"/>
          <w:lang w:eastAsia="fr-FR"/>
        </w:rPr>
        <w:t xml:space="preserve"> : membre du CA, homme clé, diplômé de l'université d'Istanbul et de l'université d'Exeter au Royaume-Uni. Alp est issu d'une famille de producteurs d'acier en Turquie et a toujours été impliqué dans l'entreprise familiale depuis son enfance. Il est engagé dans Tosyali Algérie depuis le tout début du projet. Il a la charge de la communication, et des négociations sur les sujets stratégiques. Il est interlocuteur principal de notre top management.  </w:t>
      </w:r>
    </w:p>
    <w:p w14:paraId="322D5D53" w14:textId="77777777" w:rsidR="005F3765" w:rsidRPr="009C3C58" w:rsidRDefault="005F3765" w:rsidP="005F3765">
      <w:pPr>
        <w:pStyle w:val="Paragraphedeliste"/>
        <w:numPr>
          <w:ilvl w:val="0"/>
          <w:numId w:val="2"/>
        </w:numPr>
        <w:spacing w:after="0" w:line="240" w:lineRule="auto"/>
        <w:jc w:val="both"/>
        <w:rPr>
          <w:rFonts w:eastAsia="Times New Roman" w:cstheme="minorHAnsi"/>
          <w:bCs/>
          <w:sz w:val="20"/>
          <w:szCs w:val="20"/>
          <w:lang w:eastAsia="fr-FR"/>
        </w:rPr>
      </w:pPr>
      <w:r w:rsidRPr="009C3C58">
        <w:rPr>
          <w:rFonts w:eastAsia="Times New Roman" w:cstheme="minorHAnsi"/>
          <w:b/>
          <w:sz w:val="20"/>
          <w:szCs w:val="20"/>
          <w:u w:val="single"/>
          <w:lang w:eastAsia="fr-FR"/>
        </w:rPr>
        <w:t>Organe exécutif</w:t>
      </w:r>
      <w:r w:rsidRPr="009C3C58">
        <w:rPr>
          <w:rFonts w:eastAsia="Times New Roman" w:cstheme="minorHAnsi"/>
          <w:bCs/>
          <w:sz w:val="20"/>
          <w:szCs w:val="20"/>
          <w:lang w:eastAsia="fr-FR"/>
        </w:rPr>
        <w:t xml:space="preserve"> : </w:t>
      </w:r>
      <w:r>
        <w:rPr>
          <w:rFonts w:eastAsia="Times New Roman" w:cstheme="minorHAnsi"/>
          <w:bCs/>
          <w:sz w:val="20"/>
          <w:szCs w:val="20"/>
          <w:lang w:eastAsia="fr-FR"/>
        </w:rPr>
        <w:t xml:space="preserve">la </w:t>
      </w:r>
      <w:r w:rsidRPr="009C3C58">
        <w:rPr>
          <w:rFonts w:eastAsia="Times New Roman" w:cstheme="minorHAnsi"/>
          <w:bCs/>
          <w:sz w:val="20"/>
          <w:szCs w:val="20"/>
          <w:lang w:eastAsia="fr-FR"/>
        </w:rPr>
        <w:t>Direction Générale est confiée à Mr Izzet ULU. Ce dernier est accompagné par Mme Necla ALTINISIK et Mr Abdel-Ilah MATILI (direction comptabilité et finance), Mr Rahim UYAR (direction de projet), Mr Ufuk YENIOCAK (direction des ventes) et Mr Ramzi AZZI (direction du commerce extérieur).</w:t>
      </w:r>
    </w:p>
    <w:p w14:paraId="11621205" w14:textId="77777777" w:rsidR="005F3765" w:rsidRPr="000748DF" w:rsidRDefault="005F3765" w:rsidP="005F3765">
      <w:pPr>
        <w:spacing w:before="100" w:after="100" w:line="240" w:lineRule="auto"/>
        <w:rPr>
          <w:rFonts w:eastAsia="Times New Roman" w:cstheme="minorHAnsi"/>
          <w:b/>
          <w:bCs/>
          <w:color w:val="C00000"/>
          <w:sz w:val="20"/>
          <w:szCs w:val="20"/>
          <w:u w:val="single"/>
          <w:lang w:eastAsia="fr-FR"/>
        </w:rPr>
      </w:pPr>
      <w:r w:rsidRPr="000748DF">
        <w:rPr>
          <w:rFonts w:eastAsia="Times New Roman" w:cstheme="minorHAnsi"/>
          <w:b/>
          <w:bCs/>
          <w:color w:val="C00000"/>
          <w:sz w:val="20"/>
          <w:szCs w:val="20"/>
          <w:u w:val="single"/>
          <w:lang w:eastAsia="fr-FR"/>
        </w:rPr>
        <w:t xml:space="preserve">Présentation synthétique et chiffres clés : </w:t>
      </w:r>
    </w:p>
    <w:p w14:paraId="7A5A0DA0" w14:textId="77777777" w:rsidR="005F3765" w:rsidRPr="00A14DFE" w:rsidRDefault="005F3765" w:rsidP="005F3765">
      <w:pPr>
        <w:pStyle w:val="Paragraphedeliste"/>
        <w:numPr>
          <w:ilvl w:val="0"/>
          <w:numId w:val="2"/>
        </w:numPr>
        <w:spacing w:after="0" w:line="240" w:lineRule="auto"/>
        <w:jc w:val="both"/>
        <w:rPr>
          <w:sz w:val="20"/>
          <w:szCs w:val="20"/>
        </w:rPr>
      </w:pPr>
      <w:r w:rsidRPr="00A14DFE">
        <w:rPr>
          <w:b/>
          <w:bCs/>
          <w:sz w:val="20"/>
          <w:szCs w:val="20"/>
        </w:rPr>
        <w:t>TOSYALI IRON STEEL INDUSTRY ALGERIE</w:t>
      </w:r>
      <w:r w:rsidRPr="00A14DFE">
        <w:rPr>
          <w:sz w:val="20"/>
          <w:szCs w:val="20"/>
        </w:rPr>
        <w:t xml:space="preserve"> est une SPA créée en 2007 et est dotée d’un capital social de 50 Mrds DZD (308 M€), détenu par sept actionnaires dont 80% par la 80%) par la fratrie TOSYALI qui a hérité le métier de leur père.</w:t>
      </w:r>
    </w:p>
    <w:p w14:paraId="6BC99BB9" w14:textId="77777777" w:rsidR="005F3765" w:rsidRPr="00A14DFE" w:rsidRDefault="005F3765" w:rsidP="005F3765">
      <w:pPr>
        <w:pStyle w:val="Paragraphedeliste"/>
        <w:numPr>
          <w:ilvl w:val="0"/>
          <w:numId w:val="2"/>
        </w:numPr>
        <w:spacing w:after="0" w:line="240" w:lineRule="auto"/>
        <w:jc w:val="both"/>
        <w:rPr>
          <w:sz w:val="20"/>
          <w:szCs w:val="20"/>
        </w:rPr>
      </w:pPr>
      <w:r w:rsidRPr="00A14DFE">
        <w:rPr>
          <w:sz w:val="20"/>
          <w:szCs w:val="20"/>
        </w:rPr>
        <w:t xml:space="preserve">TISIA est leader du marché de la sidérurgie en Algérie avec une capacité de production totale de </w:t>
      </w:r>
      <w:r>
        <w:rPr>
          <w:sz w:val="20"/>
          <w:szCs w:val="20"/>
        </w:rPr>
        <w:t>6</w:t>
      </w:r>
      <w:r w:rsidRPr="00A14DFE">
        <w:rPr>
          <w:sz w:val="20"/>
          <w:szCs w:val="20"/>
        </w:rPr>
        <w:t xml:space="preserve"> Mt/an, et couvre jusqu’à 70% du besoin national. La mise en service de l’usine a débuté en 2013, et est entièrement intégrée. Le complexe est considéré aujourd’hui comme un joyau de l'industrie Algérienne. Il produit actuellement des aciers dits longs (Rond à Béton-RAB / Fil machine / Tubes spirales).</w:t>
      </w:r>
    </w:p>
    <w:p w14:paraId="3067F7ED" w14:textId="77777777" w:rsidR="005F3765" w:rsidRPr="00A14DFE" w:rsidRDefault="005F3765" w:rsidP="005F3765">
      <w:pPr>
        <w:pStyle w:val="Paragraphedeliste"/>
        <w:numPr>
          <w:ilvl w:val="0"/>
          <w:numId w:val="2"/>
        </w:numPr>
        <w:spacing w:after="0" w:line="240" w:lineRule="auto"/>
        <w:jc w:val="both"/>
        <w:rPr>
          <w:rFonts w:eastAsia="Times New Roman" w:cstheme="minorHAnsi"/>
          <w:bCs/>
          <w:sz w:val="20"/>
          <w:szCs w:val="20"/>
          <w:lang w:eastAsia="fr-FR"/>
        </w:rPr>
      </w:pPr>
      <w:r w:rsidRPr="00A14DFE">
        <w:rPr>
          <w:b/>
          <w:bCs/>
          <w:sz w:val="20"/>
          <w:szCs w:val="20"/>
        </w:rPr>
        <w:t>TOSYALI</w:t>
      </w:r>
      <w:r w:rsidRPr="00A14DFE">
        <w:rPr>
          <w:sz w:val="20"/>
          <w:szCs w:val="20"/>
        </w:rPr>
        <w:t xml:space="preserve"> dispose aujourd’hui de 3 complexes de production :</w:t>
      </w:r>
    </w:p>
    <w:p w14:paraId="1F9F1258" w14:textId="77777777" w:rsidR="005F3765" w:rsidRPr="00A14DFE" w:rsidRDefault="005F3765" w:rsidP="005F3765">
      <w:pPr>
        <w:pStyle w:val="Paragraphedeliste"/>
        <w:numPr>
          <w:ilvl w:val="0"/>
          <w:numId w:val="4"/>
        </w:numPr>
        <w:spacing w:after="0" w:line="240" w:lineRule="auto"/>
        <w:jc w:val="both"/>
        <w:rPr>
          <w:rFonts w:eastAsia="Times New Roman" w:cstheme="minorHAnsi"/>
          <w:bCs/>
          <w:sz w:val="20"/>
          <w:szCs w:val="20"/>
          <w:lang w:eastAsia="fr-FR"/>
        </w:rPr>
      </w:pPr>
      <w:r w:rsidRPr="00A14DFE">
        <w:rPr>
          <w:rFonts w:eastAsia="Times New Roman" w:cstheme="minorHAnsi"/>
          <w:bCs/>
          <w:sz w:val="20"/>
          <w:szCs w:val="20"/>
          <w:lang w:eastAsia="fr-FR"/>
        </w:rPr>
        <w:t xml:space="preserve">Complexe 01 : unité aciérie de laminoir Rond à béton &amp; Laminoir file d’une capacité totale 1,6 MT/an </w:t>
      </w:r>
    </w:p>
    <w:p w14:paraId="348F8C3E" w14:textId="77777777" w:rsidR="005F3765" w:rsidRPr="00A14DFE" w:rsidRDefault="005F3765" w:rsidP="005F3765">
      <w:pPr>
        <w:pStyle w:val="Paragraphedeliste"/>
        <w:numPr>
          <w:ilvl w:val="0"/>
          <w:numId w:val="4"/>
        </w:numPr>
        <w:spacing w:after="0" w:line="240" w:lineRule="auto"/>
        <w:jc w:val="both"/>
        <w:rPr>
          <w:rFonts w:eastAsia="Times New Roman" w:cstheme="minorHAnsi"/>
          <w:bCs/>
          <w:sz w:val="20"/>
          <w:szCs w:val="20"/>
          <w:lang w:eastAsia="fr-FR"/>
        </w:rPr>
      </w:pPr>
      <w:r w:rsidRPr="00A14DFE">
        <w:rPr>
          <w:rFonts w:eastAsia="Times New Roman" w:cstheme="minorHAnsi"/>
          <w:bCs/>
          <w:sz w:val="20"/>
          <w:szCs w:val="20"/>
          <w:lang w:eastAsia="fr-FR"/>
        </w:rPr>
        <w:t>Complexe 02 « DRI » capacité total : 2,4 MT/an</w:t>
      </w:r>
    </w:p>
    <w:p w14:paraId="0203EAF0" w14:textId="77777777" w:rsidR="005F3765" w:rsidRPr="008C5017" w:rsidRDefault="005F3765" w:rsidP="005F3765">
      <w:pPr>
        <w:pStyle w:val="Paragraphedeliste"/>
        <w:numPr>
          <w:ilvl w:val="0"/>
          <w:numId w:val="4"/>
        </w:numPr>
        <w:spacing w:after="0" w:line="240" w:lineRule="auto"/>
        <w:jc w:val="both"/>
        <w:rPr>
          <w:rFonts w:eastAsia="Times New Roman" w:cstheme="minorHAnsi"/>
          <w:bCs/>
          <w:sz w:val="20"/>
          <w:szCs w:val="20"/>
          <w:lang w:eastAsia="fr-FR"/>
        </w:rPr>
      </w:pPr>
      <w:r w:rsidRPr="00A14DFE">
        <w:rPr>
          <w:rFonts w:eastAsia="Times New Roman" w:cstheme="minorHAnsi"/>
          <w:bCs/>
          <w:sz w:val="20"/>
          <w:szCs w:val="20"/>
          <w:lang w:eastAsia="fr-FR"/>
        </w:rPr>
        <w:t>Complexe 03 (fraichement entré en exploitation</w:t>
      </w:r>
      <w:r>
        <w:rPr>
          <w:rFonts w:eastAsia="Times New Roman" w:cstheme="minorHAnsi"/>
          <w:bCs/>
          <w:sz w:val="20"/>
          <w:szCs w:val="20"/>
          <w:lang w:eastAsia="fr-FR"/>
        </w:rPr>
        <w:t xml:space="preserve"> – Juin 2024</w:t>
      </w:r>
      <w:r w:rsidRPr="00A14DFE">
        <w:rPr>
          <w:rFonts w:eastAsia="Times New Roman" w:cstheme="minorHAnsi"/>
          <w:bCs/>
          <w:sz w:val="20"/>
          <w:szCs w:val="20"/>
          <w:lang w:eastAsia="fr-FR"/>
        </w:rPr>
        <w:t>)</w:t>
      </w:r>
      <w:r w:rsidRPr="00A14DFE">
        <w:rPr>
          <w:rFonts w:cstheme="minorHAnsi"/>
          <w:b/>
          <w:iCs/>
          <w:sz w:val="20"/>
          <w:szCs w:val="20"/>
        </w:rPr>
        <w:t xml:space="preserve"> : </w:t>
      </w:r>
      <w:r>
        <w:rPr>
          <w:rFonts w:cstheme="minorHAnsi"/>
          <w:b/>
          <w:iCs/>
          <w:sz w:val="20"/>
          <w:szCs w:val="20"/>
        </w:rPr>
        <w:t xml:space="preserve">d’une capacité de production de près de 2,16 MT/an </w:t>
      </w:r>
      <w:r w:rsidRPr="00A14DFE">
        <w:rPr>
          <w:rFonts w:cstheme="minorHAnsi"/>
          <w:iCs/>
          <w:sz w:val="20"/>
          <w:szCs w:val="20"/>
        </w:rPr>
        <w:t>pour la production d’aciers Plats qui seront destinés pour les industries de transformation (électroménagers, automobile…)</w:t>
      </w:r>
      <w:r>
        <w:rPr>
          <w:rFonts w:cstheme="minorHAnsi"/>
          <w:iCs/>
          <w:sz w:val="20"/>
          <w:szCs w:val="20"/>
        </w:rPr>
        <w:t>.</w:t>
      </w:r>
    </w:p>
    <w:p w14:paraId="6B58A671" w14:textId="77777777" w:rsidR="005F3765" w:rsidRPr="008C5017" w:rsidRDefault="005F3765" w:rsidP="005F3765">
      <w:pPr>
        <w:pStyle w:val="Paragraphedeliste"/>
        <w:spacing w:after="0" w:line="240" w:lineRule="auto"/>
        <w:ind w:left="786"/>
        <w:rPr>
          <w:rFonts w:cstheme="minorHAnsi"/>
          <w:iCs/>
          <w:sz w:val="20"/>
          <w:szCs w:val="20"/>
        </w:rPr>
      </w:pPr>
      <w:r>
        <w:rPr>
          <w:rFonts w:cstheme="minorHAnsi"/>
          <w:iCs/>
          <w:sz w:val="20"/>
          <w:szCs w:val="20"/>
        </w:rPr>
        <w:t xml:space="preserve">Ce projet est estimé à </w:t>
      </w:r>
      <w:r w:rsidRPr="008C5017">
        <w:rPr>
          <w:rFonts w:cstheme="minorHAnsi"/>
          <w:iCs/>
          <w:sz w:val="20"/>
          <w:szCs w:val="20"/>
        </w:rPr>
        <w:t>374 GDZD (2 580 M€), financés à 63% par de la dette bancaire</w:t>
      </w:r>
      <w:r>
        <w:rPr>
          <w:rFonts w:cstheme="minorHAnsi"/>
          <w:iCs/>
          <w:sz w:val="20"/>
          <w:szCs w:val="20"/>
        </w:rPr>
        <w:t>.</w:t>
      </w:r>
    </w:p>
    <w:p w14:paraId="42F6322B" w14:textId="77777777" w:rsidR="005F3765" w:rsidRPr="008C5017" w:rsidRDefault="005F3765" w:rsidP="005F3765">
      <w:pPr>
        <w:pStyle w:val="Paragraphedeliste"/>
        <w:spacing w:after="0" w:line="240" w:lineRule="auto"/>
        <w:ind w:left="786"/>
        <w:rPr>
          <w:rFonts w:cstheme="minorHAnsi"/>
          <w:iCs/>
          <w:sz w:val="20"/>
          <w:szCs w:val="20"/>
        </w:rPr>
      </w:pPr>
      <w:r w:rsidRPr="008C5017">
        <w:rPr>
          <w:rFonts w:cstheme="minorHAnsi"/>
          <w:iCs/>
          <w:sz w:val="20"/>
          <w:szCs w:val="20"/>
        </w:rPr>
        <w:t xml:space="preserve">Quotepart SGA sur les </w:t>
      </w:r>
      <w:r>
        <w:rPr>
          <w:rFonts w:cstheme="minorHAnsi"/>
          <w:iCs/>
          <w:sz w:val="20"/>
          <w:szCs w:val="20"/>
        </w:rPr>
        <w:t xml:space="preserve">3 </w:t>
      </w:r>
      <w:r w:rsidRPr="008C5017">
        <w:rPr>
          <w:rFonts w:cstheme="minorHAnsi"/>
          <w:iCs/>
          <w:sz w:val="20"/>
          <w:szCs w:val="20"/>
        </w:rPr>
        <w:t>tranches</w:t>
      </w:r>
      <w:r>
        <w:rPr>
          <w:rFonts w:cstheme="minorHAnsi"/>
          <w:iCs/>
          <w:sz w:val="20"/>
          <w:szCs w:val="20"/>
        </w:rPr>
        <w:t xml:space="preserve"> de financement accordées</w:t>
      </w:r>
      <w:r w:rsidRPr="008C5017">
        <w:rPr>
          <w:rFonts w:cstheme="minorHAnsi"/>
          <w:iCs/>
          <w:sz w:val="20"/>
          <w:szCs w:val="20"/>
        </w:rPr>
        <w:t xml:space="preserve"> : </w:t>
      </w:r>
      <w:r>
        <w:rPr>
          <w:rFonts w:cstheme="minorHAnsi"/>
          <w:iCs/>
          <w:sz w:val="20"/>
          <w:szCs w:val="20"/>
        </w:rPr>
        <w:t xml:space="preserve">14,5 </w:t>
      </w:r>
      <w:r w:rsidRPr="008C5017">
        <w:rPr>
          <w:rFonts w:cstheme="minorHAnsi"/>
          <w:iCs/>
          <w:sz w:val="20"/>
          <w:szCs w:val="20"/>
        </w:rPr>
        <w:t xml:space="preserve">GDZD, soit </w:t>
      </w:r>
      <w:r>
        <w:rPr>
          <w:rFonts w:cstheme="minorHAnsi"/>
          <w:iCs/>
          <w:sz w:val="20"/>
          <w:szCs w:val="20"/>
        </w:rPr>
        <w:t>5,8</w:t>
      </w:r>
      <w:r w:rsidRPr="008C5017">
        <w:rPr>
          <w:rFonts w:cstheme="minorHAnsi"/>
          <w:iCs/>
          <w:sz w:val="20"/>
          <w:szCs w:val="20"/>
        </w:rPr>
        <w:t xml:space="preserve">% de la dette levée. Tranches tirées </w:t>
      </w:r>
      <w:r>
        <w:rPr>
          <w:rFonts w:cstheme="minorHAnsi"/>
          <w:iCs/>
          <w:sz w:val="20"/>
          <w:szCs w:val="20"/>
        </w:rPr>
        <w:t xml:space="preserve">actuellement </w:t>
      </w:r>
      <w:r w:rsidRPr="008C5017">
        <w:rPr>
          <w:rFonts w:cstheme="minorHAnsi"/>
          <w:iCs/>
          <w:sz w:val="20"/>
          <w:szCs w:val="20"/>
        </w:rPr>
        <w:t xml:space="preserve">à </w:t>
      </w:r>
      <w:r>
        <w:rPr>
          <w:rFonts w:cstheme="minorHAnsi"/>
          <w:iCs/>
          <w:sz w:val="20"/>
          <w:szCs w:val="20"/>
        </w:rPr>
        <w:t>58</w:t>
      </w:r>
      <w:r w:rsidRPr="008C5017">
        <w:rPr>
          <w:rFonts w:cstheme="minorHAnsi"/>
          <w:iCs/>
          <w:sz w:val="20"/>
          <w:szCs w:val="20"/>
        </w:rPr>
        <w:t>%.</w:t>
      </w:r>
    </w:p>
    <w:p w14:paraId="79EF626D" w14:textId="77777777" w:rsidR="005F3765" w:rsidRPr="00A14DFE" w:rsidRDefault="005F3765" w:rsidP="005F3765">
      <w:pPr>
        <w:pStyle w:val="Paragraphedeliste"/>
        <w:numPr>
          <w:ilvl w:val="0"/>
          <w:numId w:val="5"/>
        </w:numPr>
        <w:spacing w:after="0" w:line="240" w:lineRule="auto"/>
        <w:jc w:val="both"/>
        <w:rPr>
          <w:rFonts w:eastAsia="Times New Roman" w:cstheme="minorHAnsi"/>
          <w:bCs/>
          <w:sz w:val="20"/>
          <w:szCs w:val="20"/>
          <w:lang w:eastAsia="fr-FR"/>
        </w:rPr>
      </w:pPr>
      <w:r w:rsidRPr="00A14DFE">
        <w:rPr>
          <w:sz w:val="20"/>
          <w:szCs w:val="20"/>
        </w:rPr>
        <w:t>Les produits de TISIA sont commercialisés sur le marché local (60% de la production)</w:t>
      </w:r>
      <w:r>
        <w:rPr>
          <w:sz w:val="20"/>
          <w:szCs w:val="20"/>
        </w:rPr>
        <w:t xml:space="preserve">, mais aussi à l’international (40% de la production). </w:t>
      </w:r>
      <w:r w:rsidRPr="00A14DFE">
        <w:rPr>
          <w:sz w:val="20"/>
          <w:szCs w:val="20"/>
        </w:rPr>
        <w:t>25 pays – essentiellement basé au CANADA / USA</w:t>
      </w:r>
      <w:r>
        <w:rPr>
          <w:sz w:val="20"/>
          <w:szCs w:val="20"/>
        </w:rPr>
        <w:t xml:space="preserve"> avec un chiffres d’affaires Export d’environs 800 MUSD/an (SGA capte </w:t>
      </w:r>
      <w:r w:rsidRPr="006E2556">
        <w:rPr>
          <w:sz w:val="20"/>
          <w:szCs w:val="20"/>
        </w:rPr>
        <w:t>7,09% du total export client en 2023 VS 6,8% en 2022 et 3,3% en 2021</w:t>
      </w:r>
      <w:r>
        <w:rPr>
          <w:sz w:val="20"/>
          <w:szCs w:val="20"/>
        </w:rPr>
        <w:t>).</w:t>
      </w:r>
    </w:p>
    <w:p w14:paraId="6F9FE263" w14:textId="77777777" w:rsidR="005F3765" w:rsidRPr="00280FBA" w:rsidRDefault="005F3765" w:rsidP="005F3765">
      <w:pPr>
        <w:spacing w:after="0" w:line="240" w:lineRule="auto"/>
        <w:jc w:val="both"/>
        <w:rPr>
          <w:rFonts w:eastAsia="Times New Roman" w:cstheme="minorHAnsi"/>
          <w:bCs/>
          <w:sz w:val="10"/>
          <w:szCs w:val="10"/>
          <w:lang w:eastAsia="fr-FR"/>
        </w:rPr>
      </w:pPr>
    </w:p>
    <w:p w14:paraId="63BCD44B" w14:textId="77777777" w:rsidR="005F3765" w:rsidRPr="000748DF" w:rsidRDefault="005F3765" w:rsidP="005F3765">
      <w:pPr>
        <w:spacing w:before="100" w:after="100" w:line="240" w:lineRule="auto"/>
        <w:rPr>
          <w:rFonts w:eastAsia="Times New Roman" w:cstheme="minorHAnsi"/>
          <w:b/>
          <w:bCs/>
          <w:color w:val="C00000"/>
          <w:sz w:val="20"/>
          <w:szCs w:val="20"/>
          <w:u w:val="single"/>
          <w:lang w:eastAsia="fr-FR"/>
        </w:rPr>
      </w:pPr>
      <w:r w:rsidRPr="000748DF">
        <w:rPr>
          <w:rFonts w:eastAsia="Times New Roman" w:cstheme="minorHAnsi"/>
          <w:b/>
          <w:bCs/>
          <w:color w:val="C00000"/>
          <w:sz w:val="20"/>
          <w:szCs w:val="20"/>
          <w:u w:val="single"/>
          <w:lang w:eastAsia="fr-FR"/>
        </w:rPr>
        <w:t>Chiffres clés 2023</w:t>
      </w:r>
      <w:r>
        <w:rPr>
          <w:rFonts w:eastAsia="Times New Roman" w:cstheme="minorHAnsi"/>
          <w:b/>
          <w:bCs/>
          <w:color w:val="C00000"/>
          <w:sz w:val="20"/>
          <w:szCs w:val="20"/>
          <w:u w:val="single"/>
          <w:lang w:eastAsia="fr-FR"/>
        </w:rPr>
        <w:t xml:space="preserve"> </w:t>
      </w:r>
      <w:r w:rsidRPr="000748DF">
        <w:rPr>
          <w:rFonts w:eastAsia="Times New Roman" w:cstheme="minorHAnsi"/>
          <w:b/>
          <w:bCs/>
          <w:color w:val="C00000"/>
          <w:sz w:val="20"/>
          <w:szCs w:val="20"/>
          <w:u w:val="single"/>
          <w:lang w:eastAsia="fr-FR"/>
        </w:rPr>
        <w:t>audités : (En millions d’euro) :</w:t>
      </w:r>
    </w:p>
    <w:tbl>
      <w:tblPr>
        <w:tblStyle w:val="Grilledutableau"/>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972"/>
        <w:gridCol w:w="1319"/>
        <w:gridCol w:w="1389"/>
        <w:gridCol w:w="755"/>
        <w:gridCol w:w="1246"/>
        <w:gridCol w:w="2083"/>
        <w:gridCol w:w="1298"/>
      </w:tblGrid>
      <w:tr w:rsidR="005F3765" w:rsidRPr="000748DF" w14:paraId="3473FF2C" w14:textId="77777777" w:rsidTr="005205BC">
        <w:trPr>
          <w:trHeight w:val="283"/>
        </w:trPr>
        <w:tc>
          <w:tcPr>
            <w:tcW w:w="1008" w:type="dxa"/>
            <w:shd w:val="clear" w:color="auto" w:fill="000000" w:themeFill="text1"/>
            <w:vAlign w:val="center"/>
          </w:tcPr>
          <w:p w14:paraId="5E29237A" w14:textId="77777777" w:rsidR="005F3765" w:rsidRPr="000748DF" w:rsidRDefault="005F3765" w:rsidP="005205BC">
            <w:pPr>
              <w:jc w:val="center"/>
              <w:rPr>
                <w:rFonts w:cstheme="minorHAnsi"/>
                <w:b/>
                <w:bCs/>
                <w:sz w:val="20"/>
                <w:szCs w:val="20"/>
              </w:rPr>
            </w:pPr>
          </w:p>
        </w:tc>
        <w:tc>
          <w:tcPr>
            <w:tcW w:w="1584" w:type="dxa"/>
            <w:shd w:val="clear" w:color="auto" w:fill="000000" w:themeFill="text1"/>
            <w:vAlign w:val="center"/>
          </w:tcPr>
          <w:p w14:paraId="6B42DE2D" w14:textId="77777777" w:rsidR="005F3765" w:rsidRPr="000748DF" w:rsidRDefault="005F3765" w:rsidP="005205BC">
            <w:pPr>
              <w:jc w:val="center"/>
              <w:rPr>
                <w:rFonts w:cstheme="minorHAnsi"/>
                <w:sz w:val="20"/>
                <w:szCs w:val="20"/>
              </w:rPr>
            </w:pPr>
            <w:r w:rsidRPr="000748DF">
              <w:rPr>
                <w:rFonts w:cstheme="minorHAnsi"/>
                <w:b/>
                <w:bCs/>
                <w:sz w:val="20"/>
                <w:szCs w:val="20"/>
              </w:rPr>
              <w:t>Fonds propres</w:t>
            </w:r>
          </w:p>
        </w:tc>
        <w:tc>
          <w:tcPr>
            <w:tcW w:w="1618" w:type="dxa"/>
            <w:shd w:val="clear" w:color="auto" w:fill="000000" w:themeFill="text1"/>
            <w:vAlign w:val="center"/>
          </w:tcPr>
          <w:p w14:paraId="7F5262E6" w14:textId="77777777" w:rsidR="005F3765" w:rsidRPr="000748DF" w:rsidRDefault="005F3765" w:rsidP="005205BC">
            <w:pPr>
              <w:jc w:val="center"/>
              <w:rPr>
                <w:rFonts w:cstheme="minorHAnsi"/>
                <w:sz w:val="20"/>
                <w:szCs w:val="20"/>
              </w:rPr>
            </w:pPr>
            <w:r w:rsidRPr="000748DF">
              <w:rPr>
                <w:rFonts w:cstheme="minorHAnsi"/>
                <w:b/>
                <w:bCs/>
                <w:sz w:val="20"/>
                <w:szCs w:val="20"/>
              </w:rPr>
              <w:t>Chiffre d’affaires</w:t>
            </w:r>
          </w:p>
        </w:tc>
        <w:tc>
          <w:tcPr>
            <w:tcW w:w="888" w:type="dxa"/>
            <w:shd w:val="clear" w:color="auto" w:fill="000000" w:themeFill="text1"/>
            <w:vAlign w:val="center"/>
          </w:tcPr>
          <w:p w14:paraId="16A909D1" w14:textId="77777777" w:rsidR="005F3765" w:rsidRPr="000748DF" w:rsidRDefault="005F3765" w:rsidP="005205BC">
            <w:pPr>
              <w:jc w:val="center"/>
              <w:rPr>
                <w:rFonts w:cstheme="minorHAnsi"/>
                <w:b/>
                <w:bCs/>
                <w:sz w:val="20"/>
                <w:szCs w:val="20"/>
              </w:rPr>
            </w:pPr>
            <w:r w:rsidRPr="000748DF">
              <w:rPr>
                <w:rFonts w:cstheme="minorHAnsi"/>
                <w:b/>
                <w:bCs/>
                <w:sz w:val="20"/>
                <w:szCs w:val="20"/>
              </w:rPr>
              <w:t>EBE</w:t>
            </w:r>
          </w:p>
        </w:tc>
        <w:tc>
          <w:tcPr>
            <w:tcW w:w="1445" w:type="dxa"/>
            <w:shd w:val="clear" w:color="auto" w:fill="000000" w:themeFill="text1"/>
            <w:vAlign w:val="center"/>
          </w:tcPr>
          <w:p w14:paraId="6DEA5EEE" w14:textId="77777777" w:rsidR="005F3765" w:rsidRPr="000748DF" w:rsidRDefault="005F3765" w:rsidP="005205BC">
            <w:pPr>
              <w:jc w:val="center"/>
              <w:rPr>
                <w:rFonts w:cstheme="minorHAnsi"/>
                <w:sz w:val="20"/>
                <w:szCs w:val="20"/>
              </w:rPr>
            </w:pPr>
            <w:r w:rsidRPr="000748DF">
              <w:rPr>
                <w:rFonts w:cstheme="minorHAnsi"/>
                <w:b/>
                <w:bCs/>
                <w:sz w:val="20"/>
                <w:szCs w:val="20"/>
              </w:rPr>
              <w:t>Résultat net</w:t>
            </w:r>
          </w:p>
        </w:tc>
        <w:tc>
          <w:tcPr>
            <w:tcW w:w="2536" w:type="dxa"/>
            <w:shd w:val="clear" w:color="auto" w:fill="000000" w:themeFill="text1"/>
            <w:vAlign w:val="center"/>
          </w:tcPr>
          <w:p w14:paraId="5348BFA7" w14:textId="77777777" w:rsidR="005F3765" w:rsidRPr="000748DF" w:rsidRDefault="005F3765" w:rsidP="005205BC">
            <w:pPr>
              <w:jc w:val="center"/>
              <w:rPr>
                <w:rFonts w:cstheme="minorHAnsi"/>
                <w:sz w:val="20"/>
                <w:szCs w:val="20"/>
              </w:rPr>
            </w:pPr>
            <w:r w:rsidRPr="000748DF">
              <w:rPr>
                <w:rFonts w:cstheme="minorHAnsi"/>
                <w:b/>
                <w:bCs/>
                <w:sz w:val="20"/>
                <w:szCs w:val="20"/>
              </w:rPr>
              <w:t>Endettement financier brut</w:t>
            </w:r>
          </w:p>
        </w:tc>
        <w:tc>
          <w:tcPr>
            <w:tcW w:w="1548" w:type="dxa"/>
            <w:shd w:val="clear" w:color="auto" w:fill="000000" w:themeFill="text1"/>
            <w:vAlign w:val="center"/>
          </w:tcPr>
          <w:p w14:paraId="28ED58CA" w14:textId="77777777" w:rsidR="005F3765" w:rsidRPr="000748DF" w:rsidRDefault="005F3765" w:rsidP="005205BC">
            <w:pPr>
              <w:jc w:val="center"/>
              <w:rPr>
                <w:rFonts w:cstheme="minorHAnsi"/>
                <w:sz w:val="20"/>
                <w:szCs w:val="20"/>
              </w:rPr>
            </w:pPr>
            <w:r w:rsidRPr="000748DF">
              <w:rPr>
                <w:rFonts w:cstheme="minorHAnsi"/>
                <w:b/>
                <w:bCs/>
                <w:sz w:val="20"/>
                <w:szCs w:val="20"/>
              </w:rPr>
              <w:t>Gearing</w:t>
            </w:r>
          </w:p>
        </w:tc>
      </w:tr>
      <w:tr w:rsidR="005F3765" w:rsidRPr="000748DF" w14:paraId="4BFA522B" w14:textId="77777777" w:rsidTr="005205BC">
        <w:trPr>
          <w:trHeight w:val="283"/>
        </w:trPr>
        <w:tc>
          <w:tcPr>
            <w:tcW w:w="1008" w:type="dxa"/>
            <w:vAlign w:val="center"/>
          </w:tcPr>
          <w:p w14:paraId="611100E4" w14:textId="77777777" w:rsidR="005F3765" w:rsidRPr="000748DF" w:rsidRDefault="005F3765" w:rsidP="005205BC">
            <w:pPr>
              <w:rPr>
                <w:rFonts w:cstheme="minorHAnsi"/>
                <w:sz w:val="20"/>
                <w:szCs w:val="20"/>
              </w:rPr>
            </w:pPr>
            <w:r>
              <w:rPr>
                <w:rFonts w:eastAsia="Times New Roman" w:cstheme="minorHAnsi"/>
                <w:b/>
                <w:bCs/>
                <w:sz w:val="20"/>
                <w:szCs w:val="20"/>
                <w:lang w:eastAsia="fr-FR"/>
              </w:rPr>
              <w:t>TOSYALI</w:t>
            </w:r>
          </w:p>
        </w:tc>
        <w:tc>
          <w:tcPr>
            <w:tcW w:w="1584" w:type="dxa"/>
            <w:vAlign w:val="center"/>
          </w:tcPr>
          <w:p w14:paraId="645C16B9" w14:textId="77777777" w:rsidR="005F3765" w:rsidRPr="000748DF" w:rsidRDefault="005F3765" w:rsidP="005205BC">
            <w:pPr>
              <w:jc w:val="center"/>
              <w:rPr>
                <w:rFonts w:cstheme="minorHAnsi"/>
                <w:sz w:val="20"/>
                <w:szCs w:val="20"/>
              </w:rPr>
            </w:pPr>
            <w:r>
              <w:rPr>
                <w:rFonts w:cstheme="minorHAnsi"/>
                <w:sz w:val="20"/>
                <w:szCs w:val="20"/>
              </w:rPr>
              <w:t>1 446</w:t>
            </w:r>
          </w:p>
        </w:tc>
        <w:tc>
          <w:tcPr>
            <w:tcW w:w="1618" w:type="dxa"/>
            <w:vAlign w:val="center"/>
          </w:tcPr>
          <w:p w14:paraId="3BE0A6A0" w14:textId="77777777" w:rsidR="005F3765" w:rsidRPr="000748DF" w:rsidRDefault="005F3765" w:rsidP="005205BC">
            <w:pPr>
              <w:jc w:val="center"/>
              <w:rPr>
                <w:rFonts w:cstheme="minorHAnsi"/>
                <w:sz w:val="20"/>
                <w:szCs w:val="20"/>
              </w:rPr>
            </w:pPr>
            <w:r w:rsidRPr="00626913">
              <w:rPr>
                <w:rFonts w:cstheme="minorHAnsi"/>
                <w:sz w:val="20"/>
                <w:szCs w:val="20"/>
              </w:rPr>
              <w:t>1 798</w:t>
            </w:r>
          </w:p>
        </w:tc>
        <w:tc>
          <w:tcPr>
            <w:tcW w:w="888" w:type="dxa"/>
            <w:vAlign w:val="center"/>
          </w:tcPr>
          <w:p w14:paraId="346525C9" w14:textId="77777777" w:rsidR="005F3765" w:rsidRPr="000748DF" w:rsidRDefault="005F3765" w:rsidP="005205BC">
            <w:pPr>
              <w:jc w:val="center"/>
              <w:rPr>
                <w:rFonts w:cstheme="minorHAnsi"/>
                <w:sz w:val="20"/>
                <w:szCs w:val="20"/>
              </w:rPr>
            </w:pPr>
            <w:r>
              <w:rPr>
                <w:rFonts w:cstheme="minorHAnsi"/>
                <w:sz w:val="20"/>
                <w:szCs w:val="20"/>
              </w:rPr>
              <w:t>374</w:t>
            </w:r>
          </w:p>
        </w:tc>
        <w:tc>
          <w:tcPr>
            <w:tcW w:w="1445" w:type="dxa"/>
            <w:vAlign w:val="center"/>
          </w:tcPr>
          <w:p w14:paraId="27676BCF" w14:textId="77777777" w:rsidR="005F3765" w:rsidRPr="000748DF" w:rsidRDefault="005F3765" w:rsidP="005205BC">
            <w:pPr>
              <w:jc w:val="center"/>
              <w:rPr>
                <w:rFonts w:cstheme="minorHAnsi"/>
                <w:sz w:val="20"/>
                <w:szCs w:val="20"/>
              </w:rPr>
            </w:pPr>
            <w:r>
              <w:rPr>
                <w:rFonts w:cstheme="minorHAnsi"/>
                <w:sz w:val="20"/>
                <w:szCs w:val="20"/>
              </w:rPr>
              <w:t>201</w:t>
            </w:r>
          </w:p>
        </w:tc>
        <w:tc>
          <w:tcPr>
            <w:tcW w:w="2536" w:type="dxa"/>
            <w:vAlign w:val="center"/>
          </w:tcPr>
          <w:p w14:paraId="459FAB3B" w14:textId="77777777" w:rsidR="005F3765" w:rsidRPr="000748DF" w:rsidRDefault="005F3765" w:rsidP="005205BC">
            <w:pPr>
              <w:jc w:val="center"/>
              <w:rPr>
                <w:rFonts w:cstheme="minorHAnsi"/>
                <w:sz w:val="20"/>
                <w:szCs w:val="20"/>
              </w:rPr>
            </w:pPr>
            <w:r>
              <w:rPr>
                <w:rFonts w:cstheme="minorHAnsi"/>
                <w:sz w:val="20"/>
                <w:szCs w:val="20"/>
              </w:rPr>
              <w:t>1 958</w:t>
            </w:r>
          </w:p>
        </w:tc>
        <w:tc>
          <w:tcPr>
            <w:tcW w:w="1548" w:type="dxa"/>
            <w:vAlign w:val="center"/>
          </w:tcPr>
          <w:p w14:paraId="1978D7C5" w14:textId="77777777" w:rsidR="005F3765" w:rsidRPr="000748DF" w:rsidRDefault="005F3765" w:rsidP="005205BC">
            <w:pPr>
              <w:jc w:val="center"/>
              <w:rPr>
                <w:rFonts w:cstheme="minorHAnsi"/>
                <w:sz w:val="20"/>
                <w:szCs w:val="20"/>
              </w:rPr>
            </w:pPr>
            <w:r>
              <w:rPr>
                <w:rFonts w:cstheme="minorHAnsi"/>
                <w:sz w:val="20"/>
                <w:szCs w:val="20"/>
              </w:rPr>
              <w:t>1,19</w:t>
            </w:r>
            <w:r w:rsidRPr="000748DF">
              <w:rPr>
                <w:rFonts w:cstheme="minorHAnsi"/>
                <w:sz w:val="20"/>
                <w:szCs w:val="20"/>
              </w:rPr>
              <w:t xml:space="preserve"> x</w:t>
            </w:r>
          </w:p>
        </w:tc>
      </w:tr>
    </w:tbl>
    <w:p w14:paraId="5D2F1EE6" w14:textId="77777777" w:rsidR="005F3765" w:rsidRPr="00280FBA" w:rsidRDefault="005F3765" w:rsidP="005F3765">
      <w:pPr>
        <w:spacing w:after="0" w:line="240" w:lineRule="auto"/>
        <w:jc w:val="both"/>
        <w:rPr>
          <w:rFonts w:eastAsia="Times New Roman" w:cstheme="minorHAnsi"/>
          <w:b/>
          <w:bCs/>
          <w:sz w:val="10"/>
          <w:szCs w:val="10"/>
          <w:lang w:eastAsia="fr-FR"/>
        </w:rPr>
      </w:pPr>
    </w:p>
    <w:p w14:paraId="73C1513E" w14:textId="77777777" w:rsidR="005F3765" w:rsidRPr="006358E2" w:rsidRDefault="005F3765" w:rsidP="005F3765">
      <w:pPr>
        <w:spacing w:before="100" w:after="100" w:line="240" w:lineRule="auto"/>
        <w:rPr>
          <w:rFonts w:eastAsia="Times New Roman" w:cstheme="minorHAnsi"/>
          <w:b/>
          <w:bCs/>
          <w:color w:val="C00000"/>
          <w:sz w:val="20"/>
          <w:szCs w:val="20"/>
          <w:u w:val="single"/>
          <w:lang w:eastAsia="fr-FR"/>
        </w:rPr>
      </w:pPr>
      <w:r w:rsidRPr="000748DF">
        <w:rPr>
          <w:rFonts w:eastAsia="Times New Roman" w:cstheme="minorHAnsi"/>
          <w:b/>
          <w:bCs/>
          <w:color w:val="C00000"/>
          <w:sz w:val="20"/>
          <w:szCs w:val="20"/>
          <w:u w:val="single"/>
          <w:lang w:eastAsia="fr-FR"/>
        </w:rPr>
        <w:t xml:space="preserve">Stratégie globale : </w:t>
      </w:r>
    </w:p>
    <w:p w14:paraId="5A56A2BF" w14:textId="77777777" w:rsidR="005F3765" w:rsidRPr="00280FBA" w:rsidRDefault="005F3765" w:rsidP="005F3765">
      <w:pPr>
        <w:pStyle w:val="Paragraphedeliste"/>
        <w:numPr>
          <w:ilvl w:val="0"/>
          <w:numId w:val="6"/>
        </w:numPr>
        <w:spacing w:after="0" w:line="240" w:lineRule="auto"/>
        <w:contextualSpacing w:val="0"/>
        <w:jc w:val="both"/>
        <w:rPr>
          <w:rFonts w:cstheme="minorHAnsi"/>
          <w:sz w:val="20"/>
          <w:szCs w:val="20"/>
        </w:rPr>
      </w:pPr>
      <w:r w:rsidRPr="00280FBA">
        <w:rPr>
          <w:rFonts w:cstheme="minorHAnsi"/>
          <w:sz w:val="20"/>
          <w:szCs w:val="20"/>
        </w:rPr>
        <w:t>Intensité carbone : La stratégie de décarbonation de Tosyali a fait l’objet d’une note CORESP Steel le mois de septembre dernier. Elle a été préparée par notre expert E&amp;S en se basant sur les données client. La trajectoire de l’intensité carbone intégré les projets significatifs que le groupe Tosyali souhaite réaliser en Algérie, en Turquie, en Mauritanie ainsi que les pays de Golf (KSA &amp; UAE)</w:t>
      </w:r>
      <w:r w:rsidRPr="00280FBA">
        <w:rPr>
          <w:rFonts w:cstheme="minorHAnsi"/>
          <w:sz w:val="20"/>
          <w:szCs w:val="20"/>
          <w:rtl/>
        </w:rPr>
        <w:t>.</w:t>
      </w:r>
    </w:p>
    <w:p w14:paraId="48AE5087" w14:textId="77777777" w:rsidR="005F3765" w:rsidRPr="00280FBA" w:rsidRDefault="005F3765" w:rsidP="005F3765">
      <w:pPr>
        <w:pStyle w:val="Paragraphedeliste"/>
        <w:numPr>
          <w:ilvl w:val="1"/>
          <w:numId w:val="6"/>
        </w:numPr>
        <w:spacing w:after="0" w:line="240" w:lineRule="auto"/>
        <w:contextualSpacing w:val="0"/>
        <w:jc w:val="both"/>
        <w:rPr>
          <w:rFonts w:cstheme="minorHAnsi"/>
          <w:sz w:val="20"/>
          <w:szCs w:val="20"/>
        </w:rPr>
      </w:pPr>
      <w:r w:rsidRPr="00280FBA">
        <w:rPr>
          <w:rFonts w:cstheme="minorHAnsi"/>
          <w:sz w:val="20"/>
          <w:szCs w:val="20"/>
        </w:rPr>
        <w:t>Il faut noter que Tosyali Algérie affiche à présent l’un des meilleures intensités carbones de l’industrie (&lt;1,25t/t) et ce grâce à la combinaison de plusieurs facteurs</w:t>
      </w:r>
      <w:r w:rsidRPr="00280FBA">
        <w:rPr>
          <w:rFonts w:cstheme="minorHAnsi"/>
          <w:sz w:val="20"/>
          <w:szCs w:val="20"/>
          <w:rtl/>
        </w:rPr>
        <w:t xml:space="preserve"> :</w:t>
      </w:r>
    </w:p>
    <w:p w14:paraId="62542E65" w14:textId="77777777" w:rsidR="005F3765" w:rsidRPr="00280FBA" w:rsidRDefault="005F3765" w:rsidP="005F3765">
      <w:pPr>
        <w:pStyle w:val="Paragraphedeliste"/>
        <w:numPr>
          <w:ilvl w:val="1"/>
          <w:numId w:val="6"/>
        </w:numPr>
        <w:spacing w:after="0" w:line="240" w:lineRule="auto"/>
        <w:contextualSpacing w:val="0"/>
        <w:jc w:val="both"/>
        <w:rPr>
          <w:rFonts w:cstheme="minorHAnsi"/>
          <w:sz w:val="20"/>
          <w:szCs w:val="20"/>
        </w:rPr>
      </w:pPr>
      <w:r w:rsidRPr="00280FBA">
        <w:rPr>
          <w:rFonts w:cstheme="minorHAnsi"/>
          <w:sz w:val="20"/>
          <w:szCs w:val="20"/>
        </w:rPr>
        <w:t>Le % d’acier recyclé utilisé par Tosyali qui est de l’ordre de 28%</w:t>
      </w:r>
      <w:r w:rsidRPr="00280FBA">
        <w:rPr>
          <w:rFonts w:cstheme="minorHAnsi"/>
          <w:sz w:val="20"/>
          <w:szCs w:val="20"/>
          <w:rtl/>
        </w:rPr>
        <w:t>.</w:t>
      </w:r>
    </w:p>
    <w:p w14:paraId="5284D359" w14:textId="77777777" w:rsidR="005F3765" w:rsidRPr="00280FBA" w:rsidRDefault="005F3765" w:rsidP="005F3765">
      <w:pPr>
        <w:pStyle w:val="Paragraphedeliste"/>
        <w:numPr>
          <w:ilvl w:val="1"/>
          <w:numId w:val="6"/>
        </w:numPr>
        <w:spacing w:after="0" w:line="240" w:lineRule="auto"/>
        <w:contextualSpacing w:val="0"/>
        <w:jc w:val="both"/>
        <w:rPr>
          <w:rFonts w:cstheme="minorHAnsi"/>
          <w:sz w:val="20"/>
          <w:szCs w:val="20"/>
        </w:rPr>
      </w:pPr>
      <w:r w:rsidRPr="00280FBA">
        <w:rPr>
          <w:rFonts w:cstheme="minorHAnsi"/>
          <w:sz w:val="20"/>
          <w:szCs w:val="20"/>
        </w:rPr>
        <w:t>L’utilisation de gaz naturel dans la production (considéré jusqu’au là comme une énergie de transition)</w:t>
      </w:r>
      <w:r w:rsidRPr="00280FBA">
        <w:rPr>
          <w:rFonts w:cstheme="minorHAnsi"/>
          <w:sz w:val="20"/>
          <w:szCs w:val="20"/>
          <w:rtl/>
        </w:rPr>
        <w:t>.</w:t>
      </w:r>
    </w:p>
    <w:p w14:paraId="4CACE46F" w14:textId="77777777" w:rsidR="005F3765" w:rsidRPr="00280FBA" w:rsidRDefault="005F3765" w:rsidP="005F3765">
      <w:pPr>
        <w:pStyle w:val="Paragraphedeliste"/>
        <w:numPr>
          <w:ilvl w:val="1"/>
          <w:numId w:val="6"/>
        </w:numPr>
        <w:spacing w:after="0" w:line="240" w:lineRule="auto"/>
        <w:contextualSpacing w:val="0"/>
        <w:jc w:val="both"/>
        <w:rPr>
          <w:rFonts w:cstheme="minorHAnsi"/>
          <w:sz w:val="20"/>
          <w:szCs w:val="20"/>
        </w:rPr>
      </w:pPr>
      <w:r w:rsidRPr="00280FBA">
        <w:rPr>
          <w:rFonts w:cstheme="minorHAnsi"/>
          <w:sz w:val="20"/>
          <w:szCs w:val="20"/>
        </w:rPr>
        <w:t>La technologie Quantum Furnace utilisée par Tosyali et qui permet de réduire les émissions de CO2 de 30%</w:t>
      </w:r>
      <w:r w:rsidRPr="00280FBA">
        <w:rPr>
          <w:rFonts w:cstheme="minorHAnsi"/>
          <w:sz w:val="20"/>
          <w:szCs w:val="20"/>
          <w:rtl/>
        </w:rPr>
        <w:t>.</w:t>
      </w:r>
    </w:p>
    <w:p w14:paraId="1FC44DC5" w14:textId="77777777" w:rsidR="005F3765" w:rsidRPr="00280FBA" w:rsidRDefault="005F3765" w:rsidP="005F3765">
      <w:pPr>
        <w:pStyle w:val="Paragraphedeliste"/>
        <w:numPr>
          <w:ilvl w:val="0"/>
          <w:numId w:val="6"/>
        </w:numPr>
        <w:spacing w:after="0" w:line="240" w:lineRule="auto"/>
        <w:contextualSpacing w:val="0"/>
        <w:jc w:val="both"/>
        <w:rPr>
          <w:rFonts w:cstheme="minorHAnsi"/>
          <w:sz w:val="20"/>
          <w:szCs w:val="20"/>
        </w:rPr>
      </w:pPr>
      <w:r w:rsidRPr="00280FBA">
        <w:rPr>
          <w:rFonts w:cstheme="minorHAnsi"/>
          <w:sz w:val="20"/>
          <w:szCs w:val="20"/>
        </w:rPr>
        <w:lastRenderedPageBreak/>
        <w:t>Tosyali Algérie compte réduire son intensité d’émission de GES (scope 1et2) de 50% à horizon de 2030 à travers une démarche d’investissement dans les énergies verte (hydrogène vert, solaire PV) et utilisation des technologies les plus propres (DRI Midrex)</w:t>
      </w:r>
      <w:r w:rsidRPr="00280FBA">
        <w:rPr>
          <w:rFonts w:cstheme="minorHAnsi"/>
          <w:sz w:val="20"/>
          <w:szCs w:val="20"/>
          <w:rtl/>
        </w:rPr>
        <w:t>.</w:t>
      </w:r>
    </w:p>
    <w:p w14:paraId="48E83111" w14:textId="77777777" w:rsidR="005F3765" w:rsidRDefault="005F3765" w:rsidP="005F3765">
      <w:pPr>
        <w:pStyle w:val="Paragraphedeliste"/>
        <w:numPr>
          <w:ilvl w:val="0"/>
          <w:numId w:val="6"/>
        </w:numPr>
        <w:spacing w:after="0" w:line="240" w:lineRule="auto"/>
        <w:contextualSpacing w:val="0"/>
        <w:jc w:val="both"/>
        <w:rPr>
          <w:rFonts w:cstheme="minorHAnsi"/>
          <w:sz w:val="20"/>
          <w:szCs w:val="20"/>
        </w:rPr>
      </w:pPr>
      <w:r w:rsidRPr="00280FBA">
        <w:rPr>
          <w:rFonts w:cstheme="minorHAnsi"/>
          <w:sz w:val="20"/>
          <w:szCs w:val="20"/>
        </w:rPr>
        <w:t>En se basant sur l’intensité carbone actuelle et la trajectoire de décarbonation, Tosyali conservera son positionnement d’un producteur d’acier low carbone ce qui lui permettra de consolider davantage sa compétitivité sur les marchés export EU, notamment après l’entrée en vigueur du mécanisme d’ajustement de la taxe carbone en 2026 (CEBAM)</w:t>
      </w:r>
      <w:r>
        <w:rPr>
          <w:rFonts w:cstheme="minorHAnsi"/>
          <w:sz w:val="20"/>
          <w:szCs w:val="20"/>
        </w:rPr>
        <w:t>.</w:t>
      </w:r>
    </w:p>
    <w:p w14:paraId="0EAF435A" w14:textId="77777777" w:rsidR="005F3765" w:rsidRDefault="005F3765" w:rsidP="005F3765">
      <w:pPr>
        <w:pStyle w:val="Paragraphedeliste"/>
        <w:numPr>
          <w:ilvl w:val="0"/>
          <w:numId w:val="6"/>
        </w:numPr>
        <w:spacing w:after="0" w:line="240" w:lineRule="auto"/>
        <w:contextualSpacing w:val="0"/>
        <w:jc w:val="both"/>
        <w:rPr>
          <w:rFonts w:cstheme="minorHAnsi"/>
          <w:sz w:val="20"/>
          <w:szCs w:val="20"/>
        </w:rPr>
      </w:pPr>
      <w:r w:rsidRPr="008C5017">
        <w:rPr>
          <w:rFonts w:cstheme="minorHAnsi"/>
          <w:sz w:val="20"/>
          <w:szCs w:val="20"/>
        </w:rPr>
        <w:t>Acquisition de la société Espagnole BAIKA STEEL TUBULAR SYSTEMS : versée dans la production de tubes en acier</w:t>
      </w:r>
      <w:r>
        <w:rPr>
          <w:rFonts w:cstheme="minorHAnsi"/>
          <w:sz w:val="20"/>
          <w:szCs w:val="20"/>
        </w:rPr>
        <w:t xml:space="preserve"> (projet qui vise à pénétrer le marché européen).</w:t>
      </w:r>
    </w:p>
    <w:p w14:paraId="74B795EE" w14:textId="77777777" w:rsidR="005F3765" w:rsidRDefault="005F3765" w:rsidP="005F3765">
      <w:pPr>
        <w:spacing w:after="0" w:line="240" w:lineRule="auto"/>
        <w:jc w:val="both"/>
        <w:rPr>
          <w:rFonts w:cstheme="minorHAnsi"/>
          <w:sz w:val="20"/>
          <w:szCs w:val="20"/>
        </w:rPr>
      </w:pPr>
    </w:p>
    <w:p w14:paraId="41FFBB2E" w14:textId="77777777" w:rsidR="005F3765" w:rsidRDefault="005F3765" w:rsidP="005F3765">
      <w:pPr>
        <w:spacing w:after="0" w:line="240" w:lineRule="auto"/>
        <w:jc w:val="both"/>
        <w:rPr>
          <w:rFonts w:cstheme="minorHAnsi"/>
          <w:sz w:val="20"/>
          <w:szCs w:val="20"/>
        </w:rPr>
      </w:pPr>
    </w:p>
    <w:p w14:paraId="0ABCA6F6" w14:textId="77777777" w:rsidR="005F3765" w:rsidRPr="008C5017" w:rsidRDefault="005F3765" w:rsidP="005F3765">
      <w:pPr>
        <w:spacing w:after="0" w:line="240" w:lineRule="auto"/>
        <w:jc w:val="both"/>
        <w:rPr>
          <w:rFonts w:cstheme="minorHAnsi"/>
          <w:sz w:val="20"/>
          <w:szCs w:val="20"/>
        </w:rPr>
      </w:pPr>
    </w:p>
    <w:p w14:paraId="025DD747" w14:textId="77777777" w:rsidR="005F3765" w:rsidRPr="000748DF" w:rsidRDefault="005F3765" w:rsidP="005F3765">
      <w:pPr>
        <w:spacing w:before="100" w:after="100" w:line="240" w:lineRule="auto"/>
        <w:rPr>
          <w:rFonts w:eastAsia="Times New Roman" w:cstheme="minorHAnsi"/>
          <w:b/>
          <w:bCs/>
          <w:color w:val="C00000"/>
          <w:sz w:val="20"/>
          <w:szCs w:val="20"/>
          <w:u w:val="single"/>
          <w:lang w:eastAsia="fr-FR"/>
        </w:rPr>
      </w:pPr>
      <w:r w:rsidRPr="000748DF">
        <w:rPr>
          <w:rFonts w:eastAsia="Times New Roman" w:cstheme="minorHAnsi"/>
          <w:b/>
          <w:bCs/>
          <w:color w:val="C00000"/>
          <w:sz w:val="20"/>
          <w:szCs w:val="20"/>
          <w:u w:val="single"/>
          <w:lang w:eastAsia="fr-FR"/>
        </w:rPr>
        <w:t>Relation du Groupe avec la Société Générale :</w:t>
      </w:r>
    </w:p>
    <w:p w14:paraId="65188333" w14:textId="77777777" w:rsidR="005F3765" w:rsidRPr="00626913" w:rsidRDefault="005F3765" w:rsidP="005F3765">
      <w:pPr>
        <w:pStyle w:val="Paragraphedeliste"/>
        <w:numPr>
          <w:ilvl w:val="0"/>
          <w:numId w:val="1"/>
        </w:numPr>
        <w:spacing w:after="0" w:line="276" w:lineRule="auto"/>
        <w:ind w:left="142" w:hanging="139"/>
        <w:jc w:val="both"/>
        <w:rPr>
          <w:rFonts w:eastAsia="Times New Roman" w:cstheme="minorHAnsi"/>
          <w:bCs/>
          <w:sz w:val="20"/>
          <w:szCs w:val="20"/>
          <w:lang w:eastAsia="fr-FR"/>
        </w:rPr>
      </w:pPr>
      <w:r w:rsidRPr="006C2217">
        <w:rPr>
          <w:rFonts w:eastAsia="Times New Roman" w:cstheme="minorHAnsi"/>
          <w:bCs/>
          <w:sz w:val="20"/>
          <w:szCs w:val="20"/>
          <w:lang w:eastAsia="fr-FR"/>
        </w:rPr>
        <w:t xml:space="preserve">Nous accompagnons </w:t>
      </w:r>
      <w:r>
        <w:rPr>
          <w:rFonts w:eastAsia="Times New Roman" w:cstheme="minorHAnsi"/>
          <w:bCs/>
          <w:sz w:val="20"/>
          <w:szCs w:val="20"/>
          <w:lang w:eastAsia="fr-FR"/>
        </w:rPr>
        <w:t>TISIA</w:t>
      </w:r>
      <w:r w:rsidRPr="006C2217">
        <w:rPr>
          <w:rFonts w:eastAsia="Times New Roman" w:cstheme="minorHAnsi"/>
          <w:bCs/>
          <w:sz w:val="20"/>
          <w:szCs w:val="20"/>
          <w:lang w:eastAsia="fr-FR"/>
        </w:rPr>
        <w:t xml:space="preserve"> avec un total engagement notifié de </w:t>
      </w:r>
      <w:r>
        <w:rPr>
          <w:rFonts w:eastAsia="Times New Roman" w:cstheme="minorHAnsi"/>
          <w:bCs/>
          <w:sz w:val="20"/>
          <w:szCs w:val="20"/>
          <w:lang w:eastAsia="fr-FR"/>
        </w:rPr>
        <w:t>34,7</w:t>
      </w:r>
      <w:r w:rsidRPr="006C2217">
        <w:rPr>
          <w:rFonts w:eastAsia="Times New Roman" w:cstheme="minorHAnsi"/>
          <w:bCs/>
          <w:sz w:val="20"/>
          <w:szCs w:val="20"/>
          <w:lang w:eastAsia="fr-FR"/>
        </w:rPr>
        <w:t xml:space="preserve"> GDZD (</w:t>
      </w:r>
      <w:r>
        <w:rPr>
          <w:rFonts w:eastAsia="Times New Roman" w:cstheme="minorHAnsi"/>
          <w:bCs/>
          <w:sz w:val="20"/>
          <w:szCs w:val="20"/>
          <w:lang w:eastAsia="fr-FR"/>
        </w:rPr>
        <w:t>240</w:t>
      </w:r>
      <w:r w:rsidRPr="006C2217">
        <w:rPr>
          <w:rFonts w:eastAsia="Times New Roman" w:cstheme="minorHAnsi"/>
          <w:bCs/>
          <w:sz w:val="20"/>
          <w:szCs w:val="20"/>
          <w:lang w:eastAsia="fr-FR"/>
        </w:rPr>
        <w:t xml:space="preserve"> M€)</w:t>
      </w:r>
      <w:r>
        <w:rPr>
          <w:rFonts w:eastAsia="Times New Roman" w:cstheme="minorHAnsi"/>
          <w:bCs/>
          <w:sz w:val="20"/>
          <w:szCs w:val="20"/>
          <w:lang w:eastAsia="fr-FR"/>
        </w:rPr>
        <w:t>. SGA est la première banque privée du client. L</w:t>
      </w:r>
      <w:r w:rsidRPr="00626913">
        <w:rPr>
          <w:rFonts w:eastAsia="Times New Roman" w:cstheme="minorHAnsi"/>
          <w:bCs/>
          <w:sz w:val="20"/>
          <w:szCs w:val="20"/>
          <w:lang w:eastAsia="fr-FR"/>
        </w:rPr>
        <w:t xml:space="preserve">a part de TOSYALI dans les engagements B/BH de SGA </w:t>
      </w:r>
      <w:r>
        <w:rPr>
          <w:rFonts w:eastAsia="Times New Roman" w:cstheme="minorHAnsi"/>
          <w:bCs/>
          <w:sz w:val="20"/>
          <w:szCs w:val="20"/>
          <w:lang w:eastAsia="fr-FR"/>
        </w:rPr>
        <w:t xml:space="preserve">est de 10,38% et </w:t>
      </w:r>
      <w:r w:rsidRPr="00626913">
        <w:rPr>
          <w:rFonts w:eastAsia="Times New Roman" w:cstheme="minorHAnsi"/>
          <w:bCs/>
          <w:sz w:val="20"/>
          <w:szCs w:val="20"/>
          <w:lang w:eastAsia="fr-FR"/>
        </w:rPr>
        <w:t>devrait se stabiliser aux alentours des 12%</w:t>
      </w:r>
      <w:r>
        <w:rPr>
          <w:rFonts w:eastAsia="Times New Roman" w:cstheme="minorHAnsi"/>
          <w:bCs/>
          <w:sz w:val="20"/>
          <w:szCs w:val="20"/>
          <w:lang w:eastAsia="fr-FR"/>
        </w:rPr>
        <w:t xml:space="preserve"> avec la 3</w:t>
      </w:r>
      <w:r w:rsidRPr="00626913">
        <w:rPr>
          <w:rFonts w:eastAsia="Times New Roman" w:cstheme="minorHAnsi"/>
          <w:bCs/>
          <w:sz w:val="20"/>
          <w:szCs w:val="20"/>
          <w:vertAlign w:val="superscript"/>
          <w:lang w:eastAsia="fr-FR"/>
        </w:rPr>
        <w:t>ème</w:t>
      </w:r>
      <w:r>
        <w:rPr>
          <w:rFonts w:eastAsia="Times New Roman" w:cstheme="minorHAnsi"/>
          <w:bCs/>
          <w:sz w:val="20"/>
          <w:szCs w:val="20"/>
          <w:lang w:eastAsia="fr-FR"/>
        </w:rPr>
        <w:t xml:space="preserve"> tranche notifiée.</w:t>
      </w:r>
    </w:p>
    <w:p w14:paraId="786E3583" w14:textId="77777777" w:rsidR="005F3765" w:rsidRPr="006358E2" w:rsidRDefault="005F3765" w:rsidP="005F3765">
      <w:pPr>
        <w:pStyle w:val="Paragraphedeliste"/>
        <w:numPr>
          <w:ilvl w:val="0"/>
          <w:numId w:val="1"/>
        </w:numPr>
        <w:spacing w:after="0" w:line="276" w:lineRule="auto"/>
        <w:ind w:left="142" w:hanging="139"/>
        <w:jc w:val="both"/>
        <w:rPr>
          <w:rFonts w:eastAsia="Times New Roman" w:cstheme="minorHAnsi"/>
          <w:bCs/>
          <w:sz w:val="20"/>
          <w:szCs w:val="20"/>
          <w:lang w:eastAsia="fr-FR"/>
        </w:rPr>
      </w:pPr>
      <w:r>
        <w:rPr>
          <w:rFonts w:eastAsia="Times New Roman" w:cstheme="minorHAnsi"/>
          <w:bCs/>
          <w:sz w:val="20"/>
          <w:szCs w:val="20"/>
          <w:lang w:eastAsia="fr-FR"/>
        </w:rPr>
        <w:t xml:space="preserve">Premier PNB de la banque : </w:t>
      </w:r>
      <w:r w:rsidRPr="000D1F6D">
        <w:rPr>
          <w:rFonts w:eastAsia="Times New Roman" w:cstheme="minorHAnsi"/>
          <w:bCs/>
          <w:sz w:val="20"/>
          <w:szCs w:val="20"/>
          <w:lang w:eastAsia="fr-FR"/>
        </w:rPr>
        <w:t xml:space="preserve">7 M€ en 2023 (+54%) et une projection à 10 M€ sur 2024 si nous poursuivons la tendance </w:t>
      </w:r>
      <w:r>
        <w:rPr>
          <w:rFonts w:eastAsia="Times New Roman" w:cstheme="minorHAnsi"/>
          <w:bCs/>
          <w:sz w:val="20"/>
          <w:szCs w:val="20"/>
          <w:lang w:eastAsia="fr-FR"/>
        </w:rPr>
        <w:t>observée sur le</w:t>
      </w:r>
      <w:r w:rsidRPr="000D1F6D">
        <w:rPr>
          <w:rFonts w:eastAsia="Times New Roman" w:cstheme="minorHAnsi"/>
          <w:bCs/>
          <w:sz w:val="20"/>
          <w:szCs w:val="20"/>
          <w:lang w:eastAsia="fr-FR"/>
        </w:rPr>
        <w:t xml:space="preserve"> T1 (+40%).</w:t>
      </w:r>
    </w:p>
    <w:p w14:paraId="3707C858" w14:textId="77777777" w:rsidR="005F3765" w:rsidRPr="000748DF" w:rsidRDefault="005F3765" w:rsidP="005F3765">
      <w:pPr>
        <w:spacing w:after="0" w:line="240" w:lineRule="auto"/>
        <w:rPr>
          <w:rFonts w:eastAsia="Times New Roman" w:cstheme="minorHAnsi"/>
          <w:b/>
          <w:bCs/>
          <w:sz w:val="20"/>
          <w:szCs w:val="20"/>
          <w:u w:val="single"/>
          <w:lang w:eastAsia="fr-FR"/>
        </w:rPr>
      </w:pPr>
    </w:p>
    <w:p w14:paraId="409DA538" w14:textId="77777777" w:rsidR="005F3765" w:rsidRPr="006358E2" w:rsidRDefault="005F3765" w:rsidP="005F3765">
      <w:pPr>
        <w:spacing w:before="100" w:after="100" w:line="240" w:lineRule="auto"/>
        <w:rPr>
          <w:rFonts w:eastAsia="Times New Roman" w:cstheme="minorHAnsi"/>
          <w:b/>
          <w:bCs/>
          <w:color w:val="C00000"/>
          <w:sz w:val="20"/>
          <w:szCs w:val="20"/>
          <w:u w:val="single"/>
          <w:lang w:eastAsia="fr-FR"/>
        </w:rPr>
      </w:pPr>
      <w:r w:rsidRPr="000748DF">
        <w:rPr>
          <w:rFonts w:eastAsia="Times New Roman" w:cstheme="minorHAnsi"/>
          <w:b/>
          <w:bCs/>
          <w:color w:val="C00000"/>
          <w:sz w:val="20"/>
          <w:szCs w:val="20"/>
          <w:u w:val="single"/>
          <w:lang w:eastAsia="fr-FR"/>
        </w:rPr>
        <w:t>Sujets d’actualité et/ou points d’attention :</w:t>
      </w:r>
    </w:p>
    <w:p w14:paraId="7AD83998" w14:textId="77777777" w:rsidR="005F3765" w:rsidRPr="006358E2" w:rsidRDefault="005F3765" w:rsidP="005F3765">
      <w:pPr>
        <w:pStyle w:val="Paragraphedeliste"/>
        <w:numPr>
          <w:ilvl w:val="0"/>
          <w:numId w:val="1"/>
        </w:numPr>
        <w:spacing w:after="0" w:line="276" w:lineRule="auto"/>
        <w:ind w:left="142" w:hanging="139"/>
        <w:jc w:val="both"/>
        <w:rPr>
          <w:rFonts w:eastAsia="Times New Roman" w:cstheme="minorHAnsi"/>
          <w:bCs/>
          <w:sz w:val="20"/>
          <w:szCs w:val="20"/>
          <w:lang w:eastAsia="fr-FR"/>
        </w:rPr>
      </w:pPr>
      <w:r>
        <w:rPr>
          <w:rFonts w:eastAsia="Times New Roman" w:cstheme="minorHAnsi"/>
          <w:bCs/>
          <w:sz w:val="20"/>
          <w:szCs w:val="20"/>
          <w:lang w:eastAsia="fr-FR"/>
        </w:rPr>
        <w:t xml:space="preserve">Les sites industriels de Tosyali en Algérie ont été financés par trois syndications arrangées par la banque publique BEA. Le montant des trois syndications s’élève à 230Mrds DZD (1,5Mrds€). Le pool est constitué par les plus grandes banques publiques de la place, le Fonds souverain algérien et deux banques internationales (BNPP et SGA). Notre quotepart dans les trois syndications s’élève à 13,5Mrds DZD (90M€), soit 6% des syndication. C’est un exemple de partenariat public-privé encouragés par les pouvoirs publics. Dossier de </w:t>
      </w:r>
      <w:r w:rsidRPr="006358E2">
        <w:rPr>
          <w:rFonts w:eastAsia="Times New Roman" w:cstheme="minorHAnsi"/>
          <w:bCs/>
          <w:sz w:val="20"/>
          <w:szCs w:val="20"/>
          <w:lang w:eastAsia="fr-FR"/>
        </w:rPr>
        <w:t xml:space="preserve">renouvellement </w:t>
      </w:r>
      <w:r>
        <w:rPr>
          <w:rFonts w:eastAsia="Times New Roman" w:cstheme="minorHAnsi"/>
          <w:bCs/>
          <w:sz w:val="20"/>
          <w:szCs w:val="20"/>
          <w:lang w:eastAsia="fr-FR"/>
        </w:rPr>
        <w:t>à l’identique des lignes CT est introduit dans le circuit de validation.</w:t>
      </w:r>
    </w:p>
    <w:p w14:paraId="54267DC5" w14:textId="77777777" w:rsidR="005F3765" w:rsidRPr="006C2217" w:rsidRDefault="005F3765" w:rsidP="005F3765">
      <w:pPr>
        <w:pStyle w:val="Paragraphedeliste"/>
        <w:numPr>
          <w:ilvl w:val="0"/>
          <w:numId w:val="1"/>
        </w:numPr>
        <w:spacing w:after="0" w:line="276" w:lineRule="auto"/>
        <w:ind w:left="142" w:hanging="139"/>
        <w:jc w:val="both"/>
        <w:rPr>
          <w:rFonts w:eastAsia="Times New Roman" w:cstheme="minorHAnsi"/>
          <w:bCs/>
          <w:sz w:val="20"/>
          <w:szCs w:val="20"/>
          <w:lang w:eastAsia="fr-FR"/>
        </w:rPr>
      </w:pPr>
      <w:r w:rsidRPr="006C2217">
        <w:rPr>
          <w:rFonts w:eastAsia="Times New Roman" w:cstheme="minorHAnsi"/>
          <w:bCs/>
          <w:sz w:val="20"/>
          <w:szCs w:val="20"/>
          <w:lang w:eastAsia="fr-FR"/>
        </w:rPr>
        <w:t xml:space="preserve">Financement de l’écosystème, notamment les distributeurs, dans le cadre du Product Finance Programme « PFP », nous travaillons sur une première liste de </w:t>
      </w:r>
      <w:r>
        <w:rPr>
          <w:rFonts w:eastAsia="Times New Roman" w:cstheme="minorHAnsi"/>
          <w:bCs/>
          <w:sz w:val="20"/>
          <w:szCs w:val="20"/>
          <w:lang w:eastAsia="fr-FR"/>
        </w:rPr>
        <w:t>10</w:t>
      </w:r>
      <w:r w:rsidRPr="006C2217">
        <w:rPr>
          <w:rFonts w:eastAsia="Times New Roman" w:cstheme="minorHAnsi"/>
          <w:bCs/>
          <w:sz w:val="20"/>
          <w:szCs w:val="20"/>
          <w:lang w:eastAsia="fr-FR"/>
        </w:rPr>
        <w:t xml:space="preserve"> distributeurs.</w:t>
      </w:r>
    </w:p>
    <w:p w14:paraId="63B3CAA7" w14:textId="77777777" w:rsidR="005F3765" w:rsidRDefault="005F3765" w:rsidP="005F3765">
      <w:pPr>
        <w:pStyle w:val="Paragraphedeliste"/>
        <w:numPr>
          <w:ilvl w:val="0"/>
          <w:numId w:val="1"/>
        </w:numPr>
        <w:spacing w:after="0" w:line="276" w:lineRule="auto"/>
        <w:ind w:left="142" w:hanging="139"/>
        <w:jc w:val="both"/>
        <w:rPr>
          <w:rFonts w:eastAsia="Times New Roman" w:cstheme="minorHAnsi"/>
          <w:bCs/>
          <w:sz w:val="20"/>
          <w:szCs w:val="20"/>
          <w:lang w:eastAsia="fr-FR"/>
        </w:rPr>
      </w:pPr>
      <w:r>
        <w:rPr>
          <w:rFonts w:eastAsia="Times New Roman" w:cstheme="minorHAnsi"/>
          <w:bCs/>
          <w:sz w:val="20"/>
          <w:szCs w:val="20"/>
          <w:lang w:eastAsia="fr-FR"/>
        </w:rPr>
        <w:t>Signature d’un mandat de conseil financier pour accompagner le client à une levée d’un financement obligataire auprès des marchés financiers. S’agit d’une 1</w:t>
      </w:r>
      <w:r w:rsidRPr="005205BC">
        <w:rPr>
          <w:rFonts w:eastAsia="Times New Roman" w:cstheme="minorHAnsi"/>
          <w:bCs/>
          <w:sz w:val="20"/>
          <w:szCs w:val="20"/>
          <w:vertAlign w:val="superscript"/>
          <w:lang w:eastAsia="fr-FR"/>
        </w:rPr>
        <w:t>ère</w:t>
      </w:r>
      <w:r>
        <w:rPr>
          <w:rFonts w:eastAsia="Times New Roman" w:cstheme="minorHAnsi"/>
          <w:bCs/>
          <w:sz w:val="20"/>
          <w:szCs w:val="20"/>
          <w:lang w:eastAsia="fr-FR"/>
        </w:rPr>
        <w:t xml:space="preserve"> opération dans le cadre d’un programme sur trois ans pour lever à terme 50Mrds DZD sur le DCM.</w:t>
      </w:r>
    </w:p>
    <w:p w14:paraId="03724B94" w14:textId="77777777" w:rsidR="005F3765" w:rsidRDefault="005F3765" w:rsidP="005F3765">
      <w:pPr>
        <w:pStyle w:val="Paragraphedeliste"/>
        <w:numPr>
          <w:ilvl w:val="0"/>
          <w:numId w:val="1"/>
        </w:numPr>
        <w:spacing w:after="0" w:line="276" w:lineRule="auto"/>
        <w:ind w:left="142" w:hanging="139"/>
        <w:jc w:val="both"/>
        <w:rPr>
          <w:rFonts w:eastAsia="Times New Roman" w:cstheme="minorHAnsi"/>
          <w:bCs/>
          <w:sz w:val="20"/>
          <w:szCs w:val="20"/>
          <w:lang w:eastAsia="fr-FR"/>
        </w:rPr>
      </w:pPr>
      <w:r>
        <w:rPr>
          <w:rFonts w:eastAsia="Times New Roman" w:cstheme="minorHAnsi"/>
          <w:bCs/>
          <w:sz w:val="20"/>
          <w:szCs w:val="20"/>
          <w:lang w:eastAsia="fr-FR"/>
        </w:rPr>
        <w:t>Nous travaillons avec les lignes métiers GLBA sur différents projets : Production d’une unité de production d’Hydogène (NAT), projet de sécurisation du sourcing en minerais en Mauritanie (MMI), projet de préfinancement de minerais (SG Zurich), Projet d’un nouveau complexe au moyen orient (SG Turquie)</w:t>
      </w:r>
    </w:p>
    <w:p w14:paraId="52CA1740" w14:textId="77777777" w:rsidR="005F3765" w:rsidRDefault="005F3765" w:rsidP="005F3765">
      <w:pPr>
        <w:pStyle w:val="Paragraphedeliste"/>
        <w:numPr>
          <w:ilvl w:val="0"/>
          <w:numId w:val="1"/>
        </w:numPr>
        <w:spacing w:after="0" w:line="276" w:lineRule="auto"/>
        <w:ind w:left="142" w:hanging="139"/>
        <w:jc w:val="both"/>
        <w:rPr>
          <w:rFonts w:eastAsia="Times New Roman" w:cstheme="minorHAnsi"/>
          <w:bCs/>
          <w:sz w:val="20"/>
          <w:szCs w:val="20"/>
          <w:lang w:eastAsia="fr-FR"/>
        </w:rPr>
      </w:pPr>
      <w:r>
        <w:rPr>
          <w:rFonts w:eastAsia="Times New Roman" w:cstheme="minorHAnsi"/>
          <w:bCs/>
          <w:sz w:val="20"/>
          <w:szCs w:val="20"/>
          <w:lang w:eastAsia="fr-FR"/>
        </w:rPr>
        <w:t>Un CGR doit être organisé d’ici fin d’année pour organiser l’intervention des différentes lignes métier du Groupe pour ce client qui pourrait être topé « Client Stratégique » au vu du PNB généré de 7M€ à date, 10 M€ en projection 2024.</w:t>
      </w:r>
    </w:p>
    <w:p w14:paraId="2DEACBB7" w14:textId="77777777" w:rsidR="005F3765" w:rsidRPr="0058689C" w:rsidRDefault="005F3765" w:rsidP="005F3765">
      <w:pPr>
        <w:pStyle w:val="Paragraphedeliste"/>
        <w:numPr>
          <w:ilvl w:val="0"/>
          <w:numId w:val="1"/>
        </w:numPr>
        <w:spacing w:after="0" w:line="276" w:lineRule="auto"/>
        <w:ind w:left="142" w:hanging="139"/>
        <w:jc w:val="both"/>
        <w:rPr>
          <w:rFonts w:eastAsia="Times New Roman" w:cstheme="minorHAnsi"/>
          <w:bCs/>
          <w:sz w:val="20"/>
          <w:szCs w:val="20"/>
          <w:lang w:eastAsia="fr-FR"/>
        </w:rPr>
      </w:pPr>
      <w:r>
        <w:rPr>
          <w:rFonts w:eastAsia="Times New Roman" w:cstheme="minorHAnsi"/>
          <w:bCs/>
          <w:sz w:val="20"/>
          <w:szCs w:val="20"/>
          <w:lang w:eastAsia="fr-FR"/>
        </w:rPr>
        <w:t>Client ayant été présenté à Philippe Aymerich, connu d’Aymerich Arnaud et bien sur d’AFMO/DR</w:t>
      </w:r>
    </w:p>
    <w:p w14:paraId="1023C258" w14:textId="77777777" w:rsidR="008E6681" w:rsidRDefault="008E6681"/>
    <w:sectPr w:rsidR="008E668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CE679" w14:textId="77777777" w:rsidR="005F3765" w:rsidRDefault="005F3765" w:rsidP="005F3765">
      <w:pPr>
        <w:spacing w:after="0" w:line="240" w:lineRule="auto"/>
      </w:pPr>
      <w:r>
        <w:separator/>
      </w:r>
    </w:p>
  </w:endnote>
  <w:endnote w:type="continuationSeparator" w:id="0">
    <w:p w14:paraId="225328D7" w14:textId="77777777" w:rsidR="005F3765" w:rsidRDefault="005F3765" w:rsidP="005F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5718" w14:textId="286D1244" w:rsidR="005F3765" w:rsidRPr="005F3765" w:rsidRDefault="005F3765" w:rsidP="005F3765">
    <w:pPr>
      <w:pStyle w:val="Pieddepage"/>
      <w:jc w:val="right"/>
    </w:pPr>
    <w:fldSimple w:instr=" DOCPROPERTY bjFooterEvenPageDocProperty \* MERGEFORMAT " w:fldLock="1">
      <w:r w:rsidRPr="005F3765">
        <w:rPr>
          <w:rFonts w:ascii="Times New Roman" w:hAnsi="Times New Roman" w:cs="Times New Roman"/>
          <w:color w:val="000000"/>
          <w:sz w:val="24"/>
        </w:rPr>
        <w:t xml:space="preserve">Classification : </w:t>
      </w:r>
      <w:r w:rsidRPr="005F3765">
        <w:rPr>
          <w:rFonts w:ascii="Times New Roman" w:hAnsi="Times New Roman" w:cs="Times New Roman"/>
          <w:color w:val="00C000"/>
          <w:sz w:val="24"/>
        </w:rPr>
        <w:t>C0 - Public</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EA06" w14:textId="16B9B08A" w:rsidR="005F3765" w:rsidRPr="005F3765" w:rsidRDefault="005F3765" w:rsidP="005F3765">
    <w:pPr>
      <w:pStyle w:val="Pieddepage"/>
      <w:jc w:val="right"/>
    </w:pPr>
    <w:fldSimple w:instr=" DOCPROPERTY bjFooterBothDocProperty \* MERGEFORMAT " w:fldLock="1">
      <w:r w:rsidRPr="005F3765">
        <w:rPr>
          <w:rFonts w:ascii="Times New Roman" w:hAnsi="Times New Roman" w:cs="Times New Roman"/>
          <w:color w:val="000000"/>
          <w:sz w:val="24"/>
        </w:rPr>
        <w:t xml:space="preserve">Classification : </w:t>
      </w:r>
      <w:r w:rsidRPr="005F3765">
        <w:rPr>
          <w:rFonts w:ascii="Times New Roman" w:hAnsi="Times New Roman" w:cs="Times New Roman"/>
          <w:color w:val="00C000"/>
          <w:sz w:val="24"/>
        </w:rPr>
        <w:t>C0 - Public</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46FDF" w14:textId="10DB6FF1" w:rsidR="005F3765" w:rsidRPr="005F3765" w:rsidRDefault="005F3765" w:rsidP="005F3765">
    <w:pPr>
      <w:pStyle w:val="Pieddepage"/>
      <w:jc w:val="right"/>
    </w:pPr>
    <w:fldSimple w:instr=" DOCPROPERTY bjFooterFirstPageDocProperty \* MERGEFORMAT " w:fldLock="1">
      <w:r w:rsidRPr="005F3765">
        <w:rPr>
          <w:rFonts w:ascii="Times New Roman" w:hAnsi="Times New Roman" w:cs="Times New Roman"/>
          <w:color w:val="000000"/>
          <w:sz w:val="24"/>
        </w:rPr>
        <w:t xml:space="preserve">Classification : </w:t>
      </w:r>
      <w:r w:rsidRPr="005F3765">
        <w:rPr>
          <w:rFonts w:ascii="Times New Roman" w:hAnsi="Times New Roman" w:cs="Times New Roman"/>
          <w:color w:val="00C000"/>
          <w:sz w:val="24"/>
        </w:rPr>
        <w:t>C0 - Public</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7F68" w14:textId="77777777" w:rsidR="005F3765" w:rsidRDefault="005F3765" w:rsidP="005F3765">
      <w:pPr>
        <w:spacing w:after="0" w:line="240" w:lineRule="auto"/>
      </w:pPr>
      <w:r>
        <w:separator/>
      </w:r>
    </w:p>
  </w:footnote>
  <w:footnote w:type="continuationSeparator" w:id="0">
    <w:p w14:paraId="600988FB" w14:textId="77777777" w:rsidR="005F3765" w:rsidRDefault="005F3765" w:rsidP="005F3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AEAB" w14:textId="77777777" w:rsidR="005F3765" w:rsidRDefault="005F376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C4A1" w14:textId="77777777" w:rsidR="005F3765" w:rsidRDefault="005F376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89EF" w14:textId="77777777" w:rsidR="005F3765" w:rsidRDefault="005F37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30C"/>
    <w:multiLevelType w:val="hybridMultilevel"/>
    <w:tmpl w:val="D688B56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E5DB2"/>
    <w:multiLevelType w:val="hybridMultilevel"/>
    <w:tmpl w:val="1E8C6A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C7207B"/>
    <w:multiLevelType w:val="hybridMultilevel"/>
    <w:tmpl w:val="77849C6A"/>
    <w:lvl w:ilvl="0" w:tplc="8C8E9232">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4F0F38E5"/>
    <w:multiLevelType w:val="hybridMultilevel"/>
    <w:tmpl w:val="CB76195E"/>
    <w:lvl w:ilvl="0" w:tplc="578AACE8">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786"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15:restartNumberingAfterBreak="0">
    <w:nsid w:val="687D4614"/>
    <w:multiLevelType w:val="hybridMultilevel"/>
    <w:tmpl w:val="48BE31BC"/>
    <w:lvl w:ilvl="0" w:tplc="8C8E9232">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7A7371A3"/>
    <w:multiLevelType w:val="hybridMultilevel"/>
    <w:tmpl w:val="B63E1318"/>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16cid:durableId="1182158728">
    <w:abstractNumId w:val="0"/>
  </w:num>
  <w:num w:numId="2" w16cid:durableId="703483172">
    <w:abstractNumId w:val="2"/>
  </w:num>
  <w:num w:numId="3" w16cid:durableId="1203446886">
    <w:abstractNumId w:val="1"/>
  </w:num>
  <w:num w:numId="4" w16cid:durableId="1840929153">
    <w:abstractNumId w:val="5"/>
  </w:num>
  <w:num w:numId="5" w16cid:durableId="1148981478">
    <w:abstractNumId w:val="4"/>
  </w:num>
  <w:num w:numId="6" w16cid:durableId="1287933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65"/>
    <w:rsid w:val="0000571A"/>
    <w:rsid w:val="0000617C"/>
    <w:rsid w:val="00061CB1"/>
    <w:rsid w:val="00066480"/>
    <w:rsid w:val="00084D9C"/>
    <w:rsid w:val="000C047D"/>
    <w:rsid w:val="000D0119"/>
    <w:rsid w:val="000D3EF5"/>
    <w:rsid w:val="000E4F64"/>
    <w:rsid w:val="00123C1B"/>
    <w:rsid w:val="001465A6"/>
    <w:rsid w:val="001505C6"/>
    <w:rsid w:val="001571F2"/>
    <w:rsid w:val="001575A5"/>
    <w:rsid w:val="00160833"/>
    <w:rsid w:val="00174488"/>
    <w:rsid w:val="00176EEE"/>
    <w:rsid w:val="00187A2C"/>
    <w:rsid w:val="001912C6"/>
    <w:rsid w:val="001B2190"/>
    <w:rsid w:val="001E3E79"/>
    <w:rsid w:val="001F5D1E"/>
    <w:rsid w:val="002300B7"/>
    <w:rsid w:val="00255E24"/>
    <w:rsid w:val="00261468"/>
    <w:rsid w:val="00295364"/>
    <w:rsid w:val="002C3F39"/>
    <w:rsid w:val="002D7EE6"/>
    <w:rsid w:val="002E1ABF"/>
    <w:rsid w:val="002E1D62"/>
    <w:rsid w:val="003044FC"/>
    <w:rsid w:val="00343892"/>
    <w:rsid w:val="00391A58"/>
    <w:rsid w:val="00391DE8"/>
    <w:rsid w:val="003A444F"/>
    <w:rsid w:val="003A608B"/>
    <w:rsid w:val="003B1E34"/>
    <w:rsid w:val="003B744E"/>
    <w:rsid w:val="003C6F8E"/>
    <w:rsid w:val="003D1979"/>
    <w:rsid w:val="003D502F"/>
    <w:rsid w:val="003D6F99"/>
    <w:rsid w:val="0040397E"/>
    <w:rsid w:val="00406835"/>
    <w:rsid w:val="00407762"/>
    <w:rsid w:val="004217F1"/>
    <w:rsid w:val="00437B39"/>
    <w:rsid w:val="004408E9"/>
    <w:rsid w:val="00443B38"/>
    <w:rsid w:val="00464351"/>
    <w:rsid w:val="004727D5"/>
    <w:rsid w:val="00483AD2"/>
    <w:rsid w:val="00485377"/>
    <w:rsid w:val="004A6827"/>
    <w:rsid w:val="005205C7"/>
    <w:rsid w:val="005616D9"/>
    <w:rsid w:val="00565994"/>
    <w:rsid w:val="005A0FE9"/>
    <w:rsid w:val="005B2B22"/>
    <w:rsid w:val="005C0C5B"/>
    <w:rsid w:val="005F3765"/>
    <w:rsid w:val="006054BA"/>
    <w:rsid w:val="0062045B"/>
    <w:rsid w:val="006279F0"/>
    <w:rsid w:val="0063322A"/>
    <w:rsid w:val="00643DCB"/>
    <w:rsid w:val="006732BE"/>
    <w:rsid w:val="006806E0"/>
    <w:rsid w:val="00686F85"/>
    <w:rsid w:val="0069029C"/>
    <w:rsid w:val="006909BA"/>
    <w:rsid w:val="006B2949"/>
    <w:rsid w:val="006B39FD"/>
    <w:rsid w:val="006B447A"/>
    <w:rsid w:val="006E7E08"/>
    <w:rsid w:val="0071087F"/>
    <w:rsid w:val="007342C4"/>
    <w:rsid w:val="00734F27"/>
    <w:rsid w:val="00740794"/>
    <w:rsid w:val="007418AD"/>
    <w:rsid w:val="00760344"/>
    <w:rsid w:val="007844F8"/>
    <w:rsid w:val="00790B0B"/>
    <w:rsid w:val="007926A4"/>
    <w:rsid w:val="007962D3"/>
    <w:rsid w:val="007B0565"/>
    <w:rsid w:val="007B0B0B"/>
    <w:rsid w:val="007C510D"/>
    <w:rsid w:val="007D247E"/>
    <w:rsid w:val="007D6F32"/>
    <w:rsid w:val="007F40FE"/>
    <w:rsid w:val="00822952"/>
    <w:rsid w:val="0082653C"/>
    <w:rsid w:val="00837E31"/>
    <w:rsid w:val="00851194"/>
    <w:rsid w:val="00855EBB"/>
    <w:rsid w:val="00863CF7"/>
    <w:rsid w:val="008655CB"/>
    <w:rsid w:val="00880966"/>
    <w:rsid w:val="0088695C"/>
    <w:rsid w:val="008A1859"/>
    <w:rsid w:val="008C409F"/>
    <w:rsid w:val="008D061C"/>
    <w:rsid w:val="008E6681"/>
    <w:rsid w:val="0090264D"/>
    <w:rsid w:val="0092263E"/>
    <w:rsid w:val="00925C67"/>
    <w:rsid w:val="009479F7"/>
    <w:rsid w:val="0096536B"/>
    <w:rsid w:val="00987021"/>
    <w:rsid w:val="009F25FC"/>
    <w:rsid w:val="009F6F0B"/>
    <w:rsid w:val="00A03210"/>
    <w:rsid w:val="00A31C84"/>
    <w:rsid w:val="00A609FB"/>
    <w:rsid w:val="00A7088B"/>
    <w:rsid w:val="00A95C47"/>
    <w:rsid w:val="00AC2F9E"/>
    <w:rsid w:val="00AD53D7"/>
    <w:rsid w:val="00AF7960"/>
    <w:rsid w:val="00B02C85"/>
    <w:rsid w:val="00B12CAE"/>
    <w:rsid w:val="00B23F40"/>
    <w:rsid w:val="00B70D03"/>
    <w:rsid w:val="00B85ACA"/>
    <w:rsid w:val="00B933FA"/>
    <w:rsid w:val="00BA1E2E"/>
    <w:rsid w:val="00BA343A"/>
    <w:rsid w:val="00BB14DF"/>
    <w:rsid w:val="00BC0DD6"/>
    <w:rsid w:val="00BE38BC"/>
    <w:rsid w:val="00BE5CE5"/>
    <w:rsid w:val="00C02F56"/>
    <w:rsid w:val="00C03E12"/>
    <w:rsid w:val="00C36B39"/>
    <w:rsid w:val="00C621CC"/>
    <w:rsid w:val="00C7087D"/>
    <w:rsid w:val="00CB0ACF"/>
    <w:rsid w:val="00D02F8A"/>
    <w:rsid w:val="00D106F7"/>
    <w:rsid w:val="00D1093F"/>
    <w:rsid w:val="00D16491"/>
    <w:rsid w:val="00D17D40"/>
    <w:rsid w:val="00D30053"/>
    <w:rsid w:val="00D46448"/>
    <w:rsid w:val="00D81C03"/>
    <w:rsid w:val="00D97FE6"/>
    <w:rsid w:val="00DA030B"/>
    <w:rsid w:val="00DC5805"/>
    <w:rsid w:val="00DD4B56"/>
    <w:rsid w:val="00DE3557"/>
    <w:rsid w:val="00E04C84"/>
    <w:rsid w:val="00E172CA"/>
    <w:rsid w:val="00E5448C"/>
    <w:rsid w:val="00E605CA"/>
    <w:rsid w:val="00E62819"/>
    <w:rsid w:val="00E644FC"/>
    <w:rsid w:val="00EA0A93"/>
    <w:rsid w:val="00EC4760"/>
    <w:rsid w:val="00EC69A6"/>
    <w:rsid w:val="00ED186A"/>
    <w:rsid w:val="00F44B2A"/>
    <w:rsid w:val="00F56AFE"/>
    <w:rsid w:val="00F73748"/>
    <w:rsid w:val="00F762FF"/>
    <w:rsid w:val="00FA081F"/>
    <w:rsid w:val="00FA091E"/>
    <w:rsid w:val="00FC276D"/>
    <w:rsid w:val="00FD120E"/>
    <w:rsid w:val="00FD14F6"/>
    <w:rsid w:val="00FD196A"/>
    <w:rsid w:val="00FD40FC"/>
    <w:rsid w:val="00FE1466"/>
    <w:rsid w:val="00FE1B74"/>
    <w:rsid w:val="00FE69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5AD99"/>
  <w15:chartTrackingRefBased/>
  <w15:docId w15:val="{E0B1FE45-EE1B-424E-A1A0-48640B46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65"/>
    <w:rPr>
      <w:kern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3765"/>
    <w:pPr>
      <w:tabs>
        <w:tab w:val="center" w:pos="4536"/>
        <w:tab w:val="right" w:pos="9072"/>
      </w:tabs>
      <w:spacing w:after="0" w:line="240" w:lineRule="auto"/>
    </w:pPr>
  </w:style>
  <w:style w:type="character" w:customStyle="1" w:styleId="En-tteCar">
    <w:name w:val="En-tête Car"/>
    <w:basedOn w:val="Policepardfaut"/>
    <w:link w:val="En-tte"/>
    <w:uiPriority w:val="99"/>
    <w:rsid w:val="005F3765"/>
  </w:style>
  <w:style w:type="paragraph" w:styleId="Pieddepage">
    <w:name w:val="footer"/>
    <w:basedOn w:val="Normal"/>
    <w:link w:val="PieddepageCar"/>
    <w:uiPriority w:val="99"/>
    <w:unhideWhenUsed/>
    <w:rsid w:val="005F37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3765"/>
  </w:style>
  <w:style w:type="paragraph" w:styleId="Paragraphedeliste">
    <w:name w:val="List Paragraph"/>
    <w:aliases w:val="Titres à niveaux"/>
    <w:basedOn w:val="Normal"/>
    <w:link w:val="ParagraphedelisteCar"/>
    <w:uiPriority w:val="34"/>
    <w:qFormat/>
    <w:rsid w:val="005F3765"/>
    <w:pPr>
      <w:ind w:left="720"/>
      <w:contextualSpacing/>
    </w:pPr>
  </w:style>
  <w:style w:type="table" w:styleId="Grilledutableau">
    <w:name w:val="Table Grid"/>
    <w:basedOn w:val="TableauNormal"/>
    <w:uiPriority w:val="39"/>
    <w:rsid w:val="005F3765"/>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Titres à niveaux Car"/>
    <w:link w:val="Paragraphedeliste"/>
    <w:uiPriority w:val="34"/>
    <w:locked/>
    <w:rsid w:val="005F3765"/>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aa38b645-892d-41a4-8368-91faa0efce15" origin="defaultValue">
  <element uid="id_classification_nonbusiness" value=""/>
</sisl>
</file>

<file path=customXml/itemProps1.xml><?xml version="1.0" encoding="utf-8"?>
<ds:datastoreItem xmlns:ds="http://schemas.openxmlformats.org/officeDocument/2006/customXml" ds:itemID="{39F20EDB-7376-45CC-8008-C51451F7F01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1127</Words>
  <Characters>5693</Characters>
  <Application>Microsoft Office Word</Application>
  <DocSecurity>0</DocSecurity>
  <Lines>105</Lines>
  <Paragraphs>59</Paragraphs>
  <ScaleCrop>false</ScaleCrop>
  <Company>Societe Generale Algerie</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BOUYAKOUB Abderrahmane          SGA</dc:creator>
  <cp:keywords>C0 - Public</cp:keywords>
  <dc:description/>
  <cp:lastModifiedBy>BOUYAKOUB Abderrahmane          SGA</cp:lastModifiedBy>
  <cp:revision>1</cp:revision>
  <dcterms:created xsi:type="dcterms:W3CDTF">2024-10-08T13:21:00Z</dcterms:created>
  <dcterms:modified xsi:type="dcterms:W3CDTF">2024-10-08T13:22:00Z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1bc8d67d-e034-4efb-895e-8e1370f129bd</vt:lpwstr>
  </property>
  <property fmtid="{D5CDD505-2E9C-101B-9397-08002B2CF9AE}" pid="3" name="bjDocumentLabelXML">
    <vt:lpwstr>&lt;?xml version="1.0" encoding="us-ascii"?&gt;&lt;sisl xmlns:xsd="http://www.w3.org/2001/XMLSchema" xmlns:xsi="http://www.w3.org/2001/XMLSchema-instance" sislVersion="0" policy="aa38b645-892d-41a4-8368-91faa0efce15" origin="defaultValue" xmlns="http://www.boldonj</vt:lpwstr>
  </property>
  <property fmtid="{D5CDD505-2E9C-101B-9397-08002B2CF9AE}" pid="4" name="bjDocumentLabelXML-0">
    <vt:lpwstr>ames.com/2008/01/sie/internal/label"&gt;&lt;element uid="id_classification_nonbusiness" value="" /&gt;&lt;/sisl&gt;</vt:lpwstr>
  </property>
  <property fmtid="{D5CDD505-2E9C-101B-9397-08002B2CF9AE}" pid="5" name="bjDocumentSecurityLabel">
    <vt:lpwstr>C0 - Public</vt:lpwstr>
  </property>
  <property fmtid="{D5CDD505-2E9C-101B-9397-08002B2CF9AE}" pid="6" name="DLP trigger">
    <vt:lpwstr>[{C0}]</vt:lpwstr>
  </property>
  <property fmtid="{D5CDD505-2E9C-101B-9397-08002B2CF9AE}" pid="7" name="bjFooterBothDocProperty">
    <vt:lpwstr>Classification : C0 - Public</vt:lpwstr>
  </property>
  <property fmtid="{D5CDD505-2E9C-101B-9397-08002B2CF9AE}" pid="8" name="bjFooterFirstPageDocProperty">
    <vt:lpwstr>Classification : C0 - Public</vt:lpwstr>
  </property>
  <property fmtid="{D5CDD505-2E9C-101B-9397-08002B2CF9AE}" pid="9" name="bjFooterEvenPageDocProperty">
    <vt:lpwstr>Classification : C0 - Public</vt:lpwstr>
  </property>
  <property fmtid="{D5CDD505-2E9C-101B-9397-08002B2CF9AE}" pid="10" name="bjSaver">
    <vt:lpwstr>9NEj9csY4Q9+o4Xl7dOaIz2pv+cgQ924</vt:lpwstr>
  </property>
  <property fmtid="{D5CDD505-2E9C-101B-9397-08002B2CF9AE}" pid="11" name="MSIP_Label_eb992a7d-542b-44f7-8b4e-4a8cd39e7288_Enabled">
    <vt:lpwstr>true</vt:lpwstr>
  </property>
  <property fmtid="{D5CDD505-2E9C-101B-9397-08002B2CF9AE}" pid="12" name="MSIP_Label_eb992a7d-542b-44f7-8b4e-4a8cd39e7288_SetDate">
    <vt:lpwstr>2024-10-08T13:21:52Z</vt:lpwstr>
  </property>
  <property fmtid="{D5CDD505-2E9C-101B-9397-08002B2CF9AE}" pid="13" name="MSIP_Label_eb992a7d-542b-44f7-8b4e-4a8cd39e7288_Method">
    <vt:lpwstr>Standard</vt:lpwstr>
  </property>
  <property fmtid="{D5CDD505-2E9C-101B-9397-08002B2CF9AE}" pid="14" name="MSIP_Label_eb992a7d-542b-44f7-8b4e-4a8cd39e7288_Name">
    <vt:lpwstr>eb992a7d-542b-44f7-8b4e-4a8cd39e7288</vt:lpwstr>
  </property>
  <property fmtid="{D5CDD505-2E9C-101B-9397-08002B2CF9AE}" pid="15" name="MSIP_Label_eb992a7d-542b-44f7-8b4e-4a8cd39e7288_SiteId">
    <vt:lpwstr>a491f8c5-c721-4e53-b604-6f27e7e4565d</vt:lpwstr>
  </property>
  <property fmtid="{D5CDD505-2E9C-101B-9397-08002B2CF9AE}" pid="16" name="MSIP_Label_eb992a7d-542b-44f7-8b4e-4a8cd39e7288_ActionId">
    <vt:lpwstr>eabecc77-4cac-4401-8342-71c131b3f873</vt:lpwstr>
  </property>
  <property fmtid="{D5CDD505-2E9C-101B-9397-08002B2CF9AE}" pid="17" name="MSIP_Label_eb992a7d-542b-44f7-8b4e-4a8cd39e7288_ContentBits">
    <vt:lpwstr>0</vt:lpwstr>
  </property>
</Properties>
</file>