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370529087"/>
        <w:docPartObj>
          <w:docPartGallery w:val="Cover Pages"/>
          <w:docPartUnique/>
        </w:docPartObj>
      </w:sdtPr>
      <w:sdtEndPr>
        <w:rPr>
          <w:rFonts w:eastAsiaTheme="minorHAnsi"/>
          <w:kern w:val="2"/>
          <w:sz w:val="24"/>
          <w:szCs w:val="24"/>
          <w:lang w:eastAsia="en-US"/>
          <w14:ligatures w14:val="standardContextual"/>
        </w:rPr>
      </w:sdtEndPr>
      <w:sdtContent>
        <w:p w14:paraId="4B9C6A5B" w14:textId="7577188D" w:rsidR="00EB3E5A" w:rsidRDefault="00EB3E5A">
          <w:pPr>
            <w:pStyle w:val="Sansinterligne"/>
            <w:rPr>
              <w:sz w:val="2"/>
            </w:rPr>
          </w:pPr>
        </w:p>
        <w:p w14:paraId="4AA907E4" w14:textId="77777777" w:rsidR="00EB3E5A" w:rsidRDefault="00EB3E5A">
          <w:r>
            <w:rPr>
              <w:noProof/>
            </w:rPr>
            <mc:AlternateContent>
              <mc:Choice Requires="wps">
                <w:drawing>
                  <wp:anchor distT="0" distB="0" distL="114300" distR="114300" simplePos="0" relativeHeight="251661312" behindDoc="0" locked="0" layoutInCell="1" allowOverlap="1" wp14:anchorId="51A07FB5" wp14:editId="15502058">
                    <wp:simplePos x="0" y="0"/>
                    <wp:positionH relativeFrom="page">
                      <wp:align>center</wp:align>
                    </wp:positionH>
                    <wp:positionV relativeFrom="margin">
                      <wp:align>top</wp:align>
                    </wp:positionV>
                    <wp:extent cx="5943600" cy="914400"/>
                    <wp:effectExtent l="0" t="0" r="0" b="3810"/>
                    <wp:wrapNone/>
                    <wp:docPr id="62" name="Zone de text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EB3E5A">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AWY</w:t>
                                    </w:r>
                                  </w:sdtContent>
                                </w:sdt>
                                <w:r>
                                  <w:t xml:space="preserve"> </w:t>
                                </w:r>
                              </w:p>
                              <w:p w14:paraId="1C934A8E" w14:textId="77777777" w:rsidR="00EB3E5A" w:rsidRDefault="00EB3E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A07FB5" id="_x0000_t202" coordsize="21600,21600" o:spt="202" path="m,l,21600r21600,l21600,xe">
                    <v:stroke joinstyle="miter"/>
                    <v:path gradientshapeok="t" o:connecttype="rect"/>
                  </v:shapetype>
                  <v:shape id="Zone de texte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EB3E5A">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AWY</w:t>
                              </w:r>
                            </w:sdtContent>
                          </w:sdt>
                          <w:r>
                            <w:t xml:space="preserve"> </w:t>
                          </w:r>
                        </w:p>
                        <w:p w14:paraId="1C934A8E" w14:textId="77777777" w:rsidR="00EB3E5A" w:rsidRDefault="00EB3E5A"/>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DF57E6D" wp14:editId="0DFFE6C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14D8B9"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4434B5" wp14:editId="2CA6DF3E">
                    <wp:simplePos x="0" y="0"/>
                    <wp:positionH relativeFrom="page">
                      <wp:align>center</wp:align>
                    </wp:positionH>
                    <wp:positionV relativeFrom="margin">
                      <wp:align>bottom</wp:align>
                    </wp:positionV>
                    <wp:extent cx="5943600" cy="374904"/>
                    <wp:effectExtent l="0" t="0" r="0" b="2540"/>
                    <wp:wrapNone/>
                    <wp:docPr id="69" name="Zone de texte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4C4F0" w14:textId="3116F641" w:rsidR="00EB3E5A" w:rsidRDefault="00EB3E5A">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4434B5" id="Zone de texte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754C4F0" w14:textId="3116F641" w:rsidR="00EB3E5A" w:rsidRDefault="00EB3E5A">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v:textbox>
                    <w10:wrap anchorx="page" anchory="margin"/>
                  </v:shape>
                </w:pict>
              </mc:Fallback>
            </mc:AlternateContent>
          </w:r>
        </w:p>
        <w:p w14:paraId="13E77A9F" w14:textId="1F653408" w:rsidR="00EB3E5A" w:rsidRDefault="00EB3E5A">
          <w:r>
            <w:br w:type="page"/>
          </w:r>
        </w:p>
      </w:sdtContent>
    </w:sdt>
    <w:p w14:paraId="5A484513" w14:textId="38F48BAF" w:rsidR="00B94D37" w:rsidRDefault="00B94D37"/>
    <w:p w14:paraId="189F902B" w14:textId="77777777" w:rsidR="00B94D37" w:rsidRDefault="00B94D37">
      <w:r>
        <w:br w:type="page"/>
      </w:r>
    </w:p>
    <w:p w14:paraId="540E0577" w14:textId="605FA53F" w:rsidR="00EB3E5A" w:rsidRPr="00A1324B" w:rsidRDefault="00B94D37" w:rsidP="00B94D37">
      <w:pPr>
        <w:pStyle w:val="Titre1"/>
        <w:jc w:val="center"/>
        <w:rPr>
          <w:rFonts w:ascii="Garamond" w:hAnsi="Garamond"/>
          <w:b/>
          <w:bCs/>
          <w:color w:val="auto"/>
        </w:rPr>
      </w:pPr>
      <w:r w:rsidRPr="00A1324B">
        <w:rPr>
          <w:rFonts w:ascii="Garamond" w:hAnsi="Garamond"/>
          <w:b/>
          <w:bCs/>
          <w:color w:val="auto"/>
        </w:rPr>
        <w:lastRenderedPageBreak/>
        <w:t>Introduction</w:t>
      </w:r>
    </w:p>
    <w:p w14:paraId="1A5580DE" w14:textId="77777777" w:rsidR="00B94D37" w:rsidRPr="00B94D37" w:rsidRDefault="00B94D37" w:rsidP="00B94D37">
      <w:pPr>
        <w:rPr>
          <w:rFonts w:ascii="Garamond" w:hAnsi="Garamond"/>
        </w:rPr>
      </w:pPr>
      <w:proofErr w:type="spellStart"/>
      <w:r w:rsidRPr="00B94D37">
        <w:rPr>
          <w:rFonts w:ascii="Garamond" w:hAnsi="Garamond"/>
          <w:b/>
          <w:bCs/>
        </w:rPr>
        <w:t>MedX</w:t>
      </w:r>
      <w:proofErr w:type="spellEnd"/>
      <w:r w:rsidRPr="00B94D37">
        <w:rPr>
          <w:rFonts w:ascii="Garamond" w:hAnsi="Garamond"/>
        </w:rPr>
        <w:t xml:space="preserve"> est une plateforme de santé innovante conçue pour faciliter l’accès aux soins médicaux grâce aux technologies numériques. Elle propose un ensemble de services intégrés visant à simplifier le parcours de soin des patients tout en soutenant les professionnels de santé dans leur pratique quotidienne.</w:t>
      </w:r>
    </w:p>
    <w:p w14:paraId="5D3D9139" w14:textId="77777777" w:rsidR="00B94D37" w:rsidRPr="00B94D37" w:rsidRDefault="00B94D37" w:rsidP="00B94D37">
      <w:pPr>
        <w:rPr>
          <w:rFonts w:ascii="Garamond" w:hAnsi="Garamond"/>
        </w:rPr>
      </w:pPr>
      <w:r w:rsidRPr="00B94D37">
        <w:rPr>
          <w:rFonts w:ascii="Garamond" w:hAnsi="Garamond"/>
        </w:rPr>
        <w:t xml:space="preserve">Parmi ses principales fonctionnalités, </w:t>
      </w:r>
      <w:proofErr w:type="spellStart"/>
      <w:r w:rsidRPr="00B94D37">
        <w:rPr>
          <w:rFonts w:ascii="Garamond" w:hAnsi="Garamond"/>
        </w:rPr>
        <w:t>MedX</w:t>
      </w:r>
      <w:proofErr w:type="spellEnd"/>
      <w:r w:rsidRPr="00B94D37">
        <w:rPr>
          <w:rFonts w:ascii="Garamond" w:hAnsi="Garamond"/>
        </w:rPr>
        <w:t xml:space="preserve"> offre la possibilité de réaliser des téléconsultations médicales, permettant aux patients de consulter un médecin à distance, rapidement et en toute sécurité, sans avoir à se déplacer.</w:t>
      </w:r>
    </w:p>
    <w:p w14:paraId="1DF929FA" w14:textId="77777777" w:rsidR="00B94D37" w:rsidRPr="00B94D37" w:rsidRDefault="00B94D37" w:rsidP="00B94D37">
      <w:pPr>
        <w:rPr>
          <w:rFonts w:ascii="Garamond" w:hAnsi="Garamond"/>
        </w:rPr>
      </w:pPr>
      <w:r w:rsidRPr="00B94D37">
        <w:rPr>
          <w:rFonts w:ascii="Garamond" w:hAnsi="Garamond"/>
        </w:rPr>
        <w:t>La plateforme intègre également un système de gestion sécurisée des dossiers médicaux, garantissant la confidentialité des données de santé tout en assurant leur accessibilité aux professionnels autorisés. Cela favorise une meilleure coordination entre les différents acteurs du système de santé.</w:t>
      </w:r>
    </w:p>
    <w:p w14:paraId="7ACC0F5E" w14:textId="77777777" w:rsidR="00B94D37" w:rsidRPr="00B94D37" w:rsidRDefault="00B94D37" w:rsidP="00B94D37">
      <w:pPr>
        <w:rPr>
          <w:rFonts w:ascii="Garamond" w:hAnsi="Garamond"/>
        </w:rPr>
      </w:pPr>
      <w:r w:rsidRPr="00B94D37">
        <w:rPr>
          <w:rFonts w:ascii="Garamond" w:hAnsi="Garamond"/>
        </w:rPr>
        <w:t xml:space="preserve">Enfin, </w:t>
      </w:r>
      <w:proofErr w:type="spellStart"/>
      <w:r w:rsidRPr="00B94D37">
        <w:rPr>
          <w:rFonts w:ascii="Garamond" w:hAnsi="Garamond"/>
        </w:rPr>
        <w:t>MedX</w:t>
      </w:r>
      <w:proofErr w:type="spellEnd"/>
      <w:r w:rsidRPr="00B94D37">
        <w:rPr>
          <w:rFonts w:ascii="Garamond" w:hAnsi="Garamond"/>
        </w:rPr>
        <w:t xml:space="preserve"> permet le suivi des prescriptions médicales par les pharmacies, en assurant une transmission claire et instantanée des ordonnances, ce qui renforce la sécurité des traitements et facilite leur gestion pour les patients.</w:t>
      </w:r>
    </w:p>
    <w:p w14:paraId="01768828" w14:textId="77777777" w:rsidR="00B94D37" w:rsidRDefault="00B94D37" w:rsidP="00B94D37">
      <w:pPr>
        <w:rPr>
          <w:rFonts w:ascii="Garamond" w:hAnsi="Garamond"/>
        </w:rPr>
      </w:pPr>
      <w:r w:rsidRPr="00B94D37">
        <w:rPr>
          <w:rFonts w:ascii="Garamond" w:hAnsi="Garamond"/>
        </w:rPr>
        <w:t xml:space="preserve">Grâce à cette approche connectée, </w:t>
      </w:r>
      <w:proofErr w:type="spellStart"/>
      <w:r w:rsidRPr="00B94D37">
        <w:rPr>
          <w:rFonts w:ascii="Garamond" w:hAnsi="Garamond"/>
        </w:rPr>
        <w:t>MedX</w:t>
      </w:r>
      <w:proofErr w:type="spellEnd"/>
      <w:r w:rsidRPr="00B94D37">
        <w:rPr>
          <w:rFonts w:ascii="Garamond" w:hAnsi="Garamond"/>
        </w:rPr>
        <w:t xml:space="preserve"> ambitionne de moderniser l’accès aux soins et d’optimiser l’expérience santé pour tous.</w:t>
      </w:r>
    </w:p>
    <w:p w14:paraId="4F28A653" w14:textId="77777777" w:rsidR="00B94D37" w:rsidRPr="00B94D37" w:rsidRDefault="00B94D37" w:rsidP="00B94D37">
      <w:pPr>
        <w:rPr>
          <w:rFonts w:ascii="Garamond" w:hAnsi="Garamond"/>
        </w:rPr>
      </w:pPr>
      <w:r w:rsidRPr="00B94D37">
        <w:rPr>
          <w:rFonts w:ascii="Garamond" w:hAnsi="Garamond"/>
        </w:rPr>
        <w:t xml:space="preserve">Ce document présente la solution technique complète pour </w:t>
      </w:r>
      <w:proofErr w:type="spellStart"/>
      <w:r w:rsidRPr="00B94D37">
        <w:rPr>
          <w:rFonts w:ascii="Garamond" w:hAnsi="Garamond"/>
        </w:rPr>
        <w:t>MedX</w:t>
      </w:r>
      <w:proofErr w:type="spellEnd"/>
      <w:r w:rsidRPr="00B94D37">
        <w:rPr>
          <w:rFonts w:ascii="Garamond" w:hAnsi="Garamond"/>
        </w:rPr>
        <w:t>, incluant :</w:t>
      </w:r>
    </w:p>
    <w:p w14:paraId="6581AB3F" w14:textId="31DE1A8D" w:rsidR="00B94D37" w:rsidRPr="00B94D37" w:rsidRDefault="00B94D37" w:rsidP="00B94D37">
      <w:pPr>
        <w:numPr>
          <w:ilvl w:val="0"/>
          <w:numId w:val="2"/>
        </w:numPr>
        <w:rPr>
          <w:rFonts w:ascii="Garamond" w:hAnsi="Garamond"/>
        </w:rPr>
      </w:pPr>
      <w:r w:rsidRPr="00B94D37">
        <w:rPr>
          <w:rFonts w:ascii="Garamond" w:hAnsi="Garamond"/>
        </w:rPr>
        <w:t>L'architecture du système</w:t>
      </w:r>
    </w:p>
    <w:p w14:paraId="3A937BB6" w14:textId="77777777" w:rsidR="00B94D37" w:rsidRPr="00B94D37" w:rsidRDefault="00B94D37" w:rsidP="00B94D37">
      <w:pPr>
        <w:numPr>
          <w:ilvl w:val="0"/>
          <w:numId w:val="2"/>
        </w:numPr>
        <w:rPr>
          <w:rFonts w:ascii="Garamond" w:hAnsi="Garamond"/>
        </w:rPr>
      </w:pPr>
      <w:r w:rsidRPr="00B94D37">
        <w:rPr>
          <w:rFonts w:ascii="Garamond" w:hAnsi="Garamond"/>
        </w:rPr>
        <w:t>La conception détaillée des composants</w:t>
      </w:r>
    </w:p>
    <w:p w14:paraId="46FDB734" w14:textId="77777777" w:rsidR="00B94D37" w:rsidRPr="00B94D37" w:rsidRDefault="00B94D37" w:rsidP="00B94D37">
      <w:pPr>
        <w:numPr>
          <w:ilvl w:val="0"/>
          <w:numId w:val="2"/>
        </w:numPr>
        <w:rPr>
          <w:rFonts w:ascii="Garamond" w:hAnsi="Garamond"/>
        </w:rPr>
      </w:pPr>
      <w:r w:rsidRPr="00B94D37">
        <w:rPr>
          <w:rFonts w:ascii="Garamond" w:hAnsi="Garamond"/>
        </w:rPr>
        <w:t>Les stratégies de données et stockage</w:t>
      </w:r>
    </w:p>
    <w:p w14:paraId="0E6A27AD" w14:textId="77777777" w:rsidR="00B94D37" w:rsidRPr="00B94D37" w:rsidRDefault="00B94D37" w:rsidP="00B94D37">
      <w:pPr>
        <w:numPr>
          <w:ilvl w:val="0"/>
          <w:numId w:val="2"/>
        </w:numPr>
        <w:rPr>
          <w:rFonts w:ascii="Garamond" w:hAnsi="Garamond"/>
        </w:rPr>
      </w:pPr>
      <w:r w:rsidRPr="00B94D37">
        <w:rPr>
          <w:rFonts w:ascii="Garamond" w:hAnsi="Garamond"/>
        </w:rPr>
        <w:t>Les considérations de scalabilité et performance</w:t>
      </w:r>
    </w:p>
    <w:p w14:paraId="1980CCE6" w14:textId="218E322E" w:rsidR="00A1324B" w:rsidRDefault="00B94D37" w:rsidP="00B94D37">
      <w:pPr>
        <w:numPr>
          <w:ilvl w:val="0"/>
          <w:numId w:val="2"/>
        </w:numPr>
        <w:rPr>
          <w:rFonts w:ascii="Garamond" w:hAnsi="Garamond"/>
        </w:rPr>
      </w:pPr>
      <w:r w:rsidRPr="00B94D37">
        <w:rPr>
          <w:rFonts w:ascii="Garamond" w:hAnsi="Garamond"/>
        </w:rPr>
        <w:t>Les mesures de sécurité et conformité réglementaire</w:t>
      </w:r>
      <w:r w:rsidR="00A1324B">
        <w:rPr>
          <w:rFonts w:ascii="Garamond" w:hAnsi="Garamond"/>
        </w:rPr>
        <w:t>.</w:t>
      </w:r>
    </w:p>
    <w:p w14:paraId="6727E600" w14:textId="77777777" w:rsidR="00A1324B" w:rsidRDefault="00A1324B">
      <w:pPr>
        <w:rPr>
          <w:rFonts w:ascii="Garamond" w:hAnsi="Garamond"/>
        </w:rPr>
      </w:pPr>
      <w:r>
        <w:rPr>
          <w:rFonts w:ascii="Garamond" w:hAnsi="Garamond"/>
        </w:rPr>
        <w:br w:type="page"/>
      </w:r>
    </w:p>
    <w:p w14:paraId="09CD3C47" w14:textId="3E7B40A5" w:rsidR="00B94D37" w:rsidRDefault="00A1324B" w:rsidP="00A1324B">
      <w:pPr>
        <w:pStyle w:val="Titre2"/>
        <w:numPr>
          <w:ilvl w:val="0"/>
          <w:numId w:val="3"/>
        </w:numPr>
        <w:jc w:val="center"/>
        <w:rPr>
          <w:rFonts w:ascii="Garamond" w:hAnsi="Garamond"/>
          <w:b/>
          <w:bCs/>
          <w:color w:val="auto"/>
        </w:rPr>
      </w:pPr>
      <w:r w:rsidRPr="00A1324B">
        <w:rPr>
          <w:rFonts w:ascii="Garamond" w:hAnsi="Garamond"/>
          <w:b/>
          <w:bCs/>
          <w:color w:val="auto"/>
        </w:rPr>
        <w:lastRenderedPageBreak/>
        <w:t>Architecture Globale</w:t>
      </w:r>
    </w:p>
    <w:p w14:paraId="55F70C0B" w14:textId="45B49C9D" w:rsidR="00A1324B" w:rsidRPr="00A1324B" w:rsidRDefault="00A1324B" w:rsidP="00A1324B">
      <w:pPr>
        <w:pStyle w:val="Titre3"/>
        <w:numPr>
          <w:ilvl w:val="1"/>
          <w:numId w:val="3"/>
        </w:numPr>
        <w:rPr>
          <w:b/>
          <w:bCs/>
          <w:color w:val="auto"/>
        </w:rPr>
      </w:pPr>
      <w:r w:rsidRPr="00A1324B">
        <w:rPr>
          <w:b/>
          <w:bCs/>
          <w:color w:val="auto"/>
        </w:rPr>
        <w:t>Vu d’ensemble du sy</w:t>
      </w:r>
      <w:r>
        <w:rPr>
          <w:b/>
          <w:bCs/>
          <w:color w:val="auto"/>
        </w:rPr>
        <w:t>s</w:t>
      </w:r>
      <w:r w:rsidRPr="00A1324B">
        <w:rPr>
          <w:b/>
          <w:bCs/>
          <w:color w:val="auto"/>
        </w:rPr>
        <w:t>tème</w:t>
      </w:r>
    </w:p>
    <w:p w14:paraId="104AD033" w14:textId="6650F0EA" w:rsidR="00B94D37" w:rsidRDefault="00C56CE3" w:rsidP="00B94D37">
      <w:pPr>
        <w:rPr>
          <w:rFonts w:ascii="Garamond" w:hAnsi="Garamond"/>
        </w:rPr>
      </w:pPr>
      <w:r>
        <w:rPr>
          <w:rFonts w:ascii="Garamond" w:hAnsi="Garamond"/>
        </w:rPr>
        <w:t>Le diagramme ci-dessous présente l’application dans son en</w:t>
      </w:r>
      <w:r w:rsidR="0064384B">
        <w:rPr>
          <w:rFonts w:ascii="Garamond" w:hAnsi="Garamond"/>
        </w:rPr>
        <w:t>semble, présentant ainsi comment elle fonction et les différents composant essentielles à son fonctionnement</w:t>
      </w:r>
    </w:p>
    <w:p w14:paraId="41275052" w14:textId="0BD3DFC2" w:rsidR="0064384B" w:rsidRDefault="0064384B" w:rsidP="00B94D37">
      <w:pPr>
        <w:rPr>
          <w:rFonts w:ascii="Garamond" w:hAnsi="Garamond"/>
        </w:rPr>
      </w:pPr>
      <w:r>
        <w:rPr>
          <w:rFonts w:ascii="Garamond" w:hAnsi="Garamond"/>
          <w:noProof/>
        </w:rPr>
        <w:drawing>
          <wp:inline distT="0" distB="0" distL="0" distR="0" wp14:anchorId="5A3BDADC" wp14:editId="41673156">
            <wp:extent cx="5760720" cy="4549140"/>
            <wp:effectExtent l="0" t="0" r="0" b="3810"/>
            <wp:docPr id="2103768812" name="Image 1" descr="Une image contenant texte, diagramme, capture d’écra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68812" name="Image 1" descr="Une image contenant texte, diagramme, capture d’écran, Plan"/>
                    <pic:cNvPicPr/>
                  </pic:nvPicPr>
                  <pic:blipFill>
                    <a:blip r:embed="rId6">
                      <a:extLst>
                        <a:ext uri="{28A0092B-C50C-407E-A947-70E740481C1C}">
                          <a14:useLocalDpi xmlns:a14="http://schemas.microsoft.com/office/drawing/2010/main" val="0"/>
                        </a:ext>
                      </a:extLst>
                    </a:blip>
                    <a:stretch>
                      <a:fillRect/>
                    </a:stretch>
                  </pic:blipFill>
                  <pic:spPr>
                    <a:xfrm>
                      <a:off x="0" y="0"/>
                      <a:ext cx="5760720" cy="4549140"/>
                    </a:xfrm>
                    <a:prstGeom prst="rect">
                      <a:avLst/>
                    </a:prstGeom>
                  </pic:spPr>
                </pic:pic>
              </a:graphicData>
            </a:graphic>
          </wp:inline>
        </w:drawing>
      </w:r>
    </w:p>
    <w:p w14:paraId="5DB598C8" w14:textId="14D032BE" w:rsidR="0064384B" w:rsidRPr="00B94D37" w:rsidRDefault="0064384B" w:rsidP="0064384B">
      <w:pPr>
        <w:pStyle w:val="Lgende"/>
        <w:rPr>
          <w:rFonts w:ascii="Garamond" w:hAnsi="Garamond"/>
        </w:rPr>
      </w:pPr>
      <w:r w:rsidRPr="0064384B">
        <w:rPr>
          <w:rFonts w:ascii="Garamond" w:hAnsi="Garamond"/>
          <w:b/>
          <w:bCs/>
          <w:i w:val="0"/>
          <w:iCs w:val="0"/>
          <w:sz w:val="22"/>
          <w:szCs w:val="22"/>
        </w:rPr>
        <w:t xml:space="preserve">Figure </w:t>
      </w:r>
      <w:r w:rsidRPr="0064384B">
        <w:rPr>
          <w:rFonts w:ascii="Garamond" w:hAnsi="Garamond"/>
          <w:b/>
          <w:bCs/>
          <w:i w:val="0"/>
          <w:iCs w:val="0"/>
          <w:sz w:val="22"/>
          <w:szCs w:val="22"/>
        </w:rPr>
        <w:fldChar w:fldCharType="begin"/>
      </w:r>
      <w:r w:rsidRPr="0064384B">
        <w:rPr>
          <w:rFonts w:ascii="Garamond" w:hAnsi="Garamond"/>
          <w:b/>
          <w:bCs/>
          <w:i w:val="0"/>
          <w:iCs w:val="0"/>
          <w:sz w:val="22"/>
          <w:szCs w:val="22"/>
        </w:rPr>
        <w:instrText xml:space="preserve"> SEQ Figure \* ARABIC </w:instrText>
      </w:r>
      <w:r w:rsidRPr="0064384B">
        <w:rPr>
          <w:rFonts w:ascii="Garamond" w:hAnsi="Garamond"/>
          <w:b/>
          <w:bCs/>
          <w:i w:val="0"/>
          <w:iCs w:val="0"/>
          <w:sz w:val="22"/>
          <w:szCs w:val="22"/>
        </w:rPr>
        <w:fldChar w:fldCharType="separate"/>
      </w:r>
      <w:r w:rsidRPr="0064384B">
        <w:rPr>
          <w:rFonts w:ascii="Garamond" w:hAnsi="Garamond"/>
          <w:b/>
          <w:bCs/>
          <w:i w:val="0"/>
          <w:iCs w:val="0"/>
          <w:noProof/>
          <w:sz w:val="22"/>
          <w:szCs w:val="22"/>
        </w:rPr>
        <w:t>1</w:t>
      </w:r>
      <w:r w:rsidRPr="0064384B">
        <w:rPr>
          <w:rFonts w:ascii="Garamond" w:hAnsi="Garamond"/>
          <w:b/>
          <w:bCs/>
          <w:i w:val="0"/>
          <w:iCs w:val="0"/>
          <w:sz w:val="22"/>
          <w:szCs w:val="22"/>
        </w:rPr>
        <w:fldChar w:fldCharType="end"/>
      </w:r>
      <w:r w:rsidRPr="0064384B">
        <w:rPr>
          <w:i w:val="0"/>
          <w:iCs w:val="0"/>
        </w:rPr>
        <w:t>:</w:t>
      </w:r>
      <w:r>
        <w:t xml:space="preserve">  Architecture globale de MEDX</w:t>
      </w:r>
    </w:p>
    <w:sectPr w:rsidR="0064384B" w:rsidRPr="00B94D37" w:rsidSect="00EB3E5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14BA6"/>
    <w:multiLevelType w:val="multilevel"/>
    <w:tmpl w:val="AB1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44B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B20D42"/>
    <w:multiLevelType w:val="multilevel"/>
    <w:tmpl w:val="803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901798">
    <w:abstractNumId w:val="2"/>
  </w:num>
  <w:num w:numId="2" w16cid:durableId="1781992368">
    <w:abstractNumId w:val="0"/>
  </w:num>
  <w:num w:numId="3" w16cid:durableId="401559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5A"/>
    <w:rsid w:val="0064384B"/>
    <w:rsid w:val="00A1324B"/>
    <w:rsid w:val="00B94D37"/>
    <w:rsid w:val="00BB3FBB"/>
    <w:rsid w:val="00C56CE3"/>
    <w:rsid w:val="00EB3E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FFEA"/>
  <w15:chartTrackingRefBased/>
  <w15:docId w15:val="{6C130D6C-5AB6-4542-ABE7-E2729DD8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3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3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B3E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3E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3E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3E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3E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3E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3E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3E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3E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B3E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3E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3E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3E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3E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3E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3E5A"/>
    <w:rPr>
      <w:rFonts w:eastAsiaTheme="majorEastAsia" w:cstheme="majorBidi"/>
      <w:color w:val="272727" w:themeColor="text1" w:themeTint="D8"/>
    </w:rPr>
  </w:style>
  <w:style w:type="paragraph" w:styleId="Titre">
    <w:name w:val="Title"/>
    <w:basedOn w:val="Normal"/>
    <w:next w:val="Normal"/>
    <w:link w:val="TitreCar"/>
    <w:uiPriority w:val="10"/>
    <w:qFormat/>
    <w:rsid w:val="00EB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E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3E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3E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3E5A"/>
    <w:pPr>
      <w:spacing w:before="160"/>
      <w:jc w:val="center"/>
    </w:pPr>
    <w:rPr>
      <w:i/>
      <w:iCs/>
      <w:color w:val="404040" w:themeColor="text1" w:themeTint="BF"/>
    </w:rPr>
  </w:style>
  <w:style w:type="character" w:customStyle="1" w:styleId="CitationCar">
    <w:name w:val="Citation Car"/>
    <w:basedOn w:val="Policepardfaut"/>
    <w:link w:val="Citation"/>
    <w:uiPriority w:val="29"/>
    <w:rsid w:val="00EB3E5A"/>
    <w:rPr>
      <w:i/>
      <w:iCs/>
      <w:color w:val="404040" w:themeColor="text1" w:themeTint="BF"/>
    </w:rPr>
  </w:style>
  <w:style w:type="paragraph" w:styleId="Paragraphedeliste">
    <w:name w:val="List Paragraph"/>
    <w:basedOn w:val="Normal"/>
    <w:uiPriority w:val="34"/>
    <w:qFormat/>
    <w:rsid w:val="00EB3E5A"/>
    <w:pPr>
      <w:ind w:left="720"/>
      <w:contextualSpacing/>
    </w:pPr>
  </w:style>
  <w:style w:type="character" w:styleId="Accentuationintense">
    <w:name w:val="Intense Emphasis"/>
    <w:basedOn w:val="Policepardfaut"/>
    <w:uiPriority w:val="21"/>
    <w:qFormat/>
    <w:rsid w:val="00EB3E5A"/>
    <w:rPr>
      <w:i/>
      <w:iCs/>
      <w:color w:val="0F4761" w:themeColor="accent1" w:themeShade="BF"/>
    </w:rPr>
  </w:style>
  <w:style w:type="paragraph" w:styleId="Citationintense">
    <w:name w:val="Intense Quote"/>
    <w:basedOn w:val="Normal"/>
    <w:next w:val="Normal"/>
    <w:link w:val="CitationintenseCar"/>
    <w:uiPriority w:val="30"/>
    <w:qFormat/>
    <w:rsid w:val="00EB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3E5A"/>
    <w:rPr>
      <w:i/>
      <w:iCs/>
      <w:color w:val="0F4761" w:themeColor="accent1" w:themeShade="BF"/>
    </w:rPr>
  </w:style>
  <w:style w:type="character" w:styleId="Rfrenceintense">
    <w:name w:val="Intense Reference"/>
    <w:basedOn w:val="Policepardfaut"/>
    <w:uiPriority w:val="32"/>
    <w:qFormat/>
    <w:rsid w:val="00EB3E5A"/>
    <w:rPr>
      <w:b/>
      <w:bCs/>
      <w:smallCaps/>
      <w:color w:val="0F4761" w:themeColor="accent1" w:themeShade="BF"/>
      <w:spacing w:val="5"/>
    </w:rPr>
  </w:style>
  <w:style w:type="paragraph" w:styleId="Sansinterligne">
    <w:name w:val="No Spacing"/>
    <w:link w:val="SansinterligneCar"/>
    <w:uiPriority w:val="1"/>
    <w:qFormat/>
    <w:rsid w:val="00EB3E5A"/>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EB3E5A"/>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64384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2D8EC-EE01-4D61-8264-740E2B72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4</Pages>
  <Words>273</Words>
  <Characters>1502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medx Healthcare system design</vt:lpstr>
    </vt:vector>
  </TitlesOfParts>
  <Company>SUPINFO</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medx Healthcare system design</dc:title>
  <dc:subject>AWY</dc:subject>
  <dc:creator>Abdoul Waris KONATE</dc:creator>
  <cp:keywords/>
  <dc:description/>
  <cp:lastModifiedBy>Abdoul Waris KONATE</cp:lastModifiedBy>
  <cp:revision>2</cp:revision>
  <dcterms:created xsi:type="dcterms:W3CDTF">2025-10-13T19:42:00Z</dcterms:created>
  <dcterms:modified xsi:type="dcterms:W3CDTF">2025-10-14T18:42:00Z</dcterms:modified>
  <cp:category>5DESI</cp:category>
</cp:coreProperties>
</file>