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880E4F"/>
          <w:sz w:val="64"/>
        </w:rPr>
        <w:t>CAMPUSCONNECT AUS</w:t>
      </w:r>
    </w:p>
    <w:p>
      <w:pPr>
        <w:spacing w:after="800"/>
        <w:jc w:val="center"/>
      </w:pPr>
      <w:r>
        <w:rPr>
          <w:color w:val="00B0FF"/>
          <w:sz w:val="28"/>
        </w:rPr>
        <w:t>Unified Intelligent Mobile Campus Platform</w:t>
        <w:br/>
        <w:t>System Requirements &amp; Project Overview</w:t>
      </w:r>
    </w:p>
    <w:p>
      <w:pPr>
        <w:spacing w:before="3200" w:line="312" w:lineRule="auto"/>
        <w:jc w:val="center"/>
      </w:pPr>
      <w:r>
        <w:rPr>
          <w:color w:val="555555"/>
          <w:sz w:val="22"/>
        </w:rPr>
        <w:t>Course Requirement: Academic Software Engineering Project</w:t>
        <w:br/>
        <w:t>Assignment Group: Group 11</w:t>
        <w:br/>
        <w:t>Campus Code: CAM-AUS-11</w:t>
        <w:br/>
        <w:t>Lead Software Systems Engineer: Abdullahi Abba Ahmad</w:t>
        <w:br/>
        <w:t>Matriculation Identifier: FCP/CIT/22/1000</w:t>
        <w:br/>
        <w:t>Date: June 2026</w:t>
        <w:br/>
        <w:t>Version: 1.0.0</w:t>
      </w:r>
    </w:p>
    <w:p>
      <w:r>
        <w:br w:type="page"/>
      </w:r>
    </w:p>
    <w:p>
      <w:pPr>
        <w:keepNext/>
        <w:spacing w:before="360" w:after="120"/>
      </w:pPr>
      <w:r>
        <w:rPr>
          <w:rFonts w:ascii="Arial" w:hAnsi="Arial"/>
          <w:b/>
          <w:color w:val="880E4F"/>
          <w:sz w:val="36"/>
        </w:rPr>
        <w:t>2. Project Overview</w:t>
      </w:r>
    </w:p>
    <w:p>
      <w:pPr>
        <w:keepNext/>
        <w:spacing w:before="280" w:after="80"/>
      </w:pPr>
      <w:r>
        <w:rPr>
          <w:rFonts w:ascii="Arial" w:hAnsi="Arial"/>
          <w:b/>
          <w:color w:val="880E4F"/>
          <w:sz w:val="28"/>
        </w:rPr>
        <w:t>What is CampusConnect AUS</w:t>
      </w:r>
    </w:p>
    <w:p>
      <w:pPr>
        <w:spacing w:after="120" w:line="276" w:lineRule="auto"/>
      </w:pPr>
      <w:r>
        <w:t>CampusConnect AUS is an advanced, cross-platform mobile application designed specifically to streamline communication, maximize academic collaboration, enhance user safety, and provide resilient access to essential campus micro-services within a university ecosystem. Developed using the Flutter framework, the platform establishes a centralized digital hub targeting Android and iOS environments from a single, deterministic codebase. By bridging real-time infrastructure with local-first data layers, CampusConnect AUS delivers critical functionalities including messaging, navigation, scheduling, and emergency alerts—irrespective of direct internet access quality.</w:t>
      </w:r>
    </w:p>
    <w:p>
      <w:pPr>
        <w:keepNext/>
        <w:spacing w:before="280" w:after="80"/>
      </w:pPr>
      <w:r>
        <w:rPr>
          <w:rFonts w:ascii="Arial" w:hAnsi="Arial"/>
          <w:b/>
          <w:color w:val="880E4F"/>
          <w:sz w:val="28"/>
        </w:rPr>
        <w:t>Problem Statement</w:t>
      </w:r>
    </w:p>
    <w:p>
      <w:pPr>
        <w:spacing w:after="120" w:line="276" w:lineRule="auto"/>
      </w:pPr>
      <w:r>
        <w:t>Modern university demographics suffer from extreme platform fragmentation. Academic updates, group discussions, facility maps, second-hand trade, and safety channels are typically distributed across disconnected commercial utilities (e.g., WhatsApp, Discord, Slack, physical bulletin boards, and non-mobile legacy web portals). This structural disjointedness results in severe operational inefficiencies: critical institutional announcements go unread, peer-to-peer knowledge transfers fail, security risks remain unmitigated during on-campus emergencies, and academic collaboration is stymied by asynchronous, unaligned student calendars. Furthermore, heavily localized cellular coverage blackouts on campus frequently leave students detached from vital services precisely when real-time updates are critical.</w:t>
      </w:r>
    </w:p>
    <w:p>
      <w:pPr>
        <w:keepNext/>
        <w:spacing w:before="280" w:after="80"/>
      </w:pPr>
      <w:r>
        <w:rPr>
          <w:rFonts w:ascii="Arial" w:hAnsi="Arial"/>
          <w:b/>
          <w:color w:val="880E4F"/>
          <w:sz w:val="28"/>
        </w:rPr>
        <w:t>Proposed Solution</w:t>
      </w:r>
    </w:p>
    <w:p>
      <w:pPr>
        <w:spacing w:after="120" w:line="276" w:lineRule="auto"/>
      </w:pPr>
      <w:r>
        <w:t>CampusConnect AUS solves this systemic fragmentation by combining diverse student workflows into a highly coherent, secure mobile environment. Architected around Clean Architecture conventions, a robust Repository Pattern, and a reactive state container (Riverpod), the solution offers real-time client-backend coordination backed by automatic SQLite local-first storage. The application ensures that all interactions—ranging from instant communication within technical study circles to immediate SOS location broadcasting—are executed reliably. By anchoring development to strict software engineering metrics, the system brings an intuitive, high-performance toolkit designed exclusively for the localized pressures of student life.</w:t>
      </w:r>
    </w:p>
    <w:p>
      <w:pPr>
        <w:keepNext/>
        <w:spacing w:before="360" w:after="120"/>
      </w:pPr>
      <w:r>
        <w:rPr>
          <w:rFonts w:ascii="Arial" w:hAnsi="Arial"/>
          <w:b/>
          <w:color w:val="880E4F"/>
          <w:sz w:val="36"/>
        </w:rPr>
        <w:t>3. Project Objectives</w:t>
      </w:r>
    </w:p>
    <w:p>
      <w:pPr>
        <w:spacing w:after="120" w:line="276" w:lineRule="auto"/>
      </w:pPr>
      <w:r>
        <w:t>The foundational objectives guiding the design and execution of Group 11's implementation are:</w:t>
      </w:r>
    </w:p>
    <w:p>
      <w:pPr>
        <w:pStyle w:val="ListBullet"/>
        <w:spacing w:after="60" w:line="276" w:lineRule="auto"/>
      </w:pPr>
      <w:r>
        <w:rPr>
          <w:b/>
        </w:rPr>
        <w:t xml:space="preserve">Centralized Communications: </w:t>
      </w:r>
      <w:r>
        <w:t>To establish a consolidated, highly responsive digital touchpoint connecting students, organizations, and administrative units.</w:t>
      </w:r>
    </w:p>
    <w:p>
      <w:pPr>
        <w:pStyle w:val="ListBullet"/>
        <w:spacing w:after="60" w:line="276" w:lineRule="auto"/>
      </w:pPr>
      <w:r>
        <w:rPr>
          <w:b/>
        </w:rPr>
        <w:t xml:space="preserve">Offline Resilience: </w:t>
      </w:r>
      <w:r>
        <w:t>To mitigate connectivity risks by implementing an offline-first storage and synchronization pipeline using embedded SQLite engines.</w:t>
      </w:r>
    </w:p>
    <w:p>
      <w:pPr>
        <w:pStyle w:val="ListBullet"/>
        <w:spacing w:after="60" w:line="276" w:lineRule="auto"/>
      </w:pPr>
      <w:r>
        <w:rPr>
          <w:b/>
        </w:rPr>
        <w:t xml:space="preserve">Academic Optimization: </w:t>
      </w:r>
      <w:r>
        <w:t>To lower administrative friction by providing automated cross-schedule analysis tools to optimize matching within study circles.</w:t>
      </w:r>
    </w:p>
    <w:p>
      <w:pPr>
        <w:pStyle w:val="ListBullet"/>
        <w:spacing w:after="60" w:line="276" w:lineRule="auto"/>
      </w:pPr>
      <w:r>
        <w:rPr>
          <w:b/>
        </w:rPr>
        <w:t xml:space="preserve">Accountable Commerce: </w:t>
      </w:r>
      <w:r>
        <w:t>To introduce a structured marketplace mechanism bounded by secure QR-code meetup handshakes to minimize transactional fraud.</w:t>
      </w:r>
    </w:p>
    <w:p>
      <w:pPr>
        <w:pStyle w:val="ListBullet"/>
        <w:spacing w:after="60" w:line="276" w:lineRule="auto"/>
      </w:pPr>
      <w:r>
        <w:rPr>
          <w:b/>
        </w:rPr>
        <w:t xml:space="preserve">Proactive Safety: </w:t>
      </w:r>
      <w:r>
        <w:t>To protect the student body via a high-priority, zero-latency emergency alert subsystem with multi-phase escalation hooks.</w:t>
      </w:r>
    </w:p>
    <w:p>
      <w:pPr>
        <w:keepNext/>
        <w:spacing w:before="360" w:after="120"/>
      </w:pPr>
      <w:r>
        <w:rPr>
          <w:rFonts w:ascii="Arial" w:hAnsi="Arial"/>
          <w:b/>
          <w:color w:val="880E4F"/>
          <w:sz w:val="36"/>
        </w:rPr>
        <w:t>4. Project Scope</w:t>
      </w:r>
    </w:p>
    <w:p>
      <w:pPr>
        <w:spacing w:after="120" w:line="276" w:lineRule="auto"/>
      </w:pPr>
      <w:r>
        <w:t>The system scope focuses exclusively on mobile client operations and its supporting infrastructure endpoints bound to the API root path `/api/v2/aus/`. Administrative controls are provided via specific roles inside the application interface to govern users, parse emergency data logs, moderate commerce tables, and deploy push bulletins.</w:t>
      </w:r>
    </w:p>
    <w:tbl>
      <w:tblPr>
        <w:tblW w:type="auto" w:w="0"/>
        <w:jc w:val="center"/>
        <w:tblLayout w:type="fixed"/>
        <w:tblLook w:firstColumn="1" w:firstRow="1" w:lastColumn="0" w:lastRow="0" w:noHBand="0" w:noVBand="1" w:val="04A0"/>
      </w:tblPr>
      <w:tblGrid>
        <w:gridCol w:w="9360"/>
      </w:tblGrid>
      <w:tr>
        <w:tc>
          <w:tcPr>
            <w:tcW w:type="dxa" w:w="9360"/>
            <w:shd w:fill="FBE9E7"/>
            <w:tcMar>
              <w:top w:w="140" w:type="dxa"/>
              <w:bottom w:w="140" w:type="dxa"/>
              <w:left w:w="200" w:type="dxa"/>
              <w:right w:w="200" w:type="dxa"/>
            </w:tcMar>
            <w:tcBorders>
              <w:left w:val="single" w:sz="24" w:space="0" w:color="880E4F"/>
              <w:top w:val="none"/>
              <w:bottom w:val="none"/>
              <w:right w:val="none"/>
            </w:tcBorders>
          </w:tcPr>
          <w:p>
            <w:pPr>
              <w:spacing w:before="0" w:after="0" w:line="276" w:lineRule="auto"/>
            </w:pPr>
            <w:r>
              <w:rPr>
                <w:rFonts w:ascii="Arial" w:hAnsi="Arial"/>
                <w:i/>
                <w:color w:val="550022"/>
                <w:sz w:val="21"/>
              </w:rPr>
              <w:t>CRITICAL BOUNDARY: CampusConnect AUS does not replace official university management systems such as formal student registration portals, enterprise examination grading structures, or main financial bursary platforms.</w:t>
            </w:r>
          </w:p>
        </w:tc>
      </w:tr>
    </w:tbl>
    <w:p/>
    <w:p>
      <w:pPr>
        <w:keepNext/>
        <w:spacing w:before="360" w:after="120"/>
      </w:pPr>
      <w:r>
        <w:rPr>
          <w:rFonts w:ascii="Arial" w:hAnsi="Arial"/>
          <w:b/>
          <w:color w:val="880E4F"/>
          <w:sz w:val="36"/>
        </w:rPr>
        <w:t>5. User Roles</w:t>
      </w:r>
    </w:p>
    <w:p>
      <w:pPr>
        <w:spacing w:after="120" w:line="276" w:lineRule="auto"/>
      </w:pPr>
      <w:r>
        <w:t>The system architecture models permissions and security domains using two strictly isolated roles:</w:t>
      </w:r>
    </w:p>
    <w:p>
      <w:pPr>
        <w:keepNext/>
        <w:spacing w:before="280" w:after="80"/>
      </w:pPr>
      <w:r>
        <w:rPr>
          <w:rFonts w:ascii="Arial" w:hAnsi="Arial"/>
          <w:b/>
          <w:color w:val="880E4F"/>
          <w:sz w:val="28"/>
        </w:rPr>
        <w:t>Student</w:t>
      </w:r>
    </w:p>
    <w:p>
      <w:pPr>
        <w:spacing w:after="120" w:line="276" w:lineRule="auto"/>
      </w:pPr>
      <w:r>
        <w:t>An authenticated undergraduate or postgraduate user executing operations through standard app instances. Authorized interactions include:</w:t>
      </w:r>
    </w:p>
    <w:p>
      <w:pPr>
        <w:pStyle w:val="ListBullet"/>
        <w:spacing w:after="60" w:line="276" w:lineRule="auto"/>
      </w:pPr>
      <w:r>
        <w:t>Managing personalized academic, biographic, and availability configurations.</w:t>
      </w:r>
    </w:p>
    <w:p>
      <w:pPr>
        <w:pStyle w:val="ListBullet"/>
        <w:spacing w:after="60" w:line="276" w:lineRule="auto"/>
      </w:pPr>
      <w:r>
        <w:t>Initiating one-to-one or group text streams inside study nodes.</w:t>
      </w:r>
    </w:p>
    <w:p>
      <w:pPr>
        <w:pStyle w:val="ListBullet"/>
        <w:spacing w:after="60" w:line="276" w:lineRule="auto"/>
      </w:pPr>
      <w:r>
        <w:t>Querying geographic vectors, building maps, and location overlays via OpenStreetMap views.</w:t>
      </w:r>
    </w:p>
    <w:p>
      <w:pPr>
        <w:pStyle w:val="ListBullet"/>
        <w:spacing w:after="60" w:line="276" w:lineRule="auto"/>
      </w:pPr>
      <w:r>
        <w:t>Populating or browsing the campus second-hand trading catalog.</w:t>
      </w:r>
    </w:p>
    <w:p>
      <w:pPr>
        <w:pStyle w:val="ListBullet"/>
        <w:spacing w:after="60" w:line="276" w:lineRule="auto"/>
      </w:pPr>
      <w:r>
        <w:t>Configuring fallback contacts and dispatching geo-tagged SOS streams.</w:t>
      </w:r>
    </w:p>
    <w:p>
      <w:pPr>
        <w:keepNext/>
        <w:spacing w:before="280" w:after="80"/>
      </w:pPr>
      <w:r>
        <w:rPr>
          <w:rFonts w:ascii="Arial" w:hAnsi="Arial"/>
          <w:b/>
          <w:color w:val="880E4F"/>
          <w:sz w:val="28"/>
        </w:rPr>
        <w:t>Admin</w:t>
      </w:r>
    </w:p>
    <w:p>
      <w:pPr>
        <w:spacing w:after="120" w:line="276" w:lineRule="auto"/>
      </w:pPr>
      <w:r>
        <w:t>An elevated authority user tasked with managing system integrity and deploying institutional announcements. Authorized interactions include:</w:t>
      </w:r>
    </w:p>
    <w:p>
      <w:pPr>
        <w:pStyle w:val="ListBullet"/>
        <w:spacing w:after="60" w:line="276" w:lineRule="auto"/>
      </w:pPr>
      <w:r>
        <w:t>Executing CRUD processes against global user collection indexes.</w:t>
      </w:r>
    </w:p>
    <w:p>
      <w:pPr>
        <w:pStyle w:val="ListBullet"/>
        <w:spacing w:after="60" w:line="276" w:lineRule="auto"/>
      </w:pPr>
      <w:r>
        <w:t>Drafting and releasing campus-wide events and real-time banner announcements.</w:t>
      </w:r>
    </w:p>
    <w:p>
      <w:pPr>
        <w:pStyle w:val="ListBullet"/>
        <w:spacing w:after="60" w:line="276" w:lineRule="auto"/>
      </w:pPr>
      <w:r>
        <w:t>Monitoring operational dashboards for open emergency flags.</w:t>
      </w:r>
    </w:p>
    <w:p>
      <w:pPr>
        <w:pStyle w:val="ListBullet"/>
        <w:spacing w:after="60" w:line="276" w:lineRule="auto"/>
      </w:pPr>
      <w:r>
        <w:t>Flagging and scrubbing non-compliant, fraudulent, or unsafe marketplace listings.</w:t>
      </w:r>
    </w:p>
    <w:p>
      <w:pPr>
        <w:keepNext/>
        <w:spacing w:before="360" w:after="120"/>
      </w:pPr>
      <w:r>
        <w:rPr>
          <w:rFonts w:ascii="Arial" w:hAnsi="Arial"/>
          <w:b/>
          <w:color w:val="880E4F"/>
          <w:sz w:val="36"/>
        </w:rPr>
        <w:t>6. System Modules</w:t>
      </w:r>
    </w:p>
    <w:p>
      <w:pPr>
        <w:keepNext/>
        <w:spacing w:before="280" w:after="80"/>
      </w:pPr>
      <w:r>
        <w:rPr>
          <w:rFonts w:ascii="Arial" w:hAnsi="Arial"/>
          <w:b/>
          <w:color w:val="880E4F"/>
          <w:sz w:val="28"/>
        </w:rPr>
        <w:t>Authentication</w:t>
      </w:r>
    </w:p>
    <w:p>
      <w:pPr>
        <w:spacing w:after="120" w:line="276" w:lineRule="auto"/>
      </w:pPr>
      <w:r>
        <w:t>Governs identity validation via Firebase Authentication integrated with local biometric hardware hooks (FaceID/TouchID tokens). Supports multi-environment fallback via MockAuthRepository layers.</w:t>
      </w:r>
    </w:p>
    <w:p>
      <w:pPr>
        <w:keepNext/>
        <w:spacing w:before="280" w:after="80"/>
      </w:pPr>
      <w:r>
        <w:rPr>
          <w:rFonts w:ascii="Arial" w:hAnsi="Arial"/>
          <w:b/>
          <w:color w:val="880E4F"/>
          <w:sz w:val="28"/>
        </w:rPr>
        <w:t>Messaging</w:t>
      </w:r>
    </w:p>
    <w:p>
      <w:pPr>
        <w:spacing w:after="120" w:line="276" w:lineRule="auto"/>
      </w:pPr>
      <w:r>
        <w:t>Provides real-time bidirectional message distribution through Cloud Firestore. Includes typing indicators, receipt states, and message persistence. Governed by a critical 2-minute mutation limit.</w:t>
      </w:r>
    </w:p>
    <w:p>
      <w:pPr>
        <w:keepNext/>
        <w:spacing w:before="280" w:after="80"/>
      </w:pPr>
      <w:r>
        <w:rPr>
          <w:rFonts w:ascii="Arial" w:hAnsi="Arial"/>
          <w:b/>
          <w:color w:val="880E4F"/>
          <w:sz w:val="28"/>
        </w:rPr>
        <w:t>Location Services</w:t>
      </w:r>
    </w:p>
    <w:p>
      <w:pPr>
        <w:spacing w:after="120" w:line="276" w:lineRule="auto"/>
      </w:pPr>
      <w:r>
        <w:t>Utilizes the Geolocator plugin to derive client positioning. Renders high-performance, offline-cached map segments using OpenStreetMap vector asset pipelines (flutter_map).</w:t>
      </w:r>
    </w:p>
    <w:p>
      <w:pPr>
        <w:keepNext/>
        <w:spacing w:before="280" w:after="80"/>
      </w:pPr>
      <w:r>
        <w:rPr>
          <w:rFonts w:ascii="Arial" w:hAnsi="Arial"/>
          <w:b/>
          <w:color w:val="880E4F"/>
          <w:sz w:val="28"/>
        </w:rPr>
        <w:t>Notifications</w:t>
      </w:r>
    </w:p>
    <w:p>
      <w:pPr>
        <w:spacing w:after="120" w:line="276" w:lineRule="auto"/>
      </w:pPr>
      <w:r>
        <w:t>Dispatches asynchronous high-priority payloads through Firebase Cloud Messaging (FCM). Handles message routing, emergency sound overrides, and targeted announcement banners.</w:t>
      </w:r>
    </w:p>
    <w:p>
      <w:pPr>
        <w:keepNext/>
        <w:spacing w:before="280" w:after="80"/>
      </w:pPr>
      <w:r>
        <w:rPr>
          <w:rFonts w:ascii="Arial" w:hAnsi="Arial"/>
          <w:b/>
          <w:color w:val="880E4F"/>
          <w:sz w:val="28"/>
        </w:rPr>
        <w:t>Offline Support</w:t>
      </w:r>
    </w:p>
    <w:p>
      <w:pPr>
        <w:spacing w:after="120" w:line="276" w:lineRule="auto"/>
      </w:pPr>
      <w:r>
        <w:t>A core architectural layer embedding SQLite. Intercepts outgoing queries during connectivity loss, logging outbound updates inside an atomic Offline Queue for transactional playback upon network restoration.</w:t>
      </w:r>
    </w:p>
    <w:p>
      <w:pPr>
        <w:keepNext/>
        <w:spacing w:before="280" w:after="80"/>
      </w:pPr>
      <w:r>
        <w:rPr>
          <w:rFonts w:ascii="Arial" w:hAnsi="Arial"/>
          <w:b/>
          <w:color w:val="880E4F"/>
          <w:sz w:val="28"/>
        </w:rPr>
        <w:t>Smart Scheduling</w:t>
      </w:r>
    </w:p>
    <w:p>
      <w:pPr>
        <w:spacing w:after="120" w:line="276" w:lineRule="auto"/>
      </w:pPr>
      <w:r>
        <w:t>Analyzes sparse weekly multi-student availability blocks. Computes overlapping free windows using bitwise matrix alignment routines to match optimal study windows.</w:t>
      </w:r>
    </w:p>
    <w:p>
      <w:pPr>
        <w:keepNext/>
        <w:spacing w:before="280" w:after="80"/>
      </w:pPr>
      <w:r>
        <w:rPr>
          <w:rFonts w:ascii="Arial" w:hAnsi="Arial"/>
          <w:b/>
          <w:color w:val="880E4F"/>
          <w:sz w:val="28"/>
        </w:rPr>
        <w:t>Study Groups</w:t>
      </w:r>
    </w:p>
    <w:p>
      <w:pPr>
        <w:spacing w:after="120" w:line="276" w:lineRule="auto"/>
      </w:pPr>
      <w:r>
        <w:t>Facilitates user-formed collaborative circles. Links dynamic group creation mechanics automatically with specialized high-volume Firestore chat streams.</w:t>
      </w:r>
    </w:p>
    <w:p>
      <w:pPr>
        <w:keepNext/>
        <w:spacing w:before="280" w:after="80"/>
      </w:pPr>
      <w:r>
        <w:rPr>
          <w:rFonts w:ascii="Arial" w:hAnsi="Arial"/>
          <w:b/>
          <w:color w:val="880E4F"/>
          <w:sz w:val="28"/>
        </w:rPr>
        <w:t>Marketplace</w:t>
      </w:r>
    </w:p>
    <w:p>
      <w:pPr>
        <w:spacing w:after="120" w:line="276" w:lineRule="auto"/>
      </w:pPr>
      <w:r>
        <w:t>An internal distributed e-commerce canvas sorted by custom category taxonomies. Validates transaction handshakes and final item delivery physically using cryptographic QR-code verification tags.</w:t>
      </w:r>
    </w:p>
    <w:p>
      <w:pPr>
        <w:keepNext/>
        <w:spacing w:before="280" w:after="80"/>
      </w:pPr>
      <w:r>
        <w:rPr>
          <w:rFonts w:ascii="Arial" w:hAnsi="Arial"/>
          <w:b/>
          <w:color w:val="880E4F"/>
          <w:sz w:val="28"/>
        </w:rPr>
        <w:t>Emergency Alerts</w:t>
      </w:r>
    </w:p>
    <w:p>
      <w:pPr>
        <w:spacing w:after="120" w:line="276" w:lineRule="auto"/>
      </w:pPr>
      <w:r>
        <w:t>A mission-critical utility that instantiates a configurable countdown timer upon activation, automatically dispatching localized GPS telemetry to pre-configured fallback vectors when the timer expires.</w:t>
      </w:r>
    </w:p>
    <w:p>
      <w:pPr>
        <w:keepNext/>
        <w:spacing w:before="280" w:after="80"/>
      </w:pPr>
      <w:r>
        <w:rPr>
          <w:rFonts w:ascii="Arial" w:hAnsi="Arial"/>
          <w:b/>
          <w:color w:val="880E4F"/>
          <w:sz w:val="28"/>
        </w:rPr>
        <w:t>Events</w:t>
      </w:r>
    </w:p>
    <w:p>
      <w:pPr>
        <w:spacing w:after="120" w:line="276" w:lineRule="auto"/>
      </w:pPr>
      <w:r>
        <w:t>An administrative node providing structural timelines, interactive schedules, and group reminders regarding institutional, departmental, or club events.</w:t>
      </w:r>
    </w:p>
    <w:p>
      <w:pPr>
        <w:keepNext/>
        <w:spacing w:before="280" w:after="80"/>
      </w:pPr>
      <w:r>
        <w:rPr>
          <w:rFonts w:ascii="Arial" w:hAnsi="Arial"/>
          <w:b/>
          <w:color w:val="880E4F"/>
          <w:sz w:val="28"/>
        </w:rPr>
        <w:t>Announcements</w:t>
      </w:r>
    </w:p>
    <w:p>
      <w:pPr>
        <w:spacing w:after="120" w:line="276" w:lineRule="auto"/>
      </w:pPr>
      <w:r>
        <w:t>A read-only broad broadcast interface providing official administrative items directly to the client's home dashboard with guaranteed push delivery.</w:t>
      </w:r>
    </w:p>
    <w:p>
      <w:pPr>
        <w:keepNext/>
        <w:spacing w:before="360" w:after="120"/>
      </w:pPr>
      <w:r>
        <w:rPr>
          <w:rFonts w:ascii="Arial" w:hAnsi="Arial"/>
          <w:b/>
          <w:color w:val="880E4F"/>
          <w:sz w:val="36"/>
        </w:rPr>
        <w:t>7. Functional Requirements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1440"/>
            <w:shd w:fill="880E4F"/>
            <w:tcMar>
              <w:top w:w="120" w:type="dxa"/>
              <w:bottom w:w="120" w:type="dxa"/>
              <w:left w:w="150" w:type="dxa"/>
              <w:right w:w="150" w:type="dxa"/>
            </w:tcMar>
            <w:vAlign w:val="center"/>
          </w:tcPr>
          <w:p>
            <w:pPr>
              <w:jc w:val="left"/>
            </w:pPr>
            <w:r>
              <w:rPr>
                <w:b/>
                <w:color w:val="FFFFFF"/>
                <w:sz w:val="20"/>
              </w:rPr>
              <w:t>ID</w:t>
            </w:r>
          </w:p>
        </w:tc>
        <w:tc>
          <w:tcPr>
            <w:tcW w:type="dxa" w:w="2160"/>
            <w:shd w:fill="880E4F"/>
            <w:tcMar>
              <w:top w:w="120" w:type="dxa"/>
              <w:bottom w:w="120" w:type="dxa"/>
              <w:left w:w="150" w:type="dxa"/>
              <w:right w:w="150" w:type="dxa"/>
            </w:tcMar>
            <w:vAlign w:val="center"/>
          </w:tcPr>
          <w:p>
            <w:pPr>
              <w:jc w:val="left"/>
            </w:pPr>
            <w:r>
              <w:rPr>
                <w:b/>
                <w:color w:val="FFFFFF"/>
                <w:sz w:val="20"/>
              </w:rPr>
              <w:t>Module / Feature</w:t>
            </w:r>
          </w:p>
        </w:tc>
        <w:tc>
          <w:tcPr>
            <w:tcW w:type="dxa" w:w="5760"/>
            <w:shd w:fill="880E4F"/>
            <w:tcMar>
              <w:top w:w="120" w:type="dxa"/>
              <w:bottom w:w="120" w:type="dxa"/>
              <w:left w:w="150" w:type="dxa"/>
              <w:right w:w="150" w:type="dxa"/>
            </w:tcMar>
            <w:vAlign w:val="center"/>
          </w:tcPr>
          <w:p>
            <w:pPr>
              <w:jc w:val="left"/>
            </w:pPr>
            <w:r>
              <w:rPr>
                <w:b/>
                <w:color w:val="FFFFFF"/>
                <w:sz w:val="20"/>
              </w:rPr>
              <w:t>Functional Requirement Description</w:t>
            </w:r>
          </w:p>
        </w:tc>
      </w:tr>
      <w:tr>
        <w:tc>
          <w:tcPr>
            <w:tcW w:type="dxa" w:w="1440"/>
            <w:tcMar>
              <w:top w:w="90" w:type="dxa"/>
              <w:bottom w:w="90" w:type="dxa"/>
              <w:left w:w="120" w:type="dxa"/>
              <w:right w:w="120" w:type="dxa"/>
            </w:tcMar>
            <w:vAlign w:val="center"/>
          </w:tcPr>
          <w:p>
            <w:pPr>
              <w:spacing w:line="276" w:lineRule="auto" w:after="0"/>
            </w:pPr>
            <w:r>
              <w:rPr>
                <w:b/>
                <w:sz w:val="19"/>
              </w:rPr>
              <w:t>FR-001</w:t>
            </w:r>
          </w:p>
        </w:tc>
        <w:tc>
          <w:tcPr>
            <w:tcW w:type="dxa" w:w="2160"/>
            <w:tcMar>
              <w:top w:w="90" w:type="dxa"/>
              <w:bottom w:w="90" w:type="dxa"/>
              <w:left w:w="120" w:type="dxa"/>
              <w:right w:w="120" w:type="dxa"/>
            </w:tcMar>
            <w:vAlign w:val="center"/>
          </w:tcPr>
          <w:p>
            <w:pPr>
              <w:spacing w:line="276" w:lineRule="auto" w:after="0"/>
            </w:pPr>
            <w:r>
              <w:rPr>
                <w:sz w:val="19"/>
              </w:rPr>
              <w:t>Authentication</w:t>
            </w:r>
          </w:p>
        </w:tc>
        <w:tc>
          <w:tcPr>
            <w:tcW w:type="dxa" w:w="5760"/>
            <w:tcMar>
              <w:top w:w="90" w:type="dxa"/>
              <w:bottom w:w="90" w:type="dxa"/>
              <w:left w:w="120" w:type="dxa"/>
              <w:right w:w="120" w:type="dxa"/>
            </w:tcMar>
            <w:vAlign w:val="center"/>
          </w:tcPr>
          <w:p>
            <w:pPr>
              <w:spacing w:line="276" w:lineRule="auto" w:after="0"/>
            </w:pPr>
            <w:r>
              <w:rPr>
                <w:sz w:val="19"/>
              </w:rPr>
              <w:t>The system shall validate student registration exclusively using verified institutional domains.</w:t>
            </w:r>
          </w:p>
        </w:tc>
      </w:tr>
      <w:tr>
        <w:tc>
          <w:tcPr>
            <w:tcW w:type="dxa" w:w="1440"/>
            <w:tcMar>
              <w:top w:w="90" w:type="dxa"/>
              <w:bottom w:w="90" w:type="dxa"/>
              <w:left w:w="120" w:type="dxa"/>
              <w:right w:w="120" w:type="dxa"/>
            </w:tcMar>
            <w:vAlign w:val="center"/>
          </w:tcPr>
          <w:p>
            <w:pPr>
              <w:spacing w:line="276" w:lineRule="auto" w:after="0"/>
            </w:pPr>
            <w:r>
              <w:rPr>
                <w:b/>
                <w:sz w:val="19"/>
              </w:rPr>
              <w:t>FR-002</w:t>
            </w:r>
          </w:p>
        </w:tc>
        <w:tc>
          <w:tcPr>
            <w:tcW w:type="dxa" w:w="2160"/>
            <w:tcMar>
              <w:top w:w="90" w:type="dxa"/>
              <w:bottom w:w="90" w:type="dxa"/>
              <w:left w:w="120" w:type="dxa"/>
              <w:right w:w="120" w:type="dxa"/>
            </w:tcMar>
            <w:vAlign w:val="center"/>
          </w:tcPr>
          <w:p>
            <w:pPr>
              <w:spacing w:line="276" w:lineRule="auto" w:after="0"/>
            </w:pPr>
            <w:r>
              <w:rPr>
                <w:sz w:val="19"/>
              </w:rPr>
              <w:t>Authentication</w:t>
            </w:r>
          </w:p>
        </w:tc>
        <w:tc>
          <w:tcPr>
            <w:tcW w:type="dxa" w:w="5760"/>
            <w:tcMar>
              <w:top w:w="90" w:type="dxa"/>
              <w:bottom w:w="90" w:type="dxa"/>
              <w:left w:w="120" w:type="dxa"/>
              <w:right w:w="120" w:type="dxa"/>
            </w:tcMar>
            <w:vAlign w:val="center"/>
          </w:tcPr>
          <w:p>
            <w:pPr>
              <w:spacing w:line="276" w:lineRule="auto" w:after="0"/>
            </w:pPr>
            <w:r>
              <w:rPr>
                <w:sz w:val="19"/>
              </w:rPr>
              <w:t>The platform must support local biometric validation requests utilizing secure device tokens.</w:t>
            </w:r>
          </w:p>
        </w:tc>
      </w:tr>
      <w:tr>
        <w:tc>
          <w:tcPr>
            <w:tcW w:type="dxa" w:w="1440"/>
            <w:tcMar>
              <w:top w:w="90" w:type="dxa"/>
              <w:bottom w:w="90" w:type="dxa"/>
              <w:left w:w="120" w:type="dxa"/>
              <w:right w:w="120" w:type="dxa"/>
            </w:tcMar>
            <w:vAlign w:val="center"/>
          </w:tcPr>
          <w:p>
            <w:pPr>
              <w:spacing w:line="276" w:lineRule="auto" w:after="0"/>
            </w:pPr>
            <w:r>
              <w:rPr>
                <w:b/>
                <w:sz w:val="19"/>
              </w:rPr>
              <w:t>FR-003</w:t>
            </w:r>
          </w:p>
        </w:tc>
        <w:tc>
          <w:tcPr>
            <w:tcW w:type="dxa" w:w="2160"/>
            <w:tcMar>
              <w:top w:w="90" w:type="dxa"/>
              <w:bottom w:w="90" w:type="dxa"/>
              <w:left w:w="120" w:type="dxa"/>
              <w:right w:w="120" w:type="dxa"/>
            </w:tcMar>
            <w:vAlign w:val="center"/>
          </w:tcPr>
          <w:p>
            <w:pPr>
              <w:spacing w:line="276" w:lineRule="auto" w:after="0"/>
            </w:pPr>
            <w:r>
              <w:rPr>
                <w:sz w:val="19"/>
              </w:rPr>
              <w:t>Messaging</w:t>
            </w:r>
          </w:p>
        </w:tc>
        <w:tc>
          <w:tcPr>
            <w:tcW w:type="dxa" w:w="5760"/>
            <w:tcMar>
              <w:top w:w="90" w:type="dxa"/>
              <w:bottom w:w="90" w:type="dxa"/>
              <w:left w:w="120" w:type="dxa"/>
              <w:right w:w="120" w:type="dxa"/>
            </w:tcMar>
            <w:vAlign w:val="center"/>
          </w:tcPr>
          <w:p>
            <w:pPr>
              <w:spacing w:line="276" w:lineRule="auto" w:after="0"/>
            </w:pPr>
            <w:r>
              <w:rPr>
                <w:sz w:val="19"/>
              </w:rPr>
              <w:t>The messaging stream shall distribute text data in real time (&lt; 500ms) over active WebSockets/Firestore nodes.</w:t>
            </w:r>
          </w:p>
        </w:tc>
      </w:tr>
      <w:tr>
        <w:tc>
          <w:tcPr>
            <w:tcW w:type="dxa" w:w="1440"/>
            <w:tcMar>
              <w:top w:w="90" w:type="dxa"/>
              <w:bottom w:w="90" w:type="dxa"/>
              <w:left w:w="120" w:type="dxa"/>
              <w:right w:w="120" w:type="dxa"/>
            </w:tcMar>
            <w:vAlign w:val="center"/>
          </w:tcPr>
          <w:p>
            <w:pPr>
              <w:spacing w:line="276" w:lineRule="auto" w:after="0"/>
            </w:pPr>
            <w:r>
              <w:rPr>
                <w:b/>
                <w:sz w:val="19"/>
              </w:rPr>
              <w:t>FR-004</w:t>
            </w:r>
          </w:p>
        </w:tc>
        <w:tc>
          <w:tcPr>
            <w:tcW w:type="dxa" w:w="2160"/>
            <w:tcMar>
              <w:top w:w="90" w:type="dxa"/>
              <w:bottom w:w="90" w:type="dxa"/>
              <w:left w:w="120" w:type="dxa"/>
              <w:right w:w="120" w:type="dxa"/>
            </w:tcMar>
            <w:vAlign w:val="center"/>
          </w:tcPr>
          <w:p>
            <w:pPr>
              <w:spacing w:line="276" w:lineRule="auto" w:after="0"/>
            </w:pPr>
            <w:r>
              <w:rPr>
                <w:sz w:val="19"/>
              </w:rPr>
              <w:t>Messaging</w:t>
            </w:r>
          </w:p>
        </w:tc>
        <w:tc>
          <w:tcPr>
            <w:tcW w:type="dxa" w:w="5760"/>
            <w:tcMar>
              <w:top w:w="90" w:type="dxa"/>
              <w:bottom w:w="90" w:type="dxa"/>
              <w:left w:w="120" w:type="dxa"/>
              <w:right w:w="120" w:type="dxa"/>
            </w:tcMar>
            <w:vAlign w:val="center"/>
          </w:tcPr>
          <w:p>
            <w:pPr>
              <w:spacing w:line="276" w:lineRule="auto" w:after="0"/>
            </w:pPr>
            <w:r>
              <w:rPr>
                <w:sz w:val="19"/>
              </w:rPr>
              <w:t>The system shall permit authors to edit message content only if the update request occurs within 120 seconds of creation.</w:t>
            </w:r>
          </w:p>
        </w:tc>
      </w:tr>
      <w:tr>
        <w:tc>
          <w:tcPr>
            <w:tcW w:type="dxa" w:w="1440"/>
            <w:tcMar>
              <w:top w:w="90" w:type="dxa"/>
              <w:bottom w:w="90" w:type="dxa"/>
              <w:left w:w="120" w:type="dxa"/>
              <w:right w:w="120" w:type="dxa"/>
            </w:tcMar>
            <w:vAlign w:val="center"/>
          </w:tcPr>
          <w:p>
            <w:pPr>
              <w:spacing w:line="276" w:lineRule="auto" w:after="0"/>
            </w:pPr>
            <w:r>
              <w:rPr>
                <w:b/>
                <w:sz w:val="19"/>
              </w:rPr>
              <w:t>FR-005</w:t>
            </w:r>
          </w:p>
        </w:tc>
        <w:tc>
          <w:tcPr>
            <w:tcW w:type="dxa" w:w="2160"/>
            <w:tcMar>
              <w:top w:w="90" w:type="dxa"/>
              <w:bottom w:w="90" w:type="dxa"/>
              <w:left w:w="120" w:type="dxa"/>
              <w:right w:w="120" w:type="dxa"/>
            </w:tcMar>
            <w:vAlign w:val="center"/>
          </w:tcPr>
          <w:p>
            <w:pPr>
              <w:spacing w:line="276" w:lineRule="auto" w:after="0"/>
            </w:pPr>
            <w:r>
              <w:rPr>
                <w:sz w:val="19"/>
              </w:rPr>
              <w:t>Location</w:t>
            </w:r>
          </w:p>
        </w:tc>
        <w:tc>
          <w:tcPr>
            <w:tcW w:type="dxa" w:w="5760"/>
            <w:tcMar>
              <w:top w:w="90" w:type="dxa"/>
              <w:bottom w:w="90" w:type="dxa"/>
              <w:left w:w="120" w:type="dxa"/>
              <w:right w:w="120" w:type="dxa"/>
            </w:tcMar>
            <w:vAlign w:val="center"/>
          </w:tcPr>
          <w:p>
            <w:pPr>
              <w:spacing w:line="276" w:lineRule="auto" w:after="0"/>
            </w:pPr>
            <w:r>
              <w:rPr>
                <w:sz w:val="19"/>
              </w:rPr>
              <w:t>The system shall project localized building boundaries onto an interactive map using local vector data formats.</w:t>
            </w:r>
          </w:p>
        </w:tc>
      </w:tr>
      <w:tr>
        <w:tc>
          <w:tcPr>
            <w:tcW w:type="dxa" w:w="1440"/>
            <w:tcMar>
              <w:top w:w="90" w:type="dxa"/>
              <w:bottom w:w="90" w:type="dxa"/>
              <w:left w:w="120" w:type="dxa"/>
              <w:right w:w="120" w:type="dxa"/>
            </w:tcMar>
            <w:vAlign w:val="center"/>
          </w:tcPr>
          <w:p>
            <w:pPr>
              <w:spacing w:line="276" w:lineRule="auto" w:after="0"/>
            </w:pPr>
            <w:r>
              <w:rPr>
                <w:b/>
                <w:sz w:val="19"/>
              </w:rPr>
              <w:t>FR-006</w:t>
            </w:r>
          </w:p>
        </w:tc>
        <w:tc>
          <w:tcPr>
            <w:tcW w:type="dxa" w:w="2160"/>
            <w:tcMar>
              <w:top w:w="90" w:type="dxa"/>
              <w:bottom w:w="90" w:type="dxa"/>
              <w:left w:w="120" w:type="dxa"/>
              <w:right w:w="120" w:type="dxa"/>
            </w:tcMar>
            <w:vAlign w:val="center"/>
          </w:tcPr>
          <w:p>
            <w:pPr>
              <w:spacing w:line="276" w:lineRule="auto" w:after="0"/>
            </w:pPr>
            <w:r>
              <w:rPr>
                <w:sz w:val="19"/>
              </w:rPr>
              <w:t>Notifications</w:t>
            </w:r>
          </w:p>
        </w:tc>
        <w:tc>
          <w:tcPr>
            <w:tcW w:type="dxa" w:w="5760"/>
            <w:tcMar>
              <w:top w:w="90" w:type="dxa"/>
              <w:bottom w:w="90" w:type="dxa"/>
              <w:left w:w="120" w:type="dxa"/>
              <w:right w:w="120" w:type="dxa"/>
            </w:tcMar>
            <w:vAlign w:val="center"/>
          </w:tcPr>
          <w:p>
            <w:pPr>
              <w:spacing w:line="276" w:lineRule="auto" w:after="0"/>
            </w:pPr>
            <w:r>
              <w:rPr>
                <w:sz w:val="19"/>
              </w:rPr>
              <w:t>The notification cluster must immediately deliver administrative broadcasts via high-visibility priority channels.</w:t>
            </w:r>
          </w:p>
        </w:tc>
      </w:tr>
      <w:tr>
        <w:tc>
          <w:tcPr>
            <w:tcW w:type="dxa" w:w="1440"/>
            <w:tcMar>
              <w:top w:w="90" w:type="dxa"/>
              <w:bottom w:w="90" w:type="dxa"/>
              <w:left w:w="120" w:type="dxa"/>
              <w:right w:w="120" w:type="dxa"/>
            </w:tcMar>
            <w:vAlign w:val="center"/>
          </w:tcPr>
          <w:p>
            <w:pPr>
              <w:spacing w:line="276" w:lineRule="auto" w:after="0"/>
            </w:pPr>
            <w:r>
              <w:rPr>
                <w:b/>
                <w:sz w:val="19"/>
              </w:rPr>
              <w:t>FR-007</w:t>
            </w:r>
          </w:p>
        </w:tc>
        <w:tc>
          <w:tcPr>
            <w:tcW w:type="dxa" w:w="2160"/>
            <w:tcMar>
              <w:top w:w="90" w:type="dxa"/>
              <w:bottom w:w="90" w:type="dxa"/>
              <w:left w:w="120" w:type="dxa"/>
              <w:right w:w="120" w:type="dxa"/>
            </w:tcMar>
            <w:vAlign w:val="center"/>
          </w:tcPr>
          <w:p>
            <w:pPr>
              <w:spacing w:line="276" w:lineRule="auto" w:after="0"/>
            </w:pPr>
            <w:r>
              <w:rPr>
                <w:sz w:val="19"/>
              </w:rPr>
              <w:t>Offline Support</w:t>
            </w:r>
          </w:p>
        </w:tc>
        <w:tc>
          <w:tcPr>
            <w:tcW w:type="dxa" w:w="5760"/>
            <w:tcMar>
              <w:top w:w="90" w:type="dxa"/>
              <w:bottom w:w="90" w:type="dxa"/>
              <w:left w:w="120" w:type="dxa"/>
              <w:right w:w="120" w:type="dxa"/>
            </w:tcMar>
            <w:vAlign w:val="center"/>
          </w:tcPr>
          <w:p>
            <w:pPr>
              <w:spacing w:line="276" w:lineRule="auto" w:after="0"/>
            </w:pPr>
            <w:r>
              <w:rPr>
                <w:sz w:val="19"/>
              </w:rPr>
              <w:t>The local SQLite context must intercept and safely persist outbox text messages whenever network routes are offline.</w:t>
            </w:r>
          </w:p>
        </w:tc>
      </w:tr>
      <w:tr>
        <w:tc>
          <w:tcPr>
            <w:tcW w:type="dxa" w:w="1440"/>
            <w:tcMar>
              <w:top w:w="90" w:type="dxa"/>
              <w:bottom w:w="90" w:type="dxa"/>
              <w:left w:w="120" w:type="dxa"/>
              <w:right w:w="120" w:type="dxa"/>
            </w:tcMar>
            <w:vAlign w:val="center"/>
          </w:tcPr>
          <w:p>
            <w:pPr>
              <w:spacing w:line="276" w:lineRule="auto" w:after="0"/>
            </w:pPr>
            <w:r>
              <w:rPr>
                <w:b/>
                <w:sz w:val="19"/>
              </w:rPr>
              <w:t>FR-008</w:t>
            </w:r>
          </w:p>
        </w:tc>
        <w:tc>
          <w:tcPr>
            <w:tcW w:type="dxa" w:w="2160"/>
            <w:tcMar>
              <w:top w:w="90" w:type="dxa"/>
              <w:bottom w:w="90" w:type="dxa"/>
              <w:left w:w="120" w:type="dxa"/>
              <w:right w:w="120" w:type="dxa"/>
            </w:tcMar>
            <w:vAlign w:val="center"/>
          </w:tcPr>
          <w:p>
            <w:pPr>
              <w:spacing w:line="276" w:lineRule="auto" w:after="0"/>
            </w:pPr>
            <w:r>
              <w:rPr>
                <w:sz w:val="19"/>
              </w:rPr>
              <w:t>Smart Scheduling</w:t>
            </w:r>
          </w:p>
        </w:tc>
        <w:tc>
          <w:tcPr>
            <w:tcW w:type="dxa" w:w="5760"/>
            <w:tcMar>
              <w:top w:w="90" w:type="dxa"/>
              <w:bottom w:w="90" w:type="dxa"/>
              <w:left w:w="120" w:type="dxa"/>
              <w:right w:w="120" w:type="dxa"/>
            </w:tcMar>
            <w:vAlign w:val="center"/>
          </w:tcPr>
          <w:p>
            <w:pPr>
              <w:spacing w:line="276" w:lineRule="auto" w:after="0"/>
            </w:pPr>
            <w:r>
              <w:rPr>
                <w:sz w:val="19"/>
              </w:rPr>
              <w:t>The system shall execute timetable overlap scans across multiple selected profiles to return matching free blocks.</w:t>
            </w:r>
          </w:p>
        </w:tc>
      </w:tr>
      <w:tr>
        <w:tc>
          <w:tcPr>
            <w:tcW w:type="dxa" w:w="1440"/>
            <w:tcMar>
              <w:top w:w="90" w:type="dxa"/>
              <w:bottom w:w="90" w:type="dxa"/>
              <w:left w:w="120" w:type="dxa"/>
              <w:right w:w="120" w:type="dxa"/>
            </w:tcMar>
            <w:vAlign w:val="center"/>
          </w:tcPr>
          <w:p>
            <w:pPr>
              <w:spacing w:line="276" w:lineRule="auto" w:after="0"/>
            </w:pPr>
            <w:r>
              <w:rPr>
                <w:b/>
                <w:sz w:val="19"/>
              </w:rPr>
              <w:t>FR-009</w:t>
            </w:r>
          </w:p>
        </w:tc>
        <w:tc>
          <w:tcPr>
            <w:tcW w:type="dxa" w:w="2160"/>
            <w:tcMar>
              <w:top w:w="90" w:type="dxa"/>
              <w:bottom w:w="90" w:type="dxa"/>
              <w:left w:w="120" w:type="dxa"/>
              <w:right w:w="120" w:type="dxa"/>
            </w:tcMar>
            <w:vAlign w:val="center"/>
          </w:tcPr>
          <w:p>
            <w:pPr>
              <w:spacing w:line="276" w:lineRule="auto" w:after="0"/>
            </w:pPr>
            <w:r>
              <w:rPr>
                <w:sz w:val="19"/>
              </w:rPr>
              <w:t>Marketplace</w:t>
            </w:r>
          </w:p>
        </w:tc>
        <w:tc>
          <w:tcPr>
            <w:tcW w:type="dxa" w:w="5760"/>
            <w:tcMar>
              <w:top w:w="90" w:type="dxa"/>
              <w:bottom w:w="90" w:type="dxa"/>
              <w:left w:w="120" w:type="dxa"/>
              <w:right w:w="120" w:type="dxa"/>
            </w:tcMar>
            <w:vAlign w:val="center"/>
          </w:tcPr>
          <w:p>
            <w:pPr>
              <w:spacing w:line="276" w:lineRule="auto" w:after="0"/>
            </w:pPr>
            <w:r>
              <w:rPr>
                <w:sz w:val="19"/>
              </w:rPr>
              <w:t>The platform shall generate an encrypted, single-use, time-bound QR token on the seller's terminal to complete verification workflows.</w:t>
            </w:r>
          </w:p>
        </w:tc>
      </w:tr>
      <w:tr>
        <w:tc>
          <w:tcPr>
            <w:tcW w:type="dxa" w:w="1440"/>
            <w:tcMar>
              <w:top w:w="90" w:type="dxa"/>
              <w:bottom w:w="90" w:type="dxa"/>
              <w:left w:w="120" w:type="dxa"/>
              <w:right w:w="120" w:type="dxa"/>
            </w:tcMar>
            <w:vAlign w:val="center"/>
          </w:tcPr>
          <w:p>
            <w:pPr>
              <w:spacing w:line="276" w:lineRule="auto" w:after="0"/>
            </w:pPr>
            <w:r>
              <w:rPr>
                <w:b/>
                <w:sz w:val="19"/>
              </w:rPr>
              <w:t>FR-010</w:t>
            </w:r>
          </w:p>
        </w:tc>
        <w:tc>
          <w:tcPr>
            <w:tcW w:type="dxa" w:w="2160"/>
            <w:tcMar>
              <w:top w:w="90" w:type="dxa"/>
              <w:bottom w:w="90" w:type="dxa"/>
              <w:left w:w="120" w:type="dxa"/>
              <w:right w:w="120" w:type="dxa"/>
            </w:tcMar>
            <w:vAlign w:val="center"/>
          </w:tcPr>
          <w:p>
            <w:pPr>
              <w:spacing w:line="276" w:lineRule="auto" w:after="0"/>
            </w:pPr>
            <w:r>
              <w:rPr>
                <w:sz w:val="19"/>
              </w:rPr>
              <w:t>Emergency Alerts</w:t>
            </w:r>
          </w:p>
        </w:tc>
        <w:tc>
          <w:tcPr>
            <w:tcW w:type="dxa" w:w="5760"/>
            <w:tcMar>
              <w:top w:w="90" w:type="dxa"/>
              <w:bottom w:w="90" w:type="dxa"/>
              <w:left w:w="120" w:type="dxa"/>
              <w:right w:w="120" w:type="dxa"/>
            </w:tcMar>
            <w:vAlign w:val="center"/>
          </w:tcPr>
          <w:p>
            <w:pPr>
              <w:spacing w:line="276" w:lineRule="auto" w:after="0"/>
            </w:pPr>
            <w:r>
              <w:rPr>
                <w:sz w:val="19"/>
              </w:rPr>
              <w:t>The app shall initiate a 10-second sound-guided countdown upon SOS execution prior to transmitting location packets.</w:t>
            </w:r>
          </w:p>
        </w:tc>
      </w:tr>
    </w:tbl>
    <w:p/>
    <w:p>
      <w:pPr>
        <w:keepNext/>
        <w:spacing w:before="360" w:after="120"/>
      </w:pPr>
      <w:r>
        <w:rPr>
          <w:rFonts w:ascii="Arial" w:hAnsi="Arial"/>
          <w:b/>
          <w:color w:val="880E4F"/>
          <w:sz w:val="36"/>
        </w:rPr>
        <w:t>8. Non-Functional Requirements</w:t>
      </w:r>
    </w:p>
    <w:p>
      <w:pPr>
        <w:keepNext/>
        <w:spacing w:before="280" w:after="80"/>
      </w:pPr>
      <w:r>
        <w:rPr>
          <w:rFonts w:ascii="Arial" w:hAnsi="Arial"/>
          <w:b/>
          <w:color w:val="880E4F"/>
          <w:sz w:val="28"/>
        </w:rPr>
        <w:t>Performance</w:t>
      </w:r>
    </w:p>
    <w:p>
      <w:pPr>
        <w:pStyle w:val="ListBullet"/>
        <w:spacing w:after="60" w:line="276" w:lineRule="auto"/>
      </w:pPr>
      <w:r>
        <w:rPr>
          <w:b/>
        </w:rPr>
        <w:t xml:space="preserve">Latency: </w:t>
      </w:r>
      <w:r>
        <w:t>Message transmission over reliable network channels must complete roundtrips in under 500 milliseconds.</w:t>
      </w:r>
    </w:p>
    <w:p>
      <w:pPr>
        <w:pStyle w:val="ListBullet"/>
        <w:spacing w:after="60" w:line="276" w:lineRule="auto"/>
      </w:pPr>
      <w:r>
        <w:rPr>
          <w:b/>
        </w:rPr>
        <w:t xml:space="preserve">UI Responsiveness: </w:t>
      </w:r>
      <w:r>
        <w:t>The map framework must render and remain interactive at a baseline target of 60 frames per second during standard interactions.</w:t>
      </w:r>
    </w:p>
    <w:p>
      <w:pPr>
        <w:keepNext/>
        <w:spacing w:before="280" w:after="80"/>
      </w:pPr>
      <w:r>
        <w:rPr>
          <w:rFonts w:ascii="Arial" w:hAnsi="Arial"/>
          <w:b/>
          <w:color w:val="880E4F"/>
          <w:sz w:val="28"/>
        </w:rPr>
        <w:t>Security</w:t>
      </w:r>
    </w:p>
    <w:p>
      <w:pPr>
        <w:pStyle w:val="ListBullet"/>
        <w:spacing w:after="60" w:line="276" w:lineRule="auto"/>
      </w:pPr>
      <w:r>
        <w:rPr>
          <w:b/>
        </w:rPr>
        <w:t xml:space="preserve">Data at Rest: </w:t>
      </w:r>
      <w:r>
        <w:t>All local transactional parameters and message components cached inside SQLite tables must be encrypted using AES-256 protocols.</w:t>
      </w:r>
    </w:p>
    <w:p>
      <w:pPr>
        <w:pStyle w:val="ListBullet"/>
        <w:spacing w:after="60" w:line="276" w:lineRule="auto"/>
      </w:pPr>
      <w:r>
        <w:rPr>
          <w:b/>
        </w:rPr>
        <w:t xml:space="preserve">Data in Transit: </w:t>
      </w:r>
      <w:r>
        <w:t>Every network exchange hitting '/api/v2/aus/' must run strictly over secure TLS 1.3 tunnels with authorization headers.</w:t>
      </w:r>
    </w:p>
    <w:p>
      <w:pPr>
        <w:keepNext/>
        <w:spacing w:before="280" w:after="80"/>
      </w:pPr>
      <w:r>
        <w:rPr>
          <w:rFonts w:ascii="Arial" w:hAnsi="Arial"/>
          <w:b/>
          <w:color w:val="880E4F"/>
          <w:sz w:val="28"/>
        </w:rPr>
        <w:t>Availability</w:t>
      </w:r>
    </w:p>
    <w:p>
      <w:pPr>
        <w:pStyle w:val="ListBullet"/>
        <w:spacing w:after="60" w:line="276" w:lineRule="auto"/>
      </w:pPr>
      <w:r>
        <w:rPr>
          <w:b/>
        </w:rPr>
        <w:t xml:space="preserve">Target Metrics: </w:t>
      </w:r>
      <w:r>
        <w:t>Core operational endpoints must maintain a systemic uptime factor of 99.9% over any trailing calendar month.</w:t>
      </w:r>
    </w:p>
    <w:p>
      <w:pPr>
        <w:pStyle w:val="ListBullet"/>
        <w:spacing w:after="60" w:line="276" w:lineRule="auto"/>
      </w:pPr>
      <w:r>
        <w:rPr>
          <w:b/>
        </w:rPr>
        <w:t xml:space="preserve">Local Failover: </w:t>
      </w:r>
      <w:r>
        <w:t>Critical safety features, including offline map browsing and SOS local tracking engines, must run at 100% locally.</w:t>
      </w:r>
    </w:p>
    <w:p>
      <w:pPr>
        <w:keepNext/>
        <w:spacing w:before="280" w:after="80"/>
      </w:pPr>
      <w:r>
        <w:rPr>
          <w:rFonts w:ascii="Arial" w:hAnsi="Arial"/>
          <w:b/>
          <w:color w:val="880E4F"/>
          <w:sz w:val="28"/>
        </w:rPr>
        <w:t>Scalability</w:t>
      </w:r>
    </w:p>
    <w:p>
      <w:pPr>
        <w:pStyle w:val="ListBullet"/>
        <w:spacing w:after="60" w:line="276" w:lineRule="auto"/>
      </w:pPr>
      <w:r>
        <w:rPr>
          <w:b/>
        </w:rPr>
        <w:t xml:space="preserve">Horizontal Scaling: </w:t>
      </w:r>
      <w:r>
        <w:t>The Firestore database layout and matching routines must structurally support up to 10,000 active instances concurrently without scaling delays.</w:t>
      </w:r>
    </w:p>
    <w:p>
      <w:pPr>
        <w:keepNext/>
        <w:spacing w:before="280" w:after="80"/>
      </w:pPr>
      <w:r>
        <w:rPr>
          <w:rFonts w:ascii="Arial" w:hAnsi="Arial"/>
          <w:b/>
          <w:color w:val="880E4F"/>
          <w:sz w:val="28"/>
        </w:rPr>
        <w:t>Usability</w:t>
      </w:r>
    </w:p>
    <w:p>
      <w:pPr>
        <w:pStyle w:val="ListBullet"/>
        <w:spacing w:after="60" w:line="276" w:lineRule="auto"/>
      </w:pPr>
      <w:r>
        <w:rPr>
          <w:b/>
        </w:rPr>
        <w:t xml:space="preserve">Design Compliance: </w:t>
      </w:r>
      <w:r>
        <w:t>The app design must integrate Group 11's color assets (#880E4F and #00B0FF), keeping contrast ratios above a strict 4.5:1 metric.</w:t>
      </w:r>
    </w:p>
    <w:p>
      <w:pPr>
        <w:keepNext/>
        <w:spacing w:before="360" w:after="120"/>
      </w:pPr>
      <w:r>
        <w:rPr>
          <w:rFonts w:ascii="Arial" w:hAnsi="Arial"/>
          <w:b/>
          <w:color w:val="880E4F"/>
          <w:sz w:val="36"/>
        </w:rPr>
        <w:t>9. Group 11 Unique System Constraint</w:t>
      </w:r>
    </w:p>
    <w:p>
      <w:pPr>
        <w:spacing w:after="120" w:line="276" w:lineRule="auto"/>
      </w:pPr>
      <w:r>
        <w:t>To ensure complete alignment with academic system parameters and Group 11 specific requirements, the chat core implements a rigid operational constraint concerning data mutability rules:</w:t>
      </w:r>
    </w:p>
    <w:tbl>
      <w:tblPr>
        <w:tblW w:type="auto" w:w="0"/>
        <w:jc w:val="center"/>
        <w:tblLayout w:type="fixed"/>
        <w:tblLook w:firstColumn="1" w:firstRow="1" w:lastColumn="0" w:lastRow="0" w:noHBand="0" w:noVBand="1" w:val="04A0"/>
      </w:tblPr>
      <w:tblGrid>
        <w:gridCol w:w="9360"/>
      </w:tblGrid>
      <w:tr>
        <w:tc>
          <w:tcPr>
            <w:tcW w:type="dxa" w:w="9360"/>
            <w:shd w:fill="FBE9E7"/>
            <w:tcMar>
              <w:top w:w="140" w:type="dxa"/>
              <w:bottom w:w="140" w:type="dxa"/>
              <w:left w:w="200" w:type="dxa"/>
              <w:right w:w="200" w:type="dxa"/>
            </w:tcMar>
            <w:tcBorders>
              <w:left w:val="single" w:sz="24" w:space="0" w:color="880E4F"/>
              <w:top w:val="none"/>
              <w:bottom w:val="none"/>
              <w:right w:val="none"/>
            </w:tcBorders>
          </w:tcPr>
          <w:p>
            <w:pPr>
              <w:spacing w:before="0" w:after="0" w:line="276" w:lineRule="auto"/>
            </w:pPr>
            <w:r>
              <w:rPr>
                <w:rFonts w:ascii="Arial" w:hAnsi="Arial"/>
                <w:i/>
                <w:color w:val="550022"/>
                <w:sz w:val="21"/>
              </w:rPr>
              <w:t>UNIQUE MANDATE: Messages transmitted within any chat context (whether direct or group) can only be edited within a temporary, 2-minute window (exactly 120 seconds) after being successfully sent.</w:t>
            </w:r>
          </w:p>
        </w:tc>
      </w:tr>
    </w:tbl>
    <w:p/>
    <w:p>
      <w:pPr>
        <w:spacing w:after="120" w:line="276" w:lineRule="auto"/>
      </w:pPr>
      <w:r>
        <w:t>This rule is strictly enforced across two structural layers:</w:t>
      </w:r>
    </w:p>
    <w:p>
      <w:pPr>
        <w:pStyle w:val="ListBullet"/>
        <w:spacing w:after="60" w:line="276" w:lineRule="auto"/>
      </w:pPr>
      <w:r>
        <w:rPr>
          <w:b/>
        </w:rPr>
        <w:t xml:space="preserve">Client-Side Control: </w:t>
      </w:r>
      <w:r>
        <w:t>The Flutter UI interface checks the timestamp metadata on the target message. If the difference between DateTime.now() and message.created_at exceeds 120 seconds, the modification option is removed from the user interface context.</w:t>
      </w:r>
    </w:p>
    <w:p>
      <w:pPr>
        <w:pStyle w:val="ListBullet"/>
        <w:spacing w:after="60" w:line="276" w:lineRule="auto"/>
      </w:pPr>
      <w:r>
        <w:rPr>
          <w:b/>
        </w:rPr>
        <w:t xml:space="preserve">Server-Side Security: </w:t>
      </w:r>
      <w:r>
        <w:t>The backend systems (via Firebase Cloud Firestore Security Rules) programmatically calculate the request validation gap: (request.time - resource.data.created_at) &lt; duration.value(2, 'm'). If the validation fails, mutations are rejected, securing the protocol.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