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2 — Benchmark canonique (k=5, 3 seeds, ddof=1)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Topology</w:t>
            </w:r>
          </w:p>
        </w:tc>
        <w:tc>
          <w:tcPr>
            <w:tcW w:type="dxa" w:w="1728"/>
          </w:tcPr>
          <w:p>
            <w:r>
              <w:t>Linear-Transformer R²</w:t>
            </w:r>
          </w:p>
        </w:tc>
        <w:tc>
          <w:tcPr>
            <w:tcW w:type="dxa" w:w="1728"/>
          </w:tcPr>
          <w:p>
            <w:r>
              <w:t>GCN-Transformer R²</w:t>
            </w:r>
          </w:p>
        </w:tc>
        <w:tc>
          <w:tcPr>
            <w:tcW w:type="dxa" w:w="1728"/>
          </w:tcPr>
          <w:p>
            <w:r>
              <w:t>ΔR²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0.9493 ± 0.0007</w:t>
            </w:r>
          </w:p>
        </w:tc>
        <w:tc>
          <w:tcPr>
            <w:tcW w:type="dxa" w:w="1728"/>
          </w:tcPr>
          <w:p>
            <w:r>
              <w:t>0.9321 ± 0.0006</w:t>
            </w:r>
          </w:p>
        </w:tc>
        <w:tc>
          <w:tcPr>
            <w:tcW w:type="dxa" w:w="1728"/>
          </w:tcPr>
          <w:p>
            <w:r>
              <w:t>-0.0172 ± 0.0001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0.9493 ± 0.0007</w:t>
            </w:r>
          </w:p>
        </w:tc>
        <w:tc>
          <w:tcPr>
            <w:tcW w:type="dxa" w:w="1728"/>
          </w:tcPr>
          <w:p>
            <w:r>
              <w:t>0.9118 ± 0.0009</w:t>
            </w:r>
          </w:p>
        </w:tc>
        <w:tc>
          <w:tcPr>
            <w:tcW w:type="dxa" w:w="1728"/>
          </w:tcPr>
          <w:p>
            <w:r>
              <w:t>-0.0375 ± 0.0008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0.8422 ± 0.0040</w:t>
            </w:r>
          </w:p>
        </w:tc>
        <w:tc>
          <w:tcPr>
            <w:tcW w:type="dxa" w:w="1728"/>
          </w:tcPr>
          <w:p>
            <w:r>
              <w:t>0.4668 ± 0.0247</w:t>
            </w:r>
          </w:p>
        </w:tc>
        <w:tc>
          <w:tcPr>
            <w:tcW w:type="dxa" w:w="1728"/>
          </w:tcPr>
          <w:p>
            <w:r>
              <w:t>-0.3754 ± 0.0258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0.8422 ± 0.0040</w:t>
            </w:r>
          </w:p>
        </w:tc>
        <w:tc>
          <w:tcPr>
            <w:tcW w:type="dxa" w:w="1728"/>
          </w:tcPr>
          <w:p>
            <w:r>
              <w:t>0.4408 ± 0.0037</w:t>
            </w:r>
          </w:p>
        </w:tc>
        <w:tc>
          <w:tcPr>
            <w:tcW w:type="dxa" w:w="1728"/>
          </w:tcPr>
          <w:p>
            <w:r>
              <w:t>-0.4014 ± 0.0061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0.8140 ± 0.0013</w:t>
            </w:r>
          </w:p>
        </w:tc>
        <w:tc>
          <w:tcPr>
            <w:tcW w:type="dxa" w:w="1728"/>
          </w:tcPr>
          <w:p>
            <w:r>
              <w:t>0.4927 ± 0.0064</w:t>
            </w:r>
          </w:p>
        </w:tc>
        <w:tc>
          <w:tcPr>
            <w:tcW w:type="dxa" w:w="1728"/>
          </w:tcPr>
          <w:p>
            <w:r>
              <w:t>-0.3213 ± 0.0061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0.8140 ± 0.0013</w:t>
            </w:r>
          </w:p>
        </w:tc>
        <w:tc>
          <w:tcPr>
            <w:tcW w:type="dxa" w:w="1728"/>
          </w:tcPr>
          <w:p>
            <w:r>
              <w:t>0.3996 ± 0.0335</w:t>
            </w:r>
          </w:p>
        </w:tc>
        <w:tc>
          <w:tcPr>
            <w:tcW w:type="dxa" w:w="1728"/>
          </w:tcPr>
          <w:p>
            <w:r>
              <w:t>-0.4144 ± 0.0325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