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 — Indice d'hétérophilie spatiale h(D)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Stations</w:t>
            </w:r>
          </w:p>
        </w:tc>
        <w:tc>
          <w:tcPr>
            <w:tcW w:type="dxa" w:w="1440"/>
          </w:tcPr>
          <w:p>
            <w:r>
              <w:t>r̄</w:t>
            </w:r>
          </w:p>
        </w:tc>
        <w:tc>
          <w:tcPr>
            <w:tcW w:type="dxa" w:w="1440"/>
          </w:tcPr>
          <w:p>
            <w:r>
              <w:t>Moran's I</w:t>
            </w:r>
          </w:p>
        </w:tc>
        <w:tc>
          <w:tcPr>
            <w:tcW w:type="dxa" w:w="1440"/>
          </w:tcPr>
          <w:p>
            <w:r>
              <w:t>CV</w:t>
            </w:r>
          </w:p>
        </w:tc>
        <w:tc>
          <w:tcPr>
            <w:tcW w:type="dxa" w:w="1440"/>
          </w:tcPr>
          <w:p>
            <w:r>
              <w:t>h(D)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0.907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  <w:tc>
          <w:tcPr>
            <w:tcW w:type="dxa" w:w="1440"/>
          </w:tcPr>
          <w:p>
            <w:r>
              <w:t>0.469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0.885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1.010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0.534</w:t>
            </w:r>
          </w:p>
        </w:tc>
        <w:tc>
          <w:tcPr>
            <w:tcW w:type="dxa" w:w="1440"/>
          </w:tcPr>
          <w:p>
            <w:r>
              <w:t>-0.143</w:t>
            </w:r>
          </w:p>
        </w:tc>
        <w:tc>
          <w:tcPr>
            <w:tcW w:type="dxa" w:w="1440"/>
          </w:tcPr>
          <w:p>
            <w:r>
              <w:t>0.719</w:t>
            </w:r>
          </w:p>
        </w:tc>
        <w:tc>
          <w:tcPr>
            <w:tcW w:type="dxa" w:w="1440"/>
          </w:tcPr>
          <w:p>
            <w:r>
              <w:t>0.656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0.391</w:t>
            </w:r>
          </w:p>
        </w:tc>
        <w:tc>
          <w:tcPr>
            <w:tcW w:type="dxa" w:w="1440"/>
          </w:tcPr>
          <w:p>
            <w:r>
              <w:t>-0.167</w:t>
            </w:r>
          </w:p>
        </w:tc>
        <w:tc>
          <w:tcPr>
            <w:tcW w:type="dxa" w:w="1440"/>
          </w:tcPr>
          <w:p>
            <w:r>
              <w:t>0.815</w:t>
            </w:r>
          </w:p>
        </w:tc>
        <w:tc>
          <w:tcPr>
            <w:tcW w:type="dxa" w:w="1440"/>
          </w:tcPr>
          <w:p>
            <w:r>
              <w:t>0.728</w:t>
            </w:r>
          </w:p>
        </w:tc>
      </w:tr>
    </w:tbl>
    <w:p>
      <w:r>
        <w:rPr>
          <w:i/>
          <w:sz w:val="18"/>
        </w:rPr>
        <w:t>Source : results/heterogeneity_index_v2.csv — EXCEPTION documentée, h(D) n'est pas un résultat de run (hors schéma raw_results.csv, cf. P3).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