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 — Benchmark canonique (k=5,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Linear-Transformer R²</w:t>
            </w:r>
          </w:p>
        </w:tc>
        <w:tc>
          <w:tcPr>
            <w:tcW w:type="dxa" w:w="1728"/>
          </w:tcPr>
          <w:p>
            <w:r>
              <w:t>GCN-Transformer R²</w:t>
            </w:r>
          </w:p>
        </w:tc>
        <w:tc>
          <w:tcPr>
            <w:tcW w:type="dxa" w:w="1728"/>
          </w:tcPr>
          <w:p>
            <w:r>
              <w:t>ΔR²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0.9321 ± 0.0006</w:t>
            </w:r>
          </w:p>
        </w:tc>
        <w:tc>
          <w:tcPr>
            <w:tcW w:type="dxa" w:w="1728"/>
          </w:tcPr>
          <w:p>
            <w:r>
              <w:t>-0.0172 ± 0.0001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0.9118 ± 0.0009</w:t>
            </w:r>
          </w:p>
        </w:tc>
        <w:tc>
          <w:tcPr>
            <w:tcW w:type="dxa" w:w="1728"/>
          </w:tcPr>
          <w:p>
            <w:r>
              <w:t>-0.0375 ± 0.0008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0.4668 ± 0.0247</w:t>
            </w:r>
          </w:p>
        </w:tc>
        <w:tc>
          <w:tcPr>
            <w:tcW w:type="dxa" w:w="1728"/>
          </w:tcPr>
          <w:p>
            <w:r>
              <w:t>-0.3754 ± 0.0258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0.4408 ± 0.0037</w:t>
            </w:r>
          </w:p>
        </w:tc>
        <w:tc>
          <w:tcPr>
            <w:tcW w:type="dxa" w:w="1728"/>
          </w:tcPr>
          <w:p>
            <w:r>
              <w:t>-0.4014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0.4927 ± 0.0064</w:t>
            </w:r>
          </w:p>
        </w:tc>
        <w:tc>
          <w:tcPr>
            <w:tcW w:type="dxa" w:w="1728"/>
          </w:tcPr>
          <w:p>
            <w:r>
              <w:t>-0.3213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0.4345 ± 0.0168</w:t>
            </w:r>
          </w:p>
        </w:tc>
        <w:tc>
          <w:tcPr>
            <w:tcW w:type="dxa" w:w="1728"/>
          </w:tcPr>
          <w:p>
            <w:r>
              <w:t>-0.3795 ± 0.0175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