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
      </w:pPr>
    </w:p>
    <w:p>
      <w:pPr>
        <w:jc w:val="center"/>
      </w:pPr>
      <w:r>
        <w:rPr>
          <w:rFonts w:ascii="Calibri" w:cs="Calibri" w:eastAsia="Calibri" w:hAnsi="Calibri"/>
          <w:color w:val="555555"/>
          <w:sz w:val="28"/>
          <w:szCs w:val="28"/>
        </w:rPr>
        <w:t xml:space="preserve">UNION AFRICAINE — AUCTC</w:t>
      </w:r>
    </w:p>
    <w:p>
      <w:pPr>
        <w:jc w:val="center"/>
      </w:pPr>
      <w:r>
        <w:rPr>
          <w:rFonts w:ascii="Calibri" w:cs="Calibri" w:eastAsia="Calibri" w:hAnsi="Calibri"/>
          <w:b/>
          <w:bCs/>
          <w:color w:val="00529B"/>
          <w:sz w:val="36"/>
          <w:szCs w:val="36"/>
        </w:rPr>
        <w:t xml:space="preserve">CAERT — Plateforme de reporting d'incidents</w:t>
      </w:r>
    </w:p>
    <w:p>
      <w:pPr>
        <w:spacing w:after="120" w:before="120"/>
      </w:pPr>
    </w:p>
    <w:p>
      <w:pPr>
        <w:shd w:fill="00529B"/>
        <w:spacing w:after="200" w:before="200"/>
        <w:jc w:val="center"/>
      </w:pPr>
      <w:r>
        <w:rPr>
          <w:rFonts w:ascii="Calibri" w:cs="Calibri" w:eastAsia="Calibri" w:hAnsi="Calibri"/>
          <w:b/>
          <w:bCs/>
          <w:color w:val="FFFFFF"/>
          <w:sz w:val="36"/>
          <w:szCs w:val="36"/>
        </w:rPr>
        <w:t xml:space="preserve">RAPPORT DE CONSULTANCE</w:t>
      </w:r>
    </w:p>
    <w:p>
      <w:pPr>
        <w:spacing w:before="160"/>
        <w:jc w:val="center"/>
      </w:pPr>
      <w:r>
        <w:rPr>
          <w:rFonts w:ascii="Calibri" w:cs="Calibri" w:eastAsia="Calibri" w:hAnsi="Calibri"/>
          <w:color w:val="555555"/>
          <w:sz w:val="24"/>
          <w:szCs w:val="24"/>
        </w:rPr>
        <w:t xml:space="preserve">Mise à jour et amélioration de la base de données AUCTC</w:t>
      </w:r>
    </w:p>
    <w:p>
      <w:pPr>
        <w:spacing w:after="120" w:before="120"/>
      </w:pPr>
    </w:p>
    <w:p>
      <w:pPr>
        <w:spacing w:after="120"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shd w:fill="00529B"/>
            <w:tcMar>
              <w:top w:type="dxa" w:w="80"/>
              <w:left w:type="dxa" w:w="140"/>
              <w:bottom w:type="dxa" w:w="80"/>
              <w:right w:type="dxa" w:w="140"/>
            </w:tcMar>
            <w:vAlign w:val="center"/>
          </w:tcPr>
          <w:p>
            <w:r>
              <w:rPr>
                <w:rFonts w:ascii="Calibri" w:cs="Calibri" w:eastAsia="Calibri" w:hAnsi="Calibri"/>
                <w:b/>
                <w:bCs/>
                <w:color w:val="FFFFFF"/>
                <w:sz w:val="20"/>
                <w:szCs w:val="20"/>
              </w:rPr>
              <w:t xml:space="preserve">Champ</w:t>
            </w:r>
          </w:p>
        </w:tc>
        <w:tc>
          <w:tcPr>
            <w:shd w:fill="00529B"/>
            <w:tcMar>
              <w:top w:type="dxa" w:w="80"/>
              <w:left w:type="dxa" w:w="140"/>
              <w:bottom w:type="dxa" w:w="80"/>
              <w:right w:type="dxa" w:w="140"/>
            </w:tcMar>
            <w:vAlign w:val="center"/>
          </w:tcPr>
          <w:p>
            <w:r>
              <w:rPr>
                <w:rFonts w:ascii="Calibri" w:cs="Calibri" w:eastAsia="Calibri" w:hAnsi="Calibri"/>
                <w:b/>
                <w:bCs/>
                <w:color w:val="FFFFFF"/>
                <w:sz w:val="20"/>
                <w:szCs w:val="20"/>
              </w:rPr>
              <w:t xml:space="preserve">Valeur</w:t>
            </w:r>
          </w:p>
        </w:tc>
      </w:tr>
      <w:tr>
        <w:tc>
          <w:tcPr>
            <w:shd w:fill="FFFFFF"/>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Document</w:t>
            </w:r>
          </w:p>
        </w:tc>
        <w:tc>
          <w:tcPr>
            <w:shd w:fill="FFFFFF"/>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AUCTC — Rapport de consultance</w:t>
            </w:r>
          </w:p>
        </w:tc>
      </w:tr>
      <w:tr>
        <w:tc>
          <w:tcPr>
            <w:shd w:fill="E8F0F8"/>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Statut</w:t>
            </w:r>
          </w:p>
        </w:tc>
        <w:tc>
          <w:tcPr>
            <w:shd w:fill="E8F0F8"/>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Système déployé — données historiques importées — formation à planifier</w:t>
            </w:r>
          </w:p>
        </w:tc>
      </w:tr>
    </w:tbl>
    <w:p>
      <w:r>
        <w:br w:type="page"/>
      </w:r>
    </w:p>
    <w:p>
      <w:pPr>
        <w:pStyle w:val="Heading1"/>
        <w:spacing w:after="160" w:before="360"/>
      </w:pPr>
      <w:r>
        <w:rPr>
          <w:rFonts w:ascii="Calibri" w:cs="Calibri" w:eastAsia="Calibri" w:hAnsi="Calibri"/>
          <w:b/>
          <w:bCs/>
          <w:color w:val="00529B"/>
          <w:sz w:val="32"/>
          <w:szCs w:val="32"/>
        </w:rPr>
        <w:t xml:space="preserve">Rapport de consultance</w:t>
      </w:r>
    </w:p>
    <w:p>
      <w:pPr>
        <w:spacing w:after="80" w:before="80" w:line="276"/>
      </w:pPr>
      <w:r>
        <w:rPr>
          <w:rFonts w:ascii="Calibri" w:cs="Calibri" w:eastAsia="Calibri" w:hAnsi="Calibri"/>
          <w:color w:val="1A1A1A"/>
          <w:sz w:val="22"/>
          <w:szCs w:val="22"/>
        </w:rPr>
        <w:t xml:space="preserve">Projet : Mise à jour et amélioration de la base de données AUCTC</w:t>
      </w:r>
    </w:p>
    <w:p>
      <w:pPr>
        <w:spacing w:after="80" w:before="80" w:line="276"/>
      </w:pPr>
      <w:r>
        <w:rPr>
          <w:rFonts w:ascii="Calibri" w:cs="Calibri" w:eastAsia="Calibri" w:hAnsi="Calibri"/>
          <w:color w:val="1A1A1A"/>
          <w:sz w:val="22"/>
          <w:szCs w:val="22"/>
        </w:rPr>
        <w:t xml:space="preserve">Statut : Système déployé et opérationnel — données historiques importées — formation à planifier</w:t>
      </w:r>
    </w:p>
    <w:p>
      <w:pPr>
        <w:spacing w:after="120" w:before="280"/>
      </w:pPr>
      <w:r>
        <w:rPr>
          <w:rFonts w:ascii="Calibri" w:cs="Calibri" w:eastAsia="Calibri" w:hAnsi="Calibri"/>
          <w:b/>
          <w:bCs/>
          <w:color w:val="00529B"/>
          <w:sz w:val="26"/>
          <w:szCs w:val="26"/>
        </w:rPr>
        <w:t xml:space="preserve">1. Résumé exécutif</w:t>
      </w:r>
    </w:p>
    <w:p>
      <w:pPr>
        <w:spacing w:after="80" w:before="80" w:line="276"/>
      </w:pPr>
      <w:r>
        <w:rPr>
          <w:rFonts w:ascii="Calibri" w:cs="Calibri" w:eastAsia="Calibri" w:hAnsi="Calibri"/>
          <w:color w:val="1A1A1A"/>
          <w:sz w:val="22"/>
          <w:szCs w:val="22"/>
        </w:rPr>
        <w:t xml:space="preserve">Ce rapport clôture les travaux de mise à jour et d’amélioration de la base de données centrale de l’AUCTC.</w:t>
      </w:r>
    </w:p>
    <w:p>
      <w:pPr>
        <w:spacing w:after="80" w:before="80" w:line="276"/>
      </w:pPr>
      <w:r>
        <w:rPr>
          <w:rFonts w:ascii="Calibri" w:cs="Calibri" w:eastAsia="Calibri" w:hAnsi="Calibri"/>
          <w:color w:val="1A1A1A"/>
          <w:sz w:val="22"/>
          <w:szCs w:val="22"/>
        </w:rPr>
        <w:t xml:space="preserve">Au cours d’un engagement de trois mois, le Consultant a examiné la plateforme existante, renforcé son architecture, amélioré les capacités d’analyse et de visualisation, consolidé la sécurité et la gestion des accès, déployé le système sur le serveur local sécurisé de l’AUCTC, et préparé la documentation de prise en main.</w:t>
      </w:r>
    </w:p>
    <w:p>
      <w:pPr>
        <w:spacing w:after="80" w:before="80" w:line="276"/>
      </w:pPr>
      <w:r>
        <w:rPr>
          <w:rFonts w:ascii="Calibri" w:cs="Calibri" w:eastAsia="Calibri" w:hAnsi="Calibri"/>
          <w:color w:val="1A1A1A"/>
          <w:sz w:val="22"/>
          <w:szCs w:val="22"/>
        </w:rPr>
        <w:t xml:space="preserve">La base de données AUCTC améliorée est déployée, testée et prête à l’usage opérationnel. Un jeu de données historiques a été intégré dans la base destinée à la production locale. La session de formation des utilisateurs reste à organiser.</w:t>
      </w:r>
    </w:p>
    <w:p>
      <w:pPr>
        <w:spacing w:after="80" w:before="80" w:line="276"/>
      </w:pPr>
      <w:r>
        <w:rPr>
          <w:rFonts w:ascii="Calibri" w:cs="Calibri" w:eastAsia="Calibri" w:hAnsi="Calibri"/>
          <w:color w:val="1A1A1A"/>
          <w:sz w:val="22"/>
          <w:szCs w:val="22"/>
        </w:rPr>
        <w:t xml:space="preserve">Le présent document résume les réalisations au regard des termes de référence, du plan de travail convenu et des livrables contractuels.</w:t>
      </w:r>
    </w:p>
    <w:p>
      <w:pPr>
        <w:spacing w:after="120" w:before="280"/>
      </w:pPr>
      <w:r>
        <w:rPr>
          <w:rFonts w:ascii="Calibri" w:cs="Calibri" w:eastAsia="Calibri" w:hAnsi="Calibri"/>
          <w:b/>
          <w:bCs/>
          <w:color w:val="00529B"/>
          <w:sz w:val="26"/>
          <w:szCs w:val="26"/>
        </w:rPr>
        <w:t xml:space="preserve">2. Contexte et mandat</w:t>
      </w:r>
    </w:p>
    <w:p>
      <w:pPr>
        <w:spacing w:after="80" w:before="80" w:line="276"/>
      </w:pPr>
      <w:r>
        <w:rPr>
          <w:rFonts w:ascii="Calibri" w:cs="Calibri" w:eastAsia="Calibri" w:hAnsi="Calibri"/>
          <w:color w:val="1A1A1A"/>
          <w:sz w:val="22"/>
          <w:szCs w:val="22"/>
        </w:rPr>
        <w:t xml:space="preserve">L’AUCTC (African Union Counter Terrorism Centre), basé à Alger, est une institution spécialisée de l’Union africaine chargée de renforcer les capacités des États membres à prévenir et combattre le terrorisme. Le Centre dispose d’une base de données centrale pour collecter, stocker et analyser les données relatives aux incidents, tendances et menaces liés au terrorisme en Afrique.</w:t>
      </w:r>
    </w:p>
    <w:p>
      <w:pPr>
        <w:spacing w:after="80" w:before="80" w:line="276"/>
      </w:pPr>
      <w:r>
        <w:rPr>
          <w:rFonts w:ascii="Calibri" w:cs="Calibri" w:eastAsia="Calibri" w:hAnsi="Calibri"/>
          <w:color w:val="1A1A1A"/>
          <w:sz w:val="22"/>
          <w:szCs w:val="22"/>
        </w:rPr>
        <w:t xml:space="preserve">Depuis sa mise en place, l’évolution technologique, les besoins opérationnels et les retours d’utilisateurs ont justifié une modernisation structurée afin d’améliorer la fonctionnalité, l’intégrité des données, les capacités analytiques et l’usage durable du système.</w:t>
      </w:r>
    </w:p>
    <w:p>
      <w:pPr>
        <w:spacing w:after="80" w:before="80" w:line="276"/>
      </w:pPr>
      <w:r>
        <w:rPr>
          <w:rFonts w:ascii="Calibri" w:cs="Calibri" w:eastAsia="Calibri" w:hAnsi="Calibri"/>
          <w:color w:val="1A1A1A"/>
          <w:sz w:val="22"/>
          <w:szCs w:val="22"/>
        </w:rPr>
        <w:t xml:space="preserve">La consultance a été mandatée pour mettre à jour, renforcer et optimiser cette base de données.</w:t>
      </w:r>
    </w:p>
    <w:p>
      <w:pPr>
        <w:spacing w:after="120" w:before="280"/>
      </w:pPr>
      <w:r>
        <w:rPr>
          <w:rFonts w:ascii="Calibri" w:cs="Calibri" w:eastAsia="Calibri" w:hAnsi="Calibri"/>
          <w:b/>
          <w:bCs/>
          <w:color w:val="00529B"/>
          <w:sz w:val="26"/>
          <w:szCs w:val="26"/>
        </w:rPr>
        <w:t xml:space="preserve">3. Objectifs de la mission — matrice de réalisation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shd w:fill="00529B"/>
            <w:tcMar>
              <w:top w:type="dxa" w:w="80"/>
              <w:left w:type="dxa" w:w="140"/>
              <w:bottom w:type="dxa" w:w="80"/>
              <w:right w:type="dxa" w:w="140"/>
            </w:tcMar>
            <w:vAlign w:val="center"/>
          </w:tcPr>
          <w:p>
            <w:r>
              <w:rPr>
                <w:rFonts w:ascii="Calibri" w:cs="Calibri" w:eastAsia="Calibri" w:hAnsi="Calibri"/>
                <w:b/>
                <w:bCs/>
                <w:color w:val="FFFFFF"/>
                <w:sz w:val="20"/>
                <w:szCs w:val="20"/>
              </w:rPr>
              <w:t xml:space="preserve">#</w:t>
            </w:r>
          </w:p>
        </w:tc>
        <w:tc>
          <w:tcPr>
            <w:shd w:fill="00529B"/>
            <w:tcMar>
              <w:top w:type="dxa" w:w="80"/>
              <w:left w:type="dxa" w:w="140"/>
              <w:bottom w:type="dxa" w:w="80"/>
              <w:right w:type="dxa" w:w="140"/>
            </w:tcMar>
            <w:vAlign w:val="center"/>
          </w:tcPr>
          <w:p>
            <w:r>
              <w:rPr>
                <w:rFonts w:ascii="Calibri" w:cs="Calibri" w:eastAsia="Calibri" w:hAnsi="Calibri"/>
                <w:b/>
                <w:bCs/>
                <w:color w:val="FFFFFF"/>
                <w:sz w:val="20"/>
                <w:szCs w:val="20"/>
              </w:rPr>
              <w:t xml:space="preserve">Objectif (termes de référence)</w:t>
            </w:r>
          </w:p>
        </w:tc>
        <w:tc>
          <w:tcPr>
            <w:shd w:fill="00529B"/>
            <w:tcMar>
              <w:top w:type="dxa" w:w="80"/>
              <w:left w:type="dxa" w:w="140"/>
              <w:bottom w:type="dxa" w:w="80"/>
              <w:right w:type="dxa" w:w="140"/>
            </w:tcMar>
            <w:vAlign w:val="center"/>
          </w:tcPr>
          <w:p>
            <w:r>
              <w:rPr>
                <w:rFonts w:ascii="Calibri" w:cs="Calibri" w:eastAsia="Calibri" w:hAnsi="Calibri"/>
                <w:b/>
                <w:bCs/>
                <w:color w:val="FFFFFF"/>
                <w:sz w:val="20"/>
                <w:szCs w:val="20"/>
              </w:rPr>
              <w:t xml:space="preserve">Résultat</w:t>
            </w:r>
          </w:p>
        </w:tc>
      </w:tr>
      <w:tr>
        <w:tc>
          <w:tcPr>
            <w:shd w:fill="FFFFFF"/>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1</w:t>
            </w:r>
          </w:p>
        </w:tc>
        <w:tc>
          <w:tcPr>
            <w:shd w:fill="FFFFFF"/>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Examiner l’architecture, la structure des données et les fonctionnalités existantes</w:t>
            </w:r>
          </w:p>
        </w:tc>
        <w:tc>
          <w:tcPr>
            <w:shd w:fill="FFFFFF"/>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**Réalisé** — évaluation technique complète</w:t>
            </w:r>
          </w:p>
        </w:tc>
      </w:tr>
      <w:tr>
        <w:tc>
          <w:tcPr>
            <w:shd w:fill="E8F0F8"/>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2</w:t>
            </w:r>
          </w:p>
        </w:tc>
        <w:tc>
          <w:tcPr>
            <w:shd w:fill="E8F0F8"/>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Identifier les lacunes, redondances et goulots d’étranglement</w:t>
            </w:r>
          </w:p>
        </w:tc>
        <w:tc>
          <w:tcPr>
            <w:shd w:fill="E8F0F8"/>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**Réalisé** — traités dans la refonte (index, accès, UX, déploiement)</w:t>
            </w:r>
          </w:p>
        </w:tc>
      </w:tr>
      <w:tr>
        <w:tc>
          <w:tcPr>
            <w:shd w:fill="FFFFFF"/>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3</w:t>
            </w:r>
          </w:p>
        </w:tc>
        <w:tc>
          <w:tcPr>
            <w:shd w:fill="FFFFFF"/>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Concevoir et mettre en œuvre un système de base de données amélioré et évolutif</w:t>
            </w:r>
          </w:p>
        </w:tc>
        <w:tc>
          <w:tcPr>
            <w:shd w:fill="FFFFFF"/>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**Réalisé** — plateforme MySQL 8 / Symfony 7.4 modernisée</w:t>
            </w:r>
          </w:p>
        </w:tc>
      </w:tr>
      <w:tr>
        <w:tc>
          <w:tcPr>
            <w:shd w:fill="E8F0F8"/>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4</w:t>
            </w:r>
          </w:p>
        </w:tc>
        <w:tc>
          <w:tcPr>
            <w:shd w:fill="E8F0F8"/>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Intégrer analytique avancée, visualisation et reporting</w:t>
            </w:r>
          </w:p>
        </w:tc>
        <w:tc>
          <w:tcPr>
            <w:shd w:fill="E8F0F8"/>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**Réalisé** — tableau de bord, graphiques, carte SIG, workflow de validation</w:t>
            </w:r>
          </w:p>
        </w:tc>
      </w:tr>
      <w:tr>
        <w:tc>
          <w:tcPr>
            <w:shd w:fill="FFFFFF"/>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5</w:t>
            </w:r>
          </w:p>
        </w:tc>
        <w:tc>
          <w:tcPr>
            <w:shd w:fill="FFFFFF"/>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Renforcer la sécurité des données, les sauvegardes et la gestion des accès</w:t>
            </w:r>
          </w:p>
        </w:tc>
        <w:tc>
          <w:tcPr>
            <w:shd w:fill="FFFFFF"/>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**Réalisé** — profils RBAC, activation des comptes, journal d’audit, procédures de sauvegarde</w:t>
            </w:r>
          </w:p>
        </w:tc>
      </w:tr>
      <w:tr>
        <w:tc>
          <w:tcPr>
            <w:shd w:fill="E8F0F8"/>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6</w:t>
            </w:r>
          </w:p>
        </w:tc>
        <w:tc>
          <w:tcPr>
            <w:shd w:fill="E8F0F8"/>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Assurer le renforcement des capacités et la documentation pour la pérennité</w:t>
            </w:r>
          </w:p>
        </w:tc>
        <w:tc>
          <w:tcPr>
            <w:shd w:fill="E8F0F8"/>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**Partiellement réalisé** — documentation et supports prêts ; **formation utilisateurs à planifier**</w:t>
            </w:r>
          </w:p>
        </w:tc>
      </w:tr>
    </w:tbl>
    <w:p>
      <w:pPr>
        <w:spacing w:after="120" w:before="280"/>
      </w:pPr>
      <w:r>
        <w:rPr>
          <w:rFonts w:ascii="Calibri" w:cs="Calibri" w:eastAsia="Calibri" w:hAnsi="Calibri"/>
          <w:b/>
          <w:bCs/>
          <w:color w:val="00529B"/>
          <w:sz w:val="26"/>
          <w:szCs w:val="26"/>
        </w:rPr>
        <w:t xml:space="preserve">4. Périmètre des travaux — phases livrées</w:t>
      </w:r>
    </w:p>
    <w:p>
      <w:pPr>
        <w:spacing w:after="80" w:before="200"/>
      </w:pPr>
      <w:r>
        <w:rPr>
          <w:rFonts w:ascii="Calibri" w:cs="Calibri" w:eastAsia="Calibri" w:hAnsi="Calibri"/>
          <w:b/>
          <w:bCs/>
          <w:color w:val="1A1A1A"/>
          <w:sz w:val="24"/>
          <w:szCs w:val="24"/>
        </w:rPr>
        <w:t xml:space="preserve">Phase 1 — Démarrage et évaluation (T1)</w:t>
      </w:r>
    </w:p>
    <w:p>
      <w:pPr>
        <w:pStyle w:val="ListParagraph"/>
        <w:numPr>
          <w:ilvl/>
          <w:numId w:val="1"/>
        </w:numPr>
        <w:spacing w:after="60" w:before="60"/>
      </w:pPr>
      <w:r>
        <w:rPr>
          <w:rFonts w:ascii="Calibri" w:cs="Calibri" w:eastAsia="Calibri" w:hAnsi="Calibri"/>
          <w:color w:val="1A1A1A"/>
          <w:sz w:val="22"/>
          <w:szCs w:val="22"/>
        </w:rPr>
        <w:t xml:space="preserve">Revue approfondie de la base existante (modèles de données, code, interface).</w:t>
      </w:r>
    </w:p>
    <w:p>
      <w:pPr>
        <w:pStyle w:val="ListParagraph"/>
        <w:numPr>
          <w:ilvl/>
          <w:numId w:val="1"/>
        </w:numPr>
        <w:spacing w:after="60" w:before="60"/>
      </w:pPr>
      <w:r>
        <w:rPr>
          <w:rFonts w:ascii="Calibri" w:cs="Calibri" w:eastAsia="Calibri" w:hAnsi="Calibri"/>
          <w:color w:val="1A1A1A"/>
          <w:sz w:val="22"/>
          <w:szCs w:val="22"/>
        </w:rPr>
        <w:t xml:space="preserve">Évaluation des sources de données, mécanismes de collecte et flux analytiques.</w:t>
      </w:r>
    </w:p>
    <w:p>
      <w:pPr>
        <w:pStyle w:val="ListParagraph"/>
        <w:numPr>
          <w:ilvl/>
          <w:numId w:val="1"/>
        </w:numPr>
        <w:spacing w:after="60" w:before="60"/>
      </w:pPr>
      <w:r>
        <w:rPr>
          <w:rFonts w:ascii="Calibri" w:cs="Calibri" w:eastAsia="Calibri" w:hAnsi="Calibri"/>
          <w:color w:val="1A1A1A"/>
          <w:sz w:val="22"/>
          <w:szCs w:val="22"/>
        </w:rPr>
        <w:t xml:space="preserve">Consultations avec les parties prenantes pour préciser les besoins fonctionnels et techniques.</w:t>
      </w:r>
    </w:p>
    <w:p>
      <w:pPr>
        <w:pStyle w:val="ListParagraph"/>
        <w:numPr>
          <w:ilvl/>
          <w:numId w:val="1"/>
        </w:numPr>
        <w:spacing w:after="60" w:before="60"/>
      </w:pPr>
      <w:r>
        <w:rPr>
          <w:rFonts w:ascii="Calibri" w:cs="Calibri" w:eastAsia="Calibri" w:hAnsi="Calibri"/>
          <w:color w:val="1A1A1A"/>
          <w:sz w:val="22"/>
          <w:szCs w:val="22"/>
        </w:rPr>
        <w:t xml:space="preserve">Livrable : rapport d’inception (constats, méthodologie, plan de travail actualisé).</w:t>
      </w:r>
    </w:p>
    <w:p>
      <w:pPr>
        <w:spacing w:after="80" w:before="200"/>
      </w:pPr>
      <w:r>
        <w:rPr>
          <w:rFonts w:ascii="Calibri" w:cs="Calibri" w:eastAsia="Calibri" w:hAnsi="Calibri"/>
          <w:b/>
          <w:bCs/>
          <w:color w:val="1A1A1A"/>
          <w:sz w:val="24"/>
          <w:szCs w:val="24"/>
        </w:rPr>
        <w:t xml:space="preserve">Phase 2 — Conception et développement (T2–T4)</w:t>
      </w:r>
    </w:p>
    <w:p>
      <w:pPr>
        <w:pStyle w:val="ListParagraph"/>
        <w:numPr>
          <w:ilvl/>
          <w:numId w:val="1"/>
        </w:numPr>
        <w:spacing w:after="60" w:before="60"/>
      </w:pPr>
      <w:r>
        <w:rPr>
          <w:rFonts w:ascii="Calibri" w:cs="Calibri" w:eastAsia="Calibri" w:hAnsi="Calibri"/>
          <w:color w:val="1A1A1A"/>
          <w:sz w:val="22"/>
          <w:szCs w:val="22"/>
        </w:rPr>
        <w:t xml:space="preserve">Refonte de l’architecture sur une stack moderne et sécurisée (MySQL 8, PHP 8.2, Symfony 7.4).</w:t>
      </w:r>
    </w:p>
    <w:p>
      <w:pPr>
        <w:pStyle w:val="ListParagraph"/>
        <w:numPr>
          <w:ilvl/>
          <w:numId w:val="1"/>
        </w:numPr>
        <w:spacing w:after="60" w:before="60"/>
      </w:pPr>
      <w:r>
        <w:rPr>
          <w:rFonts w:ascii="Calibri" w:cs="Calibri" w:eastAsia="Calibri" w:hAnsi="Calibri"/>
          <w:color w:val="1A1A1A"/>
          <w:sz w:val="22"/>
          <w:szCs w:val="22"/>
        </w:rPr>
        <w:t xml:space="preserve">Modèle de données optimisé, index de performance et contrôles d’intégrité.</w:t>
      </w:r>
    </w:p>
    <w:p>
      <w:pPr>
        <w:pStyle w:val="ListParagraph"/>
        <w:numPr>
          <w:ilvl/>
          <w:numId w:val="1"/>
        </w:numPr>
        <w:spacing w:after="60" w:before="60"/>
      </w:pPr>
      <w:r>
        <w:rPr>
          <w:rFonts w:ascii="Calibri" w:cs="Calibri" w:eastAsia="Calibri" w:hAnsi="Calibri"/>
          <w:color w:val="1A1A1A"/>
          <w:sz w:val="22"/>
          <w:szCs w:val="22"/>
        </w:rPr>
        <w:t xml:space="preserve">Voies d’ingestion : formulaires structurés et import Excel (ETL) avec validation.</w:t>
      </w:r>
    </w:p>
    <w:p>
      <w:pPr>
        <w:pStyle w:val="ListParagraph"/>
        <w:numPr>
          <w:ilvl/>
          <w:numId w:val="1"/>
        </w:numPr>
        <w:spacing w:after="60" w:before="60"/>
      </w:pPr>
      <w:r>
        <w:rPr>
          <w:rFonts w:ascii="Calibri" w:cs="Calibri" w:eastAsia="Calibri" w:hAnsi="Calibri"/>
          <w:color w:val="1A1A1A"/>
          <w:sz w:val="22"/>
          <w:szCs w:val="22"/>
        </w:rPr>
        <w:t xml:space="preserve">Analyse géospatiale : carte interactive Leaflet et agrégation des incidents publiés.</w:t>
      </w:r>
    </w:p>
    <w:p>
      <w:pPr>
        <w:pStyle w:val="ListParagraph"/>
        <w:numPr>
          <w:ilvl/>
          <w:numId w:val="1"/>
        </w:numPr>
        <w:spacing w:after="60" w:before="60"/>
      </w:pPr>
      <w:r>
        <w:rPr>
          <w:rFonts w:ascii="Calibri" w:cs="Calibri" w:eastAsia="Calibri" w:hAnsi="Calibri"/>
          <w:color w:val="1A1A1A"/>
          <w:sz w:val="22"/>
          <w:szCs w:val="22"/>
        </w:rPr>
        <w:t xml:space="preserve">Tableaux de bord et reporting : tableau de bord opérationnel, synthèse exécutive, graphiques comparatifs.</w:t>
      </w:r>
    </w:p>
    <w:p>
      <w:pPr>
        <w:pStyle w:val="ListParagraph"/>
        <w:numPr>
          <w:ilvl/>
          <w:numId w:val="1"/>
        </w:numPr>
        <w:spacing w:after="60" w:before="60"/>
      </w:pPr>
      <w:r>
        <w:rPr>
          <w:rFonts w:ascii="Calibri" w:cs="Calibri" w:eastAsia="Calibri" w:hAnsi="Calibri"/>
          <w:color w:val="1A1A1A"/>
          <w:sz w:val="22"/>
          <w:szCs w:val="22"/>
        </w:rPr>
        <w:t xml:space="preserve">Modèle d’accès aligné sur les rôles AUCTC (Point focal, Staff, Administrateur, Super administrateur).</w:t>
      </w:r>
    </w:p>
    <w:p>
      <w:pPr>
        <w:pStyle w:val="ListParagraph"/>
        <w:numPr>
          <w:ilvl/>
          <w:numId w:val="1"/>
        </w:numPr>
        <w:spacing w:after="60" w:before="60"/>
      </w:pPr>
      <w:r>
        <w:rPr>
          <w:rFonts w:ascii="Calibri" w:cs="Calibri" w:eastAsia="Calibri" w:hAnsi="Calibri"/>
          <w:color w:val="1A1A1A"/>
          <w:sz w:val="22"/>
          <w:szCs w:val="22"/>
        </w:rPr>
        <w:t xml:space="preserve">Livrables : document de conception technique ; prototype ; système final.</w:t>
      </w:r>
    </w:p>
    <w:p>
      <w:pPr>
        <w:spacing w:after="80" w:before="200"/>
      </w:pPr>
      <w:r>
        <w:rPr>
          <w:rFonts w:ascii="Calibri" w:cs="Calibri" w:eastAsia="Calibri" w:hAnsi="Calibri"/>
          <w:b/>
          <w:bCs/>
          <w:color w:val="1A1A1A"/>
          <w:sz w:val="24"/>
          <w:szCs w:val="24"/>
        </w:rPr>
        <w:t xml:space="preserve">Phase 3 — Tests et déploiement (T4–T5)</w:t>
      </w:r>
    </w:p>
    <w:p>
      <w:pPr>
        <w:pStyle w:val="ListParagraph"/>
        <w:numPr>
          <w:ilvl/>
          <w:numId w:val="1"/>
        </w:numPr>
        <w:spacing w:after="60" w:before="60"/>
      </w:pPr>
      <w:r>
        <w:rPr>
          <w:rFonts w:ascii="Calibri" w:cs="Calibri" w:eastAsia="Calibri" w:hAnsi="Calibri"/>
          <w:color w:val="1A1A1A"/>
          <w:sz w:val="22"/>
          <w:szCs w:val="22"/>
        </w:rPr>
        <w:t xml:space="preserve">Validation fonctionnelle et intégrée des parcours clés (connexion, saisie, import, validation, analytique, carte, gestion des utilisateurs).</w:t>
      </w:r>
    </w:p>
    <w:p>
      <w:pPr>
        <w:pStyle w:val="ListParagraph"/>
        <w:numPr>
          <w:ilvl/>
          <w:numId w:val="1"/>
        </w:numPr>
        <w:spacing w:after="60" w:before="60"/>
      </w:pPr>
      <w:r>
        <w:rPr>
          <w:rFonts w:ascii="Calibri" w:cs="Calibri" w:eastAsia="Calibri" w:hAnsi="Calibri"/>
          <w:color w:val="1A1A1A"/>
          <w:sz w:val="22"/>
          <w:szCs w:val="22"/>
        </w:rPr>
        <w:t xml:space="preserve">Alignement du schéma de production sans perte d’intégrité structurelle.</w:t>
      </w:r>
    </w:p>
    <w:p>
      <w:pPr>
        <w:pStyle w:val="ListParagraph"/>
        <w:numPr>
          <w:ilvl/>
          <w:numId w:val="1"/>
        </w:numPr>
        <w:spacing w:after="60" w:before="60"/>
      </w:pPr>
      <w:r>
        <w:rPr>
          <w:rFonts w:ascii="Calibri" w:cs="Calibri" w:eastAsia="Calibri" w:hAnsi="Calibri"/>
          <w:color w:val="1A1A1A"/>
          <w:sz w:val="22"/>
          <w:szCs w:val="22"/>
        </w:rPr>
        <w:t xml:space="preserve">Déploiement sur le serveur Windows local sécurisé de l’AUCTC (IIS + MySQL), accessible sur le réseau institutionnel (câble et Wi‑Fi).</w:t>
      </w:r>
    </w:p>
    <w:p>
      <w:pPr>
        <w:pStyle w:val="ListParagraph"/>
        <w:numPr>
          <w:ilvl/>
          <w:numId w:val="1"/>
        </w:numPr>
        <w:spacing w:after="60" w:before="60"/>
      </w:pPr>
      <w:r>
        <w:rPr>
          <w:rFonts w:ascii="Calibri" w:cs="Calibri" w:eastAsia="Calibri" w:hAnsi="Calibri"/>
          <w:color w:val="1A1A1A"/>
          <w:sz w:val="22"/>
          <w:szCs w:val="22"/>
        </w:rPr>
        <w:t xml:space="preserve">Préparation et chargement d’une base de production comprenant référentiels, compte super administrateur et données historiques d’incidents.</w:t>
      </w:r>
    </w:p>
    <w:p>
      <w:pPr>
        <w:pStyle w:val="ListParagraph"/>
        <w:numPr>
          <w:ilvl/>
          <w:numId w:val="1"/>
        </w:numPr>
        <w:spacing w:after="60" w:before="60"/>
      </w:pPr>
      <w:r>
        <w:rPr>
          <w:rFonts w:ascii="Calibri" w:cs="Calibri" w:eastAsia="Calibri" w:hAnsi="Calibri"/>
          <w:color w:val="1A1A1A"/>
          <w:sz w:val="22"/>
          <w:szCs w:val="22"/>
        </w:rPr>
        <w:t xml:space="preserve">Sonde de santé et contrôles opérationnels.</w:t>
      </w:r>
    </w:p>
    <w:p>
      <w:pPr>
        <w:pStyle w:val="ListParagraph"/>
        <w:numPr>
          <w:ilvl/>
          <w:numId w:val="1"/>
        </w:numPr>
        <w:spacing w:after="60" w:before="60"/>
      </w:pPr>
      <w:r>
        <w:rPr>
          <w:rFonts w:ascii="Calibri" w:cs="Calibri" w:eastAsia="Calibri" w:hAnsi="Calibri"/>
          <w:color w:val="1A1A1A"/>
          <w:sz w:val="22"/>
          <w:szCs w:val="22"/>
        </w:rPr>
        <w:t xml:space="preserve">Livrables : système final testé et déployé ; base prête pour exploitation locale.</w:t>
      </w:r>
    </w:p>
    <w:p>
      <w:pPr>
        <w:spacing w:after="80" w:before="200"/>
      </w:pPr>
      <w:r>
        <w:rPr>
          <w:rFonts w:ascii="Calibri" w:cs="Calibri" w:eastAsia="Calibri" w:hAnsi="Calibri"/>
          <w:b/>
          <w:bCs/>
          <w:color w:val="1A1A1A"/>
          <w:sz w:val="24"/>
          <w:szCs w:val="24"/>
        </w:rPr>
        <w:t xml:space="preserve">Phase 4 — Documentation et passation (T6–T7)</w:t>
      </w:r>
    </w:p>
    <w:p>
      <w:pPr>
        <w:pStyle w:val="ListParagraph"/>
        <w:numPr>
          <w:ilvl/>
          <w:numId w:val="1"/>
        </w:numPr>
        <w:spacing w:after="60" w:before="60"/>
      </w:pPr>
      <w:r>
        <w:rPr>
          <w:rFonts w:ascii="Calibri" w:cs="Calibri" w:eastAsia="Calibri" w:hAnsi="Calibri"/>
          <w:color w:val="1A1A1A"/>
          <w:sz w:val="22"/>
          <w:szCs w:val="22"/>
        </w:rPr>
        <w:t xml:space="preserve">Documentation technique : architecture, déploiement, exploitation, maintenance et dépannage.</w:t>
      </w:r>
    </w:p>
    <w:p>
      <w:pPr>
        <w:pStyle w:val="ListParagraph"/>
        <w:numPr>
          <w:ilvl/>
          <w:numId w:val="1"/>
        </w:numPr>
        <w:spacing w:after="60" w:before="60"/>
      </w:pPr>
      <w:r>
        <w:rPr>
          <w:rFonts w:ascii="Calibri" w:cs="Calibri" w:eastAsia="Calibri" w:hAnsi="Calibri"/>
          <w:color w:val="1A1A1A"/>
          <w:sz w:val="22"/>
          <w:szCs w:val="22"/>
        </w:rPr>
        <w:t xml:space="preserve">Manuels utilisateur et administrateur ; guides d’onboarding et d’analyste ; supports de formation préparés.</w:t>
      </w:r>
    </w:p>
    <w:p>
      <w:pPr>
        <w:pStyle w:val="ListParagraph"/>
        <w:numPr>
          <w:ilvl/>
          <w:numId w:val="1"/>
        </w:numPr>
        <w:spacing w:after="60" w:before="60"/>
      </w:pPr>
      <w:r>
        <w:rPr>
          <w:rFonts w:ascii="Calibri" w:cs="Calibri" w:eastAsia="Calibri" w:hAnsi="Calibri"/>
          <w:color w:val="1A1A1A"/>
          <w:sz w:val="22"/>
          <w:szCs w:val="22"/>
        </w:rPr>
        <w:t xml:space="preserve">Rapport de consultance (présent document).</w:t>
      </w:r>
    </w:p>
    <w:p>
      <w:pPr>
        <w:pStyle w:val="ListParagraph"/>
        <w:numPr>
          <w:ilvl/>
          <w:numId w:val="1"/>
        </w:numPr>
        <w:spacing w:after="60" w:before="60"/>
      </w:pPr>
      <w:r>
        <w:rPr>
          <w:rFonts w:ascii="Calibri" w:cs="Calibri" w:eastAsia="Calibri" w:hAnsi="Calibri"/>
          <w:color w:val="1A1A1A"/>
          <w:sz w:val="22"/>
          <w:szCs w:val="22"/>
        </w:rPr>
        <w:t xml:space="preserve">À planifier : session(s) de formation des utilisateurs et administrateurs sur site ou à distance.</w:t>
      </w:r>
    </w:p>
    <w:p>
      <w:pPr>
        <w:pStyle w:val="ListParagraph"/>
        <w:numPr>
          <w:ilvl/>
          <w:numId w:val="1"/>
        </w:numPr>
        <w:spacing w:after="60" w:before="60"/>
      </w:pPr>
      <w:r>
        <w:rPr>
          <w:rFonts w:ascii="Calibri" w:cs="Calibri" w:eastAsia="Calibri" w:hAnsi="Calibri"/>
          <w:color w:val="1A1A1A"/>
          <w:sz w:val="22"/>
          <w:szCs w:val="22"/>
        </w:rPr>
        <w:t xml:space="preserve">Livrables : pack documentation (livré) ; formation (supports prêts — session non encore réalisée).</w:t>
      </w:r>
    </w:p>
    <w:p>
      <w:pPr>
        <w:spacing w:after="120" w:before="280"/>
      </w:pPr>
      <w:r>
        <w:rPr>
          <w:rFonts w:ascii="Calibri" w:cs="Calibri" w:eastAsia="Calibri" w:hAnsi="Calibri"/>
          <w:b/>
          <w:bCs/>
          <w:color w:val="00529B"/>
          <w:sz w:val="26"/>
          <w:szCs w:val="26"/>
        </w:rPr>
        <w:t xml:space="preserve">5. Réalisations principales</w:t>
      </w:r>
    </w:p>
    <w:p>
      <w:pPr>
        <w:spacing w:after="80" w:before="200"/>
      </w:pPr>
      <w:r>
        <w:rPr>
          <w:rFonts w:ascii="Calibri" w:cs="Calibri" w:eastAsia="Calibri" w:hAnsi="Calibri"/>
          <w:b/>
          <w:bCs/>
          <w:color w:val="1A1A1A"/>
          <w:sz w:val="24"/>
          <w:szCs w:val="24"/>
        </w:rPr>
        <w:t xml:space="preserve">5.1 Plateforme modernisée et opérationnelle</w:t>
      </w:r>
    </w:p>
    <w:p>
      <w:pPr>
        <w:pStyle w:val="ListParagraph"/>
        <w:numPr>
          <w:ilvl/>
          <w:numId w:val="1"/>
        </w:numPr>
        <w:spacing w:after="60" w:before="60"/>
      </w:pPr>
      <w:r>
        <w:rPr>
          <w:rFonts w:ascii="Calibri" w:cs="Calibri" w:eastAsia="Calibri" w:hAnsi="Calibri"/>
          <w:color w:val="1A1A1A"/>
          <w:sz w:val="22"/>
          <w:szCs w:val="22"/>
        </w:rPr>
        <w:t xml:space="preserve">Application présentée sous l’identité AUCTC (les chemins techniques conservent l’identifiant historique CAERT lorsque nécessaire pour la continuité IT).</w:t>
      </w:r>
    </w:p>
    <w:p>
      <w:pPr>
        <w:pStyle w:val="ListParagraph"/>
        <w:numPr>
          <w:ilvl/>
          <w:numId w:val="1"/>
        </w:numPr>
        <w:spacing w:after="60" w:before="60"/>
      </w:pPr>
      <w:r>
        <w:rPr>
          <w:rFonts w:ascii="Calibri" w:cs="Calibri" w:eastAsia="Calibri" w:hAnsi="Calibri"/>
          <w:color w:val="1A1A1A"/>
          <w:sz w:val="22"/>
          <w:szCs w:val="22"/>
        </w:rPr>
        <w:t xml:space="preserve">Interface bilingue (français / anglais).</w:t>
      </w:r>
    </w:p>
    <w:p>
      <w:pPr>
        <w:pStyle w:val="ListParagraph"/>
        <w:numPr>
          <w:ilvl/>
          <w:numId w:val="1"/>
        </w:numPr>
        <w:spacing w:after="60" w:before="60"/>
      </w:pPr>
      <w:r>
        <w:rPr>
          <w:rFonts w:ascii="Calibri" w:cs="Calibri" w:eastAsia="Calibri" w:hAnsi="Calibri"/>
          <w:color w:val="1A1A1A"/>
          <w:sz w:val="22"/>
          <w:szCs w:val="22"/>
        </w:rPr>
        <w:t xml:space="preserve">Cycle de vie complet des incidents : saisie → validation → publication → analyse.</w:t>
      </w:r>
    </w:p>
    <w:p>
      <w:pPr>
        <w:pStyle w:val="ListParagraph"/>
        <w:numPr>
          <w:ilvl/>
          <w:numId w:val="1"/>
        </w:numPr>
        <w:spacing w:after="60" w:before="60"/>
      </w:pPr>
      <w:r>
        <w:rPr>
          <w:rFonts w:ascii="Calibri" w:cs="Calibri" w:eastAsia="Calibri" w:hAnsi="Calibri"/>
          <w:color w:val="1A1A1A"/>
          <w:sz w:val="22"/>
          <w:szCs w:val="22"/>
        </w:rPr>
        <w:t xml:space="preserve">Sonde de santé pour le suivi opérationnel.</w:t>
      </w:r>
    </w:p>
    <w:p>
      <w:pPr>
        <w:spacing w:after="80" w:before="200"/>
      </w:pPr>
      <w:r>
        <w:rPr>
          <w:rFonts w:ascii="Calibri" w:cs="Calibri" w:eastAsia="Calibri" w:hAnsi="Calibri"/>
          <w:b/>
          <w:bCs/>
          <w:color w:val="1A1A1A"/>
          <w:sz w:val="24"/>
          <w:szCs w:val="24"/>
        </w:rPr>
        <w:t xml:space="preserve">5.2 Analytique, visualisation et reporting</w:t>
      </w:r>
    </w:p>
    <w:p>
      <w:pPr>
        <w:pStyle w:val="ListParagraph"/>
        <w:numPr>
          <w:ilvl/>
          <w:numId w:val="1"/>
        </w:numPr>
        <w:spacing w:after="60" w:before="60"/>
      </w:pPr>
      <w:r>
        <w:rPr>
          <w:rFonts w:ascii="Calibri" w:cs="Calibri" w:eastAsia="Calibri" w:hAnsi="Calibri"/>
          <w:color w:val="1A1A1A"/>
          <w:sz w:val="22"/>
          <w:szCs w:val="22"/>
        </w:rPr>
        <w:t xml:space="preserve">Tableau de bord adapté aux profils, avec fenêtre opérationnelle par défaut (région et 12 mois).</w:t>
      </w:r>
    </w:p>
    <w:p>
      <w:pPr>
        <w:pStyle w:val="ListParagraph"/>
        <w:numPr>
          <w:ilvl/>
          <w:numId w:val="1"/>
        </w:numPr>
        <w:spacing w:after="60" w:before="60"/>
      </w:pPr>
      <w:r>
        <w:rPr>
          <w:rFonts w:ascii="Calibri" w:cs="Calibri" w:eastAsia="Calibri" w:hAnsi="Calibri"/>
          <w:color w:val="1A1A1A"/>
          <w:sz w:val="22"/>
          <w:szCs w:val="22"/>
        </w:rPr>
        <w:t xml:space="preserve">Graphiques et indicateurs centrés sur les totaux (nombre d’attaques, total décès, total blessés), adaptés aux données historiques et aux KPI.</w:t>
      </w:r>
    </w:p>
    <w:p>
      <w:pPr>
        <w:pStyle w:val="ListParagraph"/>
        <w:numPr>
          <w:ilvl/>
          <w:numId w:val="1"/>
        </w:numPr>
        <w:spacing w:after="60" w:before="60"/>
      </w:pPr>
      <w:r>
        <w:rPr>
          <w:rFonts w:ascii="Calibri" w:cs="Calibri" w:eastAsia="Calibri" w:hAnsi="Calibri"/>
          <w:color w:val="1A1A1A"/>
          <w:sz w:val="22"/>
          <w:szCs w:val="22"/>
        </w:rPr>
        <w:t xml:space="preserve">Carte SIG pour la visualisation géographique, avec filtre d’année.</w:t>
      </w:r>
    </w:p>
    <w:p>
      <w:pPr>
        <w:pStyle w:val="ListParagraph"/>
        <w:numPr>
          <w:ilvl/>
          <w:numId w:val="1"/>
        </w:numPr>
        <w:spacing w:after="60" w:before="60"/>
      </w:pPr>
      <w:r>
        <w:rPr>
          <w:rFonts w:ascii="Calibri" w:cs="Calibri" w:eastAsia="Calibri" w:hAnsi="Calibri"/>
          <w:color w:val="1A1A1A"/>
          <w:sz w:val="22"/>
          <w:szCs w:val="22"/>
        </w:rPr>
        <w:t xml:space="preserve">Synthèse opérationnelle pour le pilotage, avec filtre d’année.</w:t>
      </w:r>
    </w:p>
    <w:p>
      <w:pPr>
        <w:spacing w:after="80" w:before="200"/>
      </w:pPr>
      <w:r>
        <w:rPr>
          <w:rFonts w:ascii="Calibri" w:cs="Calibri" w:eastAsia="Calibri" w:hAnsi="Calibri"/>
          <w:b/>
          <w:bCs/>
          <w:color w:val="1A1A1A"/>
          <w:sz w:val="24"/>
          <w:szCs w:val="24"/>
        </w:rPr>
        <w:t xml:space="preserve">5.3 Intégrité des données, ingestion et import historique</w:t>
      </w:r>
    </w:p>
    <w:p>
      <w:pPr>
        <w:pStyle w:val="ListParagraph"/>
        <w:numPr>
          <w:ilvl/>
          <w:numId w:val="1"/>
        </w:numPr>
        <w:spacing w:after="60" w:before="60"/>
      </w:pPr>
      <w:r>
        <w:rPr>
          <w:rFonts w:ascii="Calibri" w:cs="Calibri" w:eastAsia="Calibri" w:hAnsi="Calibri"/>
          <w:color w:val="1A1A1A"/>
          <w:sz w:val="22"/>
          <w:szCs w:val="22"/>
        </w:rPr>
        <w:t xml:space="preserve">Formulaires structurés avec contrôle région / pays.</w:t>
      </w:r>
    </w:p>
    <w:p>
      <w:pPr>
        <w:pStyle w:val="ListParagraph"/>
        <w:numPr>
          <w:ilvl/>
          <w:numId w:val="1"/>
        </w:numPr>
        <w:spacing w:after="60" w:before="60"/>
      </w:pPr>
      <w:r>
        <w:rPr>
          <w:rFonts w:ascii="Calibri" w:cs="Calibri" w:eastAsia="Calibri" w:hAnsi="Calibri"/>
          <w:color w:val="1A1A1A"/>
          <w:sz w:val="22"/>
          <w:szCs w:val="22"/>
        </w:rPr>
        <w:t xml:space="preserve">Import Excel sécurisé (modèle CAERT), avec validation et traçabilité.</w:t>
      </w:r>
    </w:p>
    <w:p>
      <w:pPr>
        <w:pStyle w:val="ListParagraph"/>
        <w:numPr>
          <w:ilvl/>
          <w:numId w:val="1"/>
        </w:numPr>
        <w:spacing w:after="60" w:before="60"/>
      </w:pPr>
      <w:r>
        <w:rPr>
          <w:rFonts w:ascii="Calibri" w:cs="Calibri" w:eastAsia="Calibri" w:hAnsi="Calibri"/>
          <w:color w:val="1A1A1A"/>
          <w:sz w:val="22"/>
          <w:szCs w:val="22"/>
        </w:rPr>
        <w:t xml:space="preserve">Référentiels (régions, pays, types d’attaque, cibles, etc.) prêts pour la production, y compris valeurs neutres (« Non renseigné ») pour l’historique.</w:t>
      </w:r>
    </w:p>
    <w:p>
      <w:pPr>
        <w:pStyle w:val="ListParagraph"/>
        <w:numPr>
          <w:ilvl/>
          <w:numId w:val="1"/>
        </w:numPr>
        <w:spacing w:after="60" w:before="60"/>
      </w:pPr>
      <w:r>
        <w:rPr>
          <w:rFonts w:ascii="Calibri" w:cs="Calibri" w:eastAsia="Calibri" w:hAnsi="Calibri"/>
          <w:color w:val="1A1A1A"/>
          <w:sz w:val="22"/>
          <w:szCs w:val="22"/>
        </w:rPr>
        <w:t xml:space="preserve">Indexation orientée performance.</w:t>
      </w:r>
    </w:p>
    <w:p>
      <w:pPr>
        <w:spacing w:after="80" w:before="80" w:line="276"/>
      </w:pPr>
      <w:r>
        <w:rPr>
          <w:rFonts w:ascii="Calibri" w:cs="Calibri" w:eastAsia="Calibri" w:hAnsi="Calibri"/>
          <w:color w:val="1A1A1A"/>
          <w:sz w:val="22"/>
          <w:szCs w:val="22"/>
        </w:rPr>
        <w:t xml:space="preserve">#### Import du fichier historique Data.xlsx</w:t>
      </w:r>
    </w:p>
    <w:p>
      <w:pPr>
        <w:spacing w:after="80" w:before="80" w:line="276"/>
      </w:pPr>
      <w:r>
        <w:rPr>
          <w:rFonts w:ascii="Calibri" w:cs="Calibri" w:eastAsia="Calibri" w:hAnsi="Calibri"/>
          <w:color w:val="1A1A1A"/>
          <w:sz w:val="22"/>
          <w:szCs w:val="22"/>
        </w:rPr>
        <w:t xml:space="preserve">Un fichier d’incidents historiques (feuille Data, environ 9 800 lignes, période 2021–2024) a été traité pour alimenter la base locale destinée à la production.</w:t>
      </w:r>
    </w:p>
    <w:p>
      <w:pPr>
        <w:spacing w:after="80" w:before="80" w:line="276"/>
      </w:pPr>
      <w:r>
        <w:rPr>
          <w:rFonts w:ascii="Calibri" w:cs="Calibri" w:eastAsia="Calibri" w:hAnsi="Calibri"/>
          <w:color w:val="1A1A1A"/>
          <w:sz w:val="22"/>
          <w:szCs w:val="22"/>
        </w:rPr>
        <w:t xml:space="preserve">Travaux réalisés :</w:t>
      </w:r>
    </w:p>
    <w:p>
      <w:pPr>
        <w:pStyle w:val="ListParagraph"/>
        <w:numPr>
          <w:ilvl/>
          <w:numId w:val="1"/>
        </w:numPr>
        <w:spacing w:after="60" w:before="60"/>
      </w:pPr>
      <w:r>
        <w:rPr>
          <w:rFonts w:ascii="Calibri" w:cs="Calibri" w:eastAsia="Calibri" w:hAnsi="Calibri"/>
          <w:color w:val="1A1A1A"/>
          <w:sz w:val="22"/>
          <w:szCs w:val="22"/>
        </w:rPr>
        <w:t xml:space="preserve">analyse du format source (colonnes en anglais, structure simplifiée) par rapport au modèle métier AUCTC ;</w:t>
      </w:r>
    </w:p>
    <w:p>
      <w:pPr>
        <w:pStyle w:val="ListParagraph"/>
        <w:numPr>
          <w:ilvl/>
          <w:numId w:val="1"/>
        </w:numPr>
        <w:spacing w:after="60" w:before="60"/>
      </w:pPr>
      <w:r>
        <w:rPr>
          <w:rFonts w:ascii="Calibri" w:cs="Calibri" w:eastAsia="Calibri" w:hAnsi="Calibri"/>
          <w:color w:val="1A1A1A"/>
          <w:sz w:val="22"/>
          <w:szCs w:val="22"/>
        </w:rPr>
        <w:t xml:space="preserve">développement d’une commande d’import dédiée (hors interface) pour traiter le volume sans timeout navigateur ;</w:t>
      </w:r>
    </w:p>
    <w:p>
      <w:pPr>
        <w:pStyle w:val="ListParagraph"/>
        <w:numPr>
          <w:ilvl/>
          <w:numId w:val="1"/>
        </w:numPr>
        <w:spacing w:after="60" w:before="60"/>
      </w:pPr>
      <w:r>
        <w:rPr>
          <w:rFonts w:ascii="Calibri" w:cs="Calibri" w:eastAsia="Calibri" w:hAnsi="Calibri"/>
          <w:color w:val="1A1A1A"/>
          <w:sz w:val="22"/>
          <w:szCs w:val="22"/>
        </w:rPr>
        <w:t xml:space="preserve">table d’alias anglais → français pour pays, cibles et moyens d’attaque (ex. Cameroon → CAMEROUN, SALW → Armes légères, Civilians → Civils) ;</w:t>
      </w:r>
    </w:p>
    <w:p>
      <w:pPr>
        <w:pStyle w:val="ListParagraph"/>
        <w:numPr>
          <w:ilvl/>
          <w:numId w:val="1"/>
        </w:numPr>
        <w:spacing w:after="60" w:before="60"/>
      </w:pPr>
      <w:r>
        <w:rPr>
          <w:rFonts w:ascii="Calibri" w:cs="Calibri" w:eastAsia="Calibri" w:hAnsi="Calibri"/>
          <w:color w:val="1A1A1A"/>
          <w:sz w:val="22"/>
          <w:szCs w:val="22"/>
        </w:rPr>
        <w:t xml:space="preserve">création contrôlée des groupes perpétrateurs absents et des libellés manquants (« Non renseigné », etc.) ;</w:t>
      </w:r>
    </w:p>
    <w:p>
      <w:pPr>
        <w:pStyle w:val="ListParagraph"/>
        <w:numPr>
          <w:ilvl/>
          <w:numId w:val="1"/>
        </w:numPr>
        <w:spacing w:after="60" w:before="60"/>
      </w:pPr>
      <w:r>
        <w:rPr>
          <w:rFonts w:ascii="Calibri" w:cs="Calibri" w:eastAsia="Calibri" w:hAnsi="Calibri"/>
          <w:color w:val="1A1A1A"/>
          <w:sz w:val="22"/>
          <w:szCs w:val="22"/>
        </w:rPr>
        <w:t xml:space="preserve">conservation des totaux décès / blessés du fichier (le détail civil / militaire / terroriste n’étant pas disponible dans la source) ;</w:t>
      </w:r>
    </w:p>
    <w:p>
      <w:pPr>
        <w:pStyle w:val="ListParagraph"/>
        <w:numPr>
          <w:ilvl/>
          <w:numId w:val="1"/>
        </w:numPr>
        <w:spacing w:after="60" w:before="60"/>
      </w:pPr>
      <w:r>
        <w:rPr>
          <w:rFonts w:ascii="Calibri" w:cs="Calibri" w:eastAsia="Calibri" w:hAnsi="Calibri"/>
          <w:color w:val="1A1A1A"/>
          <w:sz w:val="22"/>
          <w:szCs w:val="22"/>
        </w:rPr>
        <w:t xml:space="preserve">import en statut publié, avec identifiants auto-incrémentés (indépendants de l’ID Excel) ;</w:t>
      </w:r>
    </w:p>
    <w:p>
      <w:pPr>
        <w:pStyle w:val="ListParagraph"/>
        <w:numPr>
          <w:ilvl/>
          <w:numId w:val="1"/>
        </w:numPr>
        <w:spacing w:after="60" w:before="60"/>
      </w:pPr>
      <w:r>
        <w:rPr>
          <w:rFonts w:ascii="Calibri" w:cs="Calibri" w:eastAsia="Calibri" w:hAnsi="Calibri"/>
          <w:color w:val="1A1A1A"/>
          <w:sz w:val="22"/>
          <w:szCs w:val="22"/>
        </w:rPr>
        <w:t xml:space="preserve">contrôles d’intégrité (dates, pays, régions) ; en cas d’écart région fichier / pays, le pays en base fait foi.</w:t>
      </w:r>
    </w:p>
    <w:p>
      <w:pPr>
        <w:spacing w:after="80" w:before="80" w:line="276"/>
      </w:pPr>
      <w:r>
        <w:rPr>
          <w:rFonts w:ascii="Calibri" w:cs="Calibri" w:eastAsia="Calibri" w:hAnsi="Calibri"/>
          <w:color w:val="1A1A1A"/>
          <w:sz w:val="22"/>
          <w:szCs w:val="22"/>
        </w:rPr>
        <w:t xml:space="preserve">Résultat : base prête à l’exploitation locale, avec historique disponible pour la synthèse, la carte et les analyses sur totaux.</w:t>
      </w:r>
    </w:p>
    <w:p>
      <w:pPr>
        <w:spacing w:after="80" w:before="200"/>
      </w:pPr>
      <w:r>
        <w:rPr>
          <w:rFonts w:ascii="Calibri" w:cs="Calibri" w:eastAsia="Calibri" w:hAnsi="Calibri"/>
          <w:b/>
          <w:bCs/>
          <w:color w:val="1A1A1A"/>
          <w:sz w:val="24"/>
          <w:szCs w:val="24"/>
        </w:rPr>
        <w:t xml:space="preserve">5.4 Sécurité et gestion des accès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shd w:fill="00529B"/>
            <w:tcMar>
              <w:top w:type="dxa" w:w="80"/>
              <w:left w:type="dxa" w:w="140"/>
              <w:bottom w:type="dxa" w:w="80"/>
              <w:right w:type="dxa" w:w="140"/>
            </w:tcMar>
            <w:vAlign w:val="center"/>
          </w:tcPr>
          <w:p>
            <w:r>
              <w:rPr>
                <w:rFonts w:ascii="Calibri" w:cs="Calibri" w:eastAsia="Calibri" w:hAnsi="Calibri"/>
                <w:b/>
                <w:bCs/>
                <w:color w:val="FFFFFF"/>
                <w:sz w:val="20"/>
                <w:szCs w:val="20"/>
              </w:rPr>
              <w:t xml:space="preserve">Profil</w:t>
            </w:r>
          </w:p>
        </w:tc>
        <w:tc>
          <w:tcPr>
            <w:shd w:fill="00529B"/>
            <w:tcMar>
              <w:top w:type="dxa" w:w="80"/>
              <w:left w:type="dxa" w:w="140"/>
              <w:bottom w:type="dxa" w:w="80"/>
              <w:right w:type="dxa" w:w="140"/>
            </w:tcMar>
            <w:vAlign w:val="center"/>
          </w:tcPr>
          <w:p>
            <w:r>
              <w:rPr>
                <w:rFonts w:ascii="Calibri" w:cs="Calibri" w:eastAsia="Calibri" w:hAnsi="Calibri"/>
                <w:b/>
                <w:bCs/>
                <w:color w:val="FFFFFF"/>
                <w:sz w:val="20"/>
                <w:szCs w:val="20"/>
              </w:rPr>
              <w:t xml:space="preserve">Périmètre opérationnel</w:t>
            </w:r>
          </w:p>
        </w:tc>
      </w:tr>
      <w:tr>
        <w:tc>
          <w:tcPr>
            <w:shd w:fill="FFFFFF"/>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Point focal pays</w:t>
            </w:r>
          </w:p>
        </w:tc>
        <w:tc>
          <w:tcPr>
            <w:shd w:fill="FFFFFF"/>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Vue par défaut : région assignée ; écriture : son pays</w:t>
            </w:r>
          </w:p>
        </w:tc>
      </w:tr>
      <w:tr>
        <w:tc>
          <w:tcPr>
            <w:shd w:fill="E8F0F8"/>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Staff AUCTC</w:t>
            </w:r>
          </w:p>
        </w:tc>
        <w:tc>
          <w:tcPr>
            <w:shd w:fill="E8F0F8"/>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Suivi et validation au niveau régional</w:t>
            </w:r>
          </w:p>
        </w:tc>
      </w:tr>
      <w:tr>
        <w:tc>
          <w:tcPr>
            <w:shd w:fill="FFFFFF"/>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Administrateur</w:t>
            </w:r>
          </w:p>
        </w:tc>
        <w:tc>
          <w:tcPr>
            <w:shd w:fill="FFFFFF"/>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Accès métier élargi</w:t>
            </w:r>
          </w:p>
        </w:tc>
      </w:tr>
      <w:tr>
        <w:tc>
          <w:tcPr>
            <w:shd w:fill="E8F0F8"/>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Super administrateur</w:t>
            </w:r>
          </w:p>
        </w:tc>
        <w:tc>
          <w:tcPr>
            <w:shd w:fill="E8F0F8"/>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Gestion des utilisateurs et paramètres système</w:t>
            </w:r>
          </w:p>
        </w:tc>
      </w:tr>
    </w:tbl>
    <w:p>
      <w:pPr>
        <w:spacing w:after="80" w:before="80" w:line="276"/>
      </w:pPr>
      <w:r>
        <w:rPr>
          <w:rFonts w:ascii="Calibri" w:cs="Calibri" w:eastAsia="Calibri" w:hAnsi="Calibri"/>
          <w:color w:val="1A1A1A"/>
          <w:sz w:val="22"/>
          <w:szCs w:val="22"/>
        </w:rPr>
        <w:t xml:space="preserve">Contrôles complémentaires livrés :</w:t>
      </w:r>
    </w:p>
    <w:p>
      <w:pPr>
        <w:pStyle w:val="ListParagraph"/>
        <w:numPr>
          <w:ilvl/>
          <w:numId w:val="1"/>
        </w:numPr>
        <w:spacing w:after="60" w:before="60"/>
      </w:pPr>
      <w:r>
        <w:rPr>
          <w:rFonts w:ascii="Calibri" w:cs="Calibri" w:eastAsia="Calibri" w:hAnsi="Calibri"/>
          <w:color w:val="1A1A1A"/>
          <w:sz w:val="22"/>
          <w:szCs w:val="22"/>
        </w:rPr>
        <w:t xml:space="preserve">activation / suspension des comptes par le super administrateur (y compris auto-inscription en attente) ;</w:t>
      </w:r>
    </w:p>
    <w:p>
      <w:pPr>
        <w:pStyle w:val="ListParagraph"/>
        <w:numPr>
          <w:ilvl/>
          <w:numId w:val="1"/>
        </w:numPr>
        <w:spacing w:after="60" w:before="60"/>
      </w:pPr>
      <w:r>
        <w:rPr>
          <w:rFonts w:ascii="Calibri" w:cs="Calibri" w:eastAsia="Calibri" w:hAnsi="Calibri"/>
          <w:color w:val="1A1A1A"/>
          <w:sz w:val="22"/>
          <w:szCs w:val="22"/>
        </w:rPr>
        <w:t xml:space="preserve">annuaire utilisateurs avec recherche, filtres et pagination ;</w:t>
      </w:r>
    </w:p>
    <w:p>
      <w:pPr>
        <w:pStyle w:val="ListParagraph"/>
        <w:numPr>
          <w:ilvl/>
          <w:numId w:val="1"/>
        </w:numPr>
        <w:spacing w:after="60" w:before="60"/>
      </w:pPr>
      <w:r>
        <w:rPr>
          <w:rFonts w:ascii="Calibri" w:cs="Calibri" w:eastAsia="Calibri" w:hAnsi="Calibri"/>
          <w:color w:val="1A1A1A"/>
          <w:sz w:val="22"/>
          <w:szCs w:val="22"/>
        </w:rPr>
        <w:t xml:space="preserve">réinitialisation de mot de passe (e-mail optionnel) ;</w:t>
      </w:r>
    </w:p>
    <w:p>
      <w:pPr>
        <w:pStyle w:val="ListParagraph"/>
        <w:numPr>
          <w:ilvl/>
          <w:numId w:val="1"/>
        </w:numPr>
        <w:spacing w:after="60" w:before="60"/>
      </w:pPr>
      <w:r>
        <w:rPr>
          <w:rFonts w:ascii="Calibri" w:cs="Calibri" w:eastAsia="Calibri" w:hAnsi="Calibri"/>
          <w:color w:val="1A1A1A"/>
          <w:sz w:val="22"/>
          <w:szCs w:val="22"/>
        </w:rPr>
        <w:t xml:space="preserve">journal d’audit des actions sensibles ;</w:t>
      </w:r>
    </w:p>
    <w:p>
      <w:pPr>
        <w:pStyle w:val="ListParagraph"/>
        <w:numPr>
          <w:ilvl/>
          <w:numId w:val="1"/>
        </w:numPr>
        <w:spacing w:after="60" w:before="60"/>
      </w:pPr>
      <w:r>
        <w:rPr>
          <w:rFonts w:ascii="Calibri" w:cs="Calibri" w:eastAsia="Calibri" w:hAnsi="Calibri"/>
          <w:color w:val="1A1A1A"/>
          <w:sz w:val="22"/>
          <w:szCs w:val="22"/>
        </w:rPr>
        <w:t xml:space="preserve">approche de sauvegarde documentée (base et fichiers uploadés).</w:t>
      </w:r>
    </w:p>
    <w:p>
      <w:pPr>
        <w:spacing w:after="80" w:before="200"/>
      </w:pPr>
      <w:r>
        <w:rPr>
          <w:rFonts w:ascii="Calibri" w:cs="Calibri" w:eastAsia="Calibri" w:hAnsi="Calibri"/>
          <w:b/>
          <w:bCs/>
          <w:color w:val="1A1A1A"/>
          <w:sz w:val="24"/>
          <w:szCs w:val="24"/>
        </w:rPr>
        <w:t xml:space="preserve">5.5 Déploiement et continuité institutionnelle</w:t>
      </w:r>
    </w:p>
    <w:p>
      <w:pPr>
        <w:pStyle w:val="ListParagraph"/>
        <w:numPr>
          <w:ilvl/>
          <w:numId w:val="1"/>
        </w:numPr>
        <w:spacing w:after="60" w:before="60"/>
      </w:pPr>
      <w:r>
        <w:rPr>
          <w:rFonts w:ascii="Calibri" w:cs="Calibri" w:eastAsia="Calibri" w:hAnsi="Calibri"/>
          <w:color w:val="1A1A1A"/>
          <w:sz w:val="22"/>
          <w:szCs w:val="22"/>
        </w:rPr>
        <w:t xml:space="preserve">Hébergement sur le serveur Windows local de l’AUCTC (IIS, PHP, MySQL).</w:t>
      </w:r>
    </w:p>
    <w:p>
      <w:pPr>
        <w:pStyle w:val="ListParagraph"/>
        <w:numPr>
          <w:ilvl/>
          <w:numId w:val="1"/>
        </w:numPr>
        <w:spacing w:after="60" w:before="60"/>
      </w:pPr>
      <w:r>
        <w:rPr>
          <w:rFonts w:ascii="Calibri" w:cs="Calibri" w:eastAsia="Calibri" w:hAnsi="Calibri"/>
          <w:color w:val="1A1A1A"/>
          <w:sz w:val="22"/>
          <w:szCs w:val="22"/>
        </w:rPr>
        <w:t xml:space="preserve">Accès LAN pour le personnel (câble et Wi‑Fi), IP fixe et procédures de redémarrage documentées.</w:t>
      </w:r>
    </w:p>
    <w:p>
      <w:pPr>
        <w:pStyle w:val="ListParagraph"/>
        <w:numPr>
          <w:ilvl/>
          <w:numId w:val="1"/>
        </w:numPr>
        <w:spacing w:after="60" w:before="60"/>
      </w:pPr>
      <w:r>
        <w:rPr>
          <w:rFonts w:ascii="Calibri" w:cs="Calibri" w:eastAsia="Calibri" w:hAnsi="Calibri"/>
          <w:color w:val="1A1A1A"/>
          <w:sz w:val="22"/>
          <w:szCs w:val="22"/>
        </w:rPr>
        <w:t xml:space="preserve">Guides de déploiement, lancement et reprise pour la prise en main IT.</w:t>
      </w:r>
    </w:p>
    <w:p>
      <w:pPr>
        <w:spacing w:after="120" w:before="280"/>
      </w:pPr>
      <w:r>
        <w:rPr>
          <w:rFonts w:ascii="Calibri" w:cs="Calibri" w:eastAsia="Calibri" w:hAnsi="Calibri"/>
          <w:b/>
          <w:bCs/>
          <w:color w:val="00529B"/>
          <w:sz w:val="26"/>
          <w:szCs w:val="26"/>
        </w:rPr>
        <w:t xml:space="preserve">6. Livrables contractuels — état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shd w:fill="00529B"/>
            <w:tcMar>
              <w:top w:type="dxa" w:w="80"/>
              <w:left w:type="dxa" w:w="140"/>
              <w:bottom w:type="dxa" w:w="80"/>
              <w:right w:type="dxa" w:w="140"/>
            </w:tcMar>
            <w:vAlign w:val="center"/>
          </w:tcPr>
          <w:p>
            <w:r>
              <w:rPr>
                <w:rFonts w:ascii="Calibri" w:cs="Calibri" w:eastAsia="Calibri" w:hAnsi="Calibri"/>
                <w:b/>
                <w:bCs/>
                <w:color w:val="FFFFFF"/>
                <w:sz w:val="20"/>
                <w:szCs w:val="20"/>
              </w:rPr>
              <w:t xml:space="preserve">Livrable</w:t>
            </w:r>
          </w:p>
        </w:tc>
        <w:tc>
          <w:tcPr>
            <w:shd w:fill="00529B"/>
            <w:tcMar>
              <w:top w:type="dxa" w:w="80"/>
              <w:left w:type="dxa" w:w="140"/>
              <w:bottom w:type="dxa" w:w="80"/>
              <w:right w:type="dxa" w:w="140"/>
            </w:tcMar>
            <w:vAlign w:val="center"/>
          </w:tcPr>
          <w:p>
            <w:r>
              <w:rPr>
                <w:rFonts w:ascii="Calibri" w:cs="Calibri" w:eastAsia="Calibri" w:hAnsi="Calibri"/>
                <w:b/>
                <w:bCs/>
                <w:color w:val="FFFFFF"/>
                <w:sz w:val="20"/>
                <w:szCs w:val="20"/>
              </w:rPr>
              <w:t xml:space="preserve">Échéance</w:t>
            </w:r>
          </w:p>
        </w:tc>
        <w:tc>
          <w:tcPr>
            <w:shd w:fill="00529B"/>
            <w:tcMar>
              <w:top w:type="dxa" w:w="80"/>
              <w:left w:type="dxa" w:w="140"/>
              <w:bottom w:type="dxa" w:w="80"/>
              <w:right w:type="dxa" w:w="140"/>
            </w:tcMar>
            <w:vAlign w:val="center"/>
          </w:tcPr>
          <w:p>
            <w:r>
              <w:rPr>
                <w:rFonts w:ascii="Calibri" w:cs="Calibri" w:eastAsia="Calibri" w:hAnsi="Calibri"/>
                <w:b/>
                <w:bCs/>
                <w:color w:val="FFFFFF"/>
                <w:sz w:val="20"/>
                <w:szCs w:val="20"/>
              </w:rPr>
              <w:t xml:space="preserve">État</w:t>
            </w:r>
          </w:p>
        </w:tc>
      </w:tr>
      <w:tr>
        <w:tc>
          <w:tcPr>
            <w:shd w:fill="FFFFFF"/>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Rapport d’inception</w:t>
            </w:r>
          </w:p>
        </w:tc>
        <w:tc>
          <w:tcPr>
            <w:shd w:fill="FFFFFF"/>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Semaine 2</w:t>
            </w:r>
          </w:p>
        </w:tc>
        <w:tc>
          <w:tcPr>
            <w:shd w:fill="FFFFFF"/>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**Livré**</w:t>
            </w:r>
          </w:p>
        </w:tc>
      </w:tr>
      <w:tr>
        <w:tc>
          <w:tcPr>
            <w:shd w:fill="E8F0F8"/>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Document de conception technique</w:t>
            </w:r>
          </w:p>
        </w:tc>
        <w:tc>
          <w:tcPr>
            <w:shd w:fill="E8F0F8"/>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Semaine 4</w:t>
            </w:r>
          </w:p>
        </w:tc>
        <w:tc>
          <w:tcPr>
            <w:shd w:fill="E8F0F8"/>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**Livré**</w:t>
            </w:r>
          </w:p>
        </w:tc>
      </w:tr>
      <w:tr>
        <w:tc>
          <w:tcPr>
            <w:shd w:fill="FFFFFF"/>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Prototype de base de données</w:t>
            </w:r>
          </w:p>
        </w:tc>
        <w:tc>
          <w:tcPr>
            <w:shd w:fill="FFFFFF"/>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Semaine 8</w:t>
            </w:r>
          </w:p>
        </w:tc>
        <w:tc>
          <w:tcPr>
            <w:shd w:fill="FFFFFF"/>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**Livré**</w:t>
            </w:r>
          </w:p>
        </w:tc>
      </w:tr>
      <w:tr>
        <w:tc>
          <w:tcPr>
            <w:shd w:fill="E8F0F8"/>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Système final de base de données</w:t>
            </w:r>
          </w:p>
        </w:tc>
        <w:tc>
          <w:tcPr>
            <w:shd w:fill="E8F0F8"/>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Semaine 12</w:t>
            </w:r>
          </w:p>
        </w:tc>
        <w:tc>
          <w:tcPr>
            <w:shd w:fill="E8F0F8"/>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**Livré — déployé et opérationnel** (données historiques chargées)</w:t>
            </w:r>
          </w:p>
        </w:tc>
      </w:tr>
      <w:tr>
        <w:tc>
          <w:tcPr>
            <w:shd w:fill="FFFFFF"/>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Formation et documentation</w:t>
            </w:r>
          </w:p>
        </w:tc>
        <w:tc>
          <w:tcPr>
            <w:shd w:fill="FFFFFF"/>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Semaine 13</w:t>
            </w:r>
          </w:p>
        </w:tc>
        <w:tc>
          <w:tcPr>
            <w:shd w:fill="FFFFFF"/>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**Documentation livrée** — **formation à planifier**</w:t>
            </w:r>
          </w:p>
        </w:tc>
      </w:tr>
      <w:tr>
        <w:tc>
          <w:tcPr>
            <w:shd w:fill="E8F0F8"/>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Rapport de consultance</w:t>
            </w:r>
          </w:p>
        </w:tc>
        <w:tc>
          <w:tcPr>
            <w:shd w:fill="E8F0F8"/>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Semaine 14</w:t>
            </w:r>
          </w:p>
        </w:tc>
        <w:tc>
          <w:tcPr>
            <w:shd w:fill="E8F0F8"/>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**Livré (présent document)**</w:t>
            </w:r>
          </w:p>
        </w:tc>
      </w:tr>
    </w:tbl>
    <w:p>
      <w:pPr>
        <w:spacing w:after="80" w:before="200"/>
      </w:pPr>
      <w:r>
        <w:rPr>
          <w:rFonts w:ascii="Calibri" w:cs="Calibri" w:eastAsia="Calibri" w:hAnsi="Calibri"/>
          <w:b/>
          <w:bCs/>
          <w:color w:val="1A1A1A"/>
          <w:sz w:val="24"/>
          <w:szCs w:val="24"/>
        </w:rPr>
        <w:t xml:space="preserve">Alignement avec le plan de travail (T1–T7)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shd w:fill="00529B"/>
            <w:tcMar>
              <w:top w:type="dxa" w:w="80"/>
              <w:left w:type="dxa" w:w="140"/>
              <w:bottom w:type="dxa" w:w="80"/>
              <w:right w:type="dxa" w:w="140"/>
            </w:tcMar>
            <w:vAlign w:val="center"/>
          </w:tcPr>
          <w:p>
            <w:r>
              <w:rPr>
                <w:rFonts w:ascii="Calibri" w:cs="Calibri" w:eastAsia="Calibri" w:hAnsi="Calibri"/>
                <w:b/>
                <w:bCs/>
                <w:color w:val="FFFFFF"/>
                <w:sz w:val="20"/>
                <w:szCs w:val="20"/>
              </w:rPr>
              <w:t xml:space="preserve">Code</w:t>
            </w:r>
          </w:p>
        </w:tc>
        <w:tc>
          <w:tcPr>
            <w:shd w:fill="00529B"/>
            <w:tcMar>
              <w:top w:type="dxa" w:w="80"/>
              <w:left w:type="dxa" w:w="140"/>
              <w:bottom w:type="dxa" w:w="80"/>
              <w:right w:type="dxa" w:w="140"/>
            </w:tcMar>
            <w:vAlign w:val="center"/>
          </w:tcPr>
          <w:p>
            <w:r>
              <w:rPr>
                <w:rFonts w:ascii="Calibri" w:cs="Calibri" w:eastAsia="Calibri" w:hAnsi="Calibri"/>
                <w:b/>
                <w:bCs/>
                <w:color w:val="FFFFFF"/>
                <w:sz w:val="20"/>
                <w:szCs w:val="20"/>
              </w:rPr>
              <w:t xml:space="preserve">Tâche</w:t>
            </w:r>
          </w:p>
        </w:tc>
        <w:tc>
          <w:tcPr>
            <w:shd w:fill="00529B"/>
            <w:tcMar>
              <w:top w:type="dxa" w:w="80"/>
              <w:left w:type="dxa" w:w="140"/>
              <w:bottom w:type="dxa" w:w="80"/>
              <w:right w:type="dxa" w:w="140"/>
            </w:tcMar>
            <w:vAlign w:val="center"/>
          </w:tcPr>
          <w:p>
            <w:r>
              <w:rPr>
                <w:rFonts w:ascii="Calibri" w:cs="Calibri" w:eastAsia="Calibri" w:hAnsi="Calibri"/>
                <w:b/>
                <w:bCs/>
                <w:color w:val="FFFFFF"/>
                <w:sz w:val="20"/>
                <w:szCs w:val="20"/>
              </w:rPr>
              <w:t xml:space="preserve">Livrable</w:t>
            </w:r>
          </w:p>
        </w:tc>
        <w:tc>
          <w:tcPr>
            <w:shd w:fill="00529B"/>
            <w:tcMar>
              <w:top w:type="dxa" w:w="80"/>
              <w:left w:type="dxa" w:w="140"/>
              <w:bottom w:type="dxa" w:w="80"/>
              <w:right w:type="dxa" w:w="140"/>
            </w:tcMar>
            <w:vAlign w:val="center"/>
          </w:tcPr>
          <w:p>
            <w:r>
              <w:rPr>
                <w:rFonts w:ascii="Calibri" w:cs="Calibri" w:eastAsia="Calibri" w:hAnsi="Calibri"/>
                <w:b/>
                <w:bCs/>
                <w:color w:val="FFFFFF"/>
                <w:sz w:val="20"/>
                <w:szCs w:val="20"/>
              </w:rPr>
              <w:t xml:space="preserve">État</w:t>
            </w:r>
          </w:p>
        </w:tc>
      </w:tr>
      <w:tr>
        <w:tc>
          <w:tcPr>
            <w:shd w:fill="FFFFFF"/>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T1</w:t>
            </w:r>
          </w:p>
        </w:tc>
        <w:tc>
          <w:tcPr>
            <w:shd w:fill="FFFFFF"/>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Inception et évaluation du système</w:t>
            </w:r>
          </w:p>
        </w:tc>
        <w:tc>
          <w:tcPr>
            <w:shd w:fill="FFFFFF"/>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Rapport d’inception</w:t>
            </w:r>
          </w:p>
        </w:tc>
        <w:tc>
          <w:tcPr>
            <w:shd w:fill="FFFFFF"/>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Terminé</w:t>
            </w:r>
          </w:p>
        </w:tc>
      </w:tr>
      <w:tr>
        <w:tc>
          <w:tcPr>
            <w:shd w:fill="E8F0F8"/>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T2</w:t>
            </w:r>
          </w:p>
        </w:tc>
        <w:tc>
          <w:tcPr>
            <w:shd w:fill="E8F0F8"/>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Conception technique et architecture</w:t>
            </w:r>
          </w:p>
        </w:tc>
        <w:tc>
          <w:tcPr>
            <w:shd w:fill="E8F0F8"/>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Document de conception</w:t>
            </w:r>
          </w:p>
        </w:tc>
        <w:tc>
          <w:tcPr>
            <w:shd w:fill="E8F0F8"/>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Terminé</w:t>
            </w:r>
          </w:p>
        </w:tc>
      </w:tr>
      <w:tr>
        <w:tc>
          <w:tcPr>
            <w:shd w:fill="FFFFFF"/>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T3</w:t>
            </w:r>
          </w:p>
        </w:tc>
        <w:tc>
          <w:tcPr>
            <w:shd w:fill="FFFFFF"/>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Développement du prototype</w:t>
            </w:r>
          </w:p>
        </w:tc>
        <w:tc>
          <w:tcPr>
            <w:shd w:fill="FFFFFF"/>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Prototype</w:t>
            </w:r>
          </w:p>
        </w:tc>
        <w:tc>
          <w:tcPr>
            <w:shd w:fill="FFFFFF"/>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Terminé</w:t>
            </w:r>
          </w:p>
        </w:tc>
      </w:tr>
      <w:tr>
        <w:tc>
          <w:tcPr>
            <w:shd w:fill="E8F0F8"/>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T4</w:t>
            </w:r>
          </w:p>
        </w:tc>
        <w:tc>
          <w:tcPr>
            <w:shd w:fill="E8F0F8"/>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Mise en œuvre complète</w:t>
            </w:r>
          </w:p>
        </w:tc>
        <w:tc>
          <w:tcPr>
            <w:shd w:fill="E8F0F8"/>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Système final</w:t>
            </w:r>
          </w:p>
        </w:tc>
        <w:tc>
          <w:tcPr>
            <w:shd w:fill="E8F0F8"/>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Terminé</w:t>
            </w:r>
          </w:p>
        </w:tc>
      </w:tr>
      <w:tr>
        <w:tc>
          <w:tcPr>
            <w:shd w:fill="FFFFFF"/>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T5</w:t>
            </w:r>
          </w:p>
        </w:tc>
        <w:tc>
          <w:tcPr>
            <w:shd w:fill="FFFFFF"/>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Tests et validation</w:t>
            </w:r>
          </w:p>
        </w:tc>
        <w:tc>
          <w:tcPr>
            <w:shd w:fill="FFFFFF"/>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Rapports / preuves de tests</w:t>
            </w:r>
          </w:p>
        </w:tc>
        <w:tc>
          <w:tcPr>
            <w:shd w:fill="FFFFFF"/>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Terminé</w:t>
            </w:r>
          </w:p>
        </w:tc>
      </w:tr>
      <w:tr>
        <w:tc>
          <w:tcPr>
            <w:shd w:fill="E8F0F8"/>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T6</w:t>
            </w:r>
          </w:p>
        </w:tc>
        <w:tc>
          <w:tcPr>
            <w:shd w:fill="E8F0F8"/>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Formation et documentation</w:t>
            </w:r>
          </w:p>
        </w:tc>
        <w:tc>
          <w:tcPr>
            <w:shd w:fill="E8F0F8"/>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Manuels et formation</w:t>
            </w:r>
          </w:p>
        </w:tc>
        <w:tc>
          <w:tcPr>
            <w:shd w:fill="E8F0F8"/>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Documentation terminée — **formation en attente**</w:t>
            </w:r>
          </w:p>
        </w:tc>
      </w:tr>
      <w:tr>
        <w:tc>
          <w:tcPr>
            <w:shd w:fill="FFFFFF"/>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T7</w:t>
            </w:r>
          </w:p>
        </w:tc>
        <w:tc>
          <w:tcPr>
            <w:shd w:fill="FFFFFF"/>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Rapport final et passation</w:t>
            </w:r>
          </w:p>
        </w:tc>
        <w:tc>
          <w:tcPr>
            <w:shd w:fill="FFFFFF"/>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Rapport de consultance</w:t>
            </w:r>
          </w:p>
        </w:tc>
        <w:tc>
          <w:tcPr>
            <w:shd w:fill="FFFFFF"/>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Terminé</w:t>
            </w:r>
          </w:p>
        </w:tc>
      </w:tr>
    </w:tbl>
    <w:p>
      <w:pPr>
        <w:spacing w:after="120" w:before="280"/>
      </w:pPr>
      <w:r>
        <w:rPr>
          <w:rFonts w:ascii="Calibri" w:cs="Calibri" w:eastAsia="Calibri" w:hAnsi="Calibri"/>
          <w:b/>
          <w:bCs/>
          <w:color w:val="00529B"/>
          <w:sz w:val="26"/>
          <w:szCs w:val="26"/>
        </w:rPr>
        <w:t xml:space="preserve">7. Documents d’accompagnement</w:t>
      </w:r>
    </w:p>
    <w:p>
      <w:pPr>
        <w:spacing w:after="80" w:before="80" w:line="276"/>
      </w:pPr>
      <w:r>
        <w:rPr>
          <w:rFonts w:ascii="Calibri" w:cs="Calibri" w:eastAsia="Calibri" w:hAnsi="Calibri"/>
          <w:color w:val="1A1A1A"/>
          <w:sz w:val="22"/>
          <w:szCs w:val="22"/>
        </w:rPr>
        <w:t xml:space="preserve">Rapport (présent document) + pièces dans essentiels/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shd w:fill="00529B"/>
            <w:tcMar>
              <w:top w:type="dxa" w:w="80"/>
              <w:left w:type="dxa" w:w="140"/>
              <w:bottom w:type="dxa" w:w="80"/>
              <w:right w:type="dxa" w:w="140"/>
            </w:tcMar>
            <w:vAlign w:val="center"/>
          </w:tcPr>
          <w:p>
            <w:r>
              <w:rPr>
                <w:rFonts w:ascii="Calibri" w:cs="Calibri" w:eastAsia="Calibri" w:hAnsi="Calibri"/>
                <w:b/>
                <w:bCs/>
                <w:color w:val="FFFFFF"/>
                <w:sz w:val="20"/>
                <w:szCs w:val="20"/>
              </w:rPr>
              <w:t xml:space="preserve">#</w:t>
            </w:r>
          </w:p>
        </w:tc>
        <w:tc>
          <w:tcPr>
            <w:shd w:fill="00529B"/>
            <w:tcMar>
              <w:top w:type="dxa" w:w="80"/>
              <w:left w:type="dxa" w:w="140"/>
              <w:bottom w:type="dxa" w:w="80"/>
              <w:right w:type="dxa" w:w="140"/>
            </w:tcMar>
            <w:vAlign w:val="center"/>
          </w:tcPr>
          <w:p>
            <w:r>
              <w:rPr>
                <w:rFonts w:ascii="Calibri" w:cs="Calibri" w:eastAsia="Calibri" w:hAnsi="Calibri"/>
                <w:b/>
                <w:bCs/>
                <w:color w:val="FFFFFF"/>
                <w:sz w:val="20"/>
                <w:szCs w:val="20"/>
              </w:rPr>
              <w:t xml:space="preserve">Document</w:t>
            </w:r>
          </w:p>
        </w:tc>
        <w:tc>
          <w:tcPr>
            <w:shd w:fill="00529B"/>
            <w:tcMar>
              <w:top w:type="dxa" w:w="80"/>
              <w:left w:type="dxa" w:w="140"/>
              <w:bottom w:type="dxa" w:w="80"/>
              <w:right w:type="dxa" w:w="140"/>
            </w:tcMar>
            <w:vAlign w:val="center"/>
          </w:tcPr>
          <w:p>
            <w:r>
              <w:rPr>
                <w:rFonts w:ascii="Calibri" w:cs="Calibri" w:eastAsia="Calibri" w:hAnsi="Calibri"/>
                <w:b/>
                <w:bCs/>
                <w:color w:val="FFFFFF"/>
                <w:sz w:val="20"/>
                <w:szCs w:val="20"/>
              </w:rPr>
              <w:t xml:space="preserve">Fichier</w:t>
            </w:r>
          </w:p>
        </w:tc>
      </w:tr>
      <w:tr>
        <w:tc>
          <w:tcPr>
            <w:shd w:fill="FFFFFF"/>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1</w:t>
            </w:r>
          </w:p>
        </w:tc>
        <w:tc>
          <w:tcPr>
            <w:shd w:fill="FFFFFF"/>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Guide de déploiement serveur</w:t>
            </w:r>
          </w:p>
        </w:tc>
        <w:tc>
          <w:tcPr>
            <w:shd w:fill="FFFFFF"/>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`essentiels/01_Guide_Deploiement_Serveur.docx`</w:t>
            </w:r>
          </w:p>
        </w:tc>
      </w:tr>
      <w:tr>
        <w:tc>
          <w:tcPr>
            <w:shd w:fill="E8F0F8"/>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2</w:t>
            </w:r>
          </w:p>
        </w:tc>
        <w:tc>
          <w:tcPr>
            <w:shd w:fill="E8F0F8"/>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Diagrammes de synthèse</w:t>
            </w:r>
          </w:p>
        </w:tc>
        <w:tc>
          <w:tcPr>
            <w:shd w:fill="E8F0F8"/>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`essentiels/02_Diagrammes_Synthese.docx`</w:t>
            </w:r>
          </w:p>
        </w:tc>
      </w:tr>
      <w:tr>
        <w:tc>
          <w:tcPr>
            <w:shd w:fill="FFFFFF"/>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3</w:t>
            </w:r>
          </w:p>
        </w:tc>
        <w:tc>
          <w:tcPr>
            <w:shd w:fill="FFFFFF"/>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Import des données historiques</w:t>
            </w:r>
          </w:p>
        </w:tc>
        <w:tc>
          <w:tcPr>
            <w:shd w:fill="FFFFFF"/>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`essentiels/03_Import_Donnees_Historiques.docx`</w:t>
            </w:r>
          </w:p>
        </w:tc>
      </w:tr>
      <w:tr>
        <w:tc>
          <w:tcPr>
            <w:shd w:fill="E8F0F8"/>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4</w:t>
            </w:r>
          </w:p>
        </w:tc>
        <w:tc>
          <w:tcPr>
            <w:shd w:fill="E8F0F8"/>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Manuel utilisateur</w:t>
            </w:r>
          </w:p>
        </w:tc>
        <w:tc>
          <w:tcPr>
            <w:shd w:fill="E8F0F8"/>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`essentiels/04_Manuel_Utilisateur.docx`</w:t>
            </w:r>
          </w:p>
        </w:tc>
      </w:tr>
      <w:tr>
        <w:tc>
          <w:tcPr>
            <w:shd w:fill="FFFFFF"/>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5</w:t>
            </w:r>
          </w:p>
        </w:tc>
        <w:tc>
          <w:tcPr>
            <w:shd w:fill="FFFFFF"/>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Manuel administrateur</w:t>
            </w:r>
          </w:p>
        </w:tc>
        <w:tc>
          <w:tcPr>
            <w:shd w:fill="FFFFFF"/>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`essentiels/05_Manuel_Administrateur.docx`</w:t>
            </w:r>
          </w:p>
        </w:tc>
      </w:tr>
      <w:tr>
        <w:tc>
          <w:tcPr>
            <w:shd w:fill="E8F0F8"/>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6</w:t>
            </w:r>
          </w:p>
        </w:tc>
        <w:tc>
          <w:tcPr>
            <w:shd w:fill="E8F0F8"/>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Guide analyste</w:t>
            </w:r>
          </w:p>
        </w:tc>
        <w:tc>
          <w:tcPr>
            <w:shd w:fill="E8F0F8"/>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`essentiels/06_Guide_Analyste.docx`</w:t>
            </w:r>
          </w:p>
        </w:tc>
      </w:tr>
      <w:tr>
        <w:tc>
          <w:tcPr>
            <w:shd w:fill="FFFFFF"/>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7</w:t>
            </w:r>
          </w:p>
        </w:tc>
        <w:tc>
          <w:tcPr>
            <w:shd w:fill="FFFFFF"/>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Supports de formation</w:t>
            </w:r>
          </w:p>
        </w:tc>
        <w:tc>
          <w:tcPr>
            <w:shd w:fill="FFFFFF"/>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`essentiels/07_Supports_Formation.docx`</w:t>
            </w:r>
          </w:p>
        </w:tc>
      </w:tr>
      <w:tr>
        <w:tc>
          <w:tcPr>
            <w:shd w:fill="E8F0F8"/>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8</w:t>
            </w:r>
          </w:p>
        </w:tc>
        <w:tc>
          <w:tcPr>
            <w:shd w:fill="E8F0F8"/>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Lancement / accès / redémarrage</w:t>
            </w:r>
          </w:p>
        </w:tc>
        <w:tc>
          <w:tcPr>
            <w:shd w:fill="E8F0F8"/>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`essentiels/08_Lancement_Acces_Redemarrage.docx`</w:t>
            </w:r>
          </w:p>
        </w:tc>
      </w:tr>
    </w:tbl>
    <w:p>
      <w:pPr>
        <w:spacing w:after="80" w:before="80" w:line="276"/>
      </w:pPr>
      <w:r>
        <w:rPr>
          <w:rFonts w:ascii="Calibri" w:cs="Calibri" w:eastAsia="Calibri" w:hAnsi="Calibri"/>
          <w:color w:val="1A1A1A"/>
          <w:sz w:val="22"/>
          <w:szCs w:val="22"/>
        </w:rPr>
        <w:t xml:space="preserve">Dossier : deliverables/consultance_juillet_2026/</w:t>
      </w:r>
    </w:p>
    <w:p>
      <w:pPr>
        <w:spacing w:after="80" w:before="80" w:line="276"/>
      </w:pPr>
      <w:r>
        <w:rPr>
          <w:rFonts w:ascii="Calibri" w:cs="Calibri" w:eastAsia="Calibri" w:hAnsi="Calibri"/>
          <w:color w:val="1A1A1A"/>
          <w:sz w:val="22"/>
          <w:szCs w:val="22"/>
        </w:rPr>
        <w:t xml:space="preserve">— Rapport : word/AUCTC_Rapport_Consultance_2026.docx</w:t>
      </w:r>
    </w:p>
    <w:p>
      <w:pPr>
        <w:spacing w:after="80" w:before="80" w:line="276"/>
      </w:pPr>
      <w:r>
        <w:rPr>
          <w:rFonts w:ascii="Calibri" w:cs="Calibri" w:eastAsia="Calibri" w:hAnsi="Calibri"/>
          <w:color w:val="1A1A1A"/>
          <w:sz w:val="22"/>
          <w:szCs w:val="22"/>
        </w:rPr>
        <w:t xml:space="preserve">— Pièces jointes : essentiels/</w:t>
      </w:r>
    </w:p>
    <w:p>
      <w:pPr>
        <w:spacing w:after="120" w:before="280"/>
      </w:pPr>
      <w:r>
        <w:rPr>
          <w:rFonts w:ascii="Calibri" w:cs="Calibri" w:eastAsia="Calibri" w:hAnsi="Calibri"/>
          <w:b/>
          <w:bCs/>
          <w:color w:val="00529B"/>
          <w:sz w:val="26"/>
          <w:szCs w:val="26"/>
        </w:rPr>
        <w:t xml:space="preserve">8. Enseignements tirés</w:t>
      </w:r>
    </w:p>
    <w:p>
      <w:pPr>
        <w:spacing w:after="80" w:before="80" w:line="276"/>
      </w:pPr>
      <w:r>
        <w:rPr>
          <w:rFonts w:ascii="Calibri" w:cs="Calibri" w:eastAsia="Calibri" w:hAnsi="Calibri"/>
          <w:color w:val="1A1A1A"/>
          <w:sz w:val="22"/>
          <w:szCs w:val="22"/>
        </w:rPr>
        <w:t xml:space="preserve">1. La clarté des rôles améliore la qualité des données — l’alignement des profils (focal / staff / admin) sur les périmètres région et pays réduit le bruit et renforce le focus opérationnel.</w:t>
      </w:r>
    </w:p>
    <w:p>
      <w:pPr>
        <w:spacing w:after="80" w:before="80" w:line="276"/>
      </w:pPr>
      <w:r>
        <w:rPr>
          <w:rFonts w:ascii="Calibri" w:cs="Calibri" w:eastAsia="Calibri" w:hAnsi="Calibri"/>
          <w:color w:val="1A1A1A"/>
          <w:sz w:val="22"/>
          <w:szCs w:val="22"/>
        </w:rPr>
        <w:t xml:space="preserve">2. L’hébergement local convient au contexte AUCTC — un déploiement Windows sur le LAN offre autonomie, maîtrise et accès prévisible pour le personnel du Centre.</w:t>
      </w:r>
    </w:p>
    <w:p>
      <w:pPr>
        <w:spacing w:after="80" w:before="80" w:line="276"/>
      </w:pPr>
      <w:r>
        <w:rPr>
          <w:rFonts w:ascii="Calibri" w:cs="Calibri" w:eastAsia="Calibri" w:hAnsi="Calibri"/>
          <w:color w:val="1A1A1A"/>
          <w:sz w:val="22"/>
          <w:szCs w:val="22"/>
        </w:rPr>
        <w:t xml:space="preserve">3. La documentation fait partie du produit — manuels, diagrammes et guides de déploiement sont essentiels à la pérennité au-delà de la consultance.</w:t>
      </w:r>
    </w:p>
    <w:p>
      <w:pPr>
        <w:spacing w:after="80" w:before="80" w:line="276"/>
      </w:pPr>
      <w:r>
        <w:rPr>
          <w:rFonts w:ascii="Calibri" w:cs="Calibri" w:eastAsia="Calibri" w:hAnsi="Calibri"/>
          <w:color w:val="1A1A1A"/>
          <w:sz w:val="22"/>
          <w:szCs w:val="22"/>
        </w:rPr>
        <w:t xml:space="preserve">4. L’historique impose des indicateurs réalistes — lorsque la source ne fournit que des totaux, les analyses doivent s’appuyer sur ces totaux plutôt que sur une ventilation inventée.</w:t>
      </w:r>
    </w:p>
    <w:p>
      <w:pPr>
        <w:spacing w:after="120" w:before="280"/>
      </w:pPr>
      <w:r>
        <w:rPr>
          <w:rFonts w:ascii="Calibri" w:cs="Calibri" w:eastAsia="Calibri" w:hAnsi="Calibri"/>
          <w:b/>
          <w:bCs/>
          <w:color w:val="00529B"/>
          <w:sz w:val="26"/>
          <w:szCs w:val="26"/>
        </w:rPr>
        <w:t xml:space="preserve">9. Recommandations pour la pérennité</w:t>
      </w:r>
    </w:p>
    <w:p>
      <w:pPr>
        <w:spacing w:after="80" w:before="80" w:line="276"/>
      </w:pPr>
      <w:r>
        <w:rPr>
          <w:rFonts w:ascii="Calibri" w:cs="Calibri" w:eastAsia="Calibri" w:hAnsi="Calibri"/>
          <w:color w:val="1A1A1A"/>
          <w:sz w:val="22"/>
          <w:szCs w:val="22"/>
        </w:rPr>
        <w:t xml:space="preserve">1. Désigner des référents Super administrateur et IT.</w:t>
      </w:r>
    </w:p>
    <w:p>
      <w:pPr>
        <w:spacing w:after="80" w:before="80" w:line="276"/>
      </w:pPr>
      <w:r>
        <w:rPr>
          <w:rFonts w:ascii="Calibri" w:cs="Calibri" w:eastAsia="Calibri" w:hAnsi="Calibri"/>
          <w:color w:val="1A1A1A"/>
          <w:sz w:val="22"/>
          <w:szCs w:val="22"/>
        </w:rPr>
        <w:t xml:space="preserve">2. Exécuter des sauvegardes régulières (base et fichiers).</w:t>
      </w:r>
    </w:p>
    <w:p>
      <w:pPr>
        <w:spacing w:after="80" w:before="80" w:line="276"/>
      </w:pPr>
      <w:r>
        <w:rPr>
          <w:rFonts w:ascii="Calibri" w:cs="Calibri" w:eastAsia="Calibri" w:hAnsi="Calibri"/>
          <w:color w:val="1A1A1A"/>
          <w:sz w:val="22"/>
          <w:szCs w:val="22"/>
        </w:rPr>
        <w:t xml:space="preserve">3. Maintenir le SMTP pour les comptes et mots de passe.</w:t>
      </w:r>
    </w:p>
    <w:p>
      <w:pPr>
        <w:spacing w:after="80" w:before="80" w:line="276"/>
      </w:pPr>
      <w:r>
        <w:rPr>
          <w:rFonts w:ascii="Calibri" w:cs="Calibri" w:eastAsia="Calibri" w:hAnsi="Calibri"/>
          <w:color w:val="1A1A1A"/>
          <w:sz w:val="22"/>
          <w:szCs w:val="22"/>
        </w:rPr>
        <w:t xml:space="preserve">4. Organiser la formation des utilisateurs avec les supports déjà remis.</w:t>
      </w:r>
    </w:p>
    <w:p>
      <w:pPr>
        <w:spacing w:after="80" w:before="80" w:line="276"/>
      </w:pPr>
      <w:r>
        <w:rPr>
          <w:rFonts w:ascii="Calibri" w:cs="Calibri" w:eastAsia="Calibri" w:hAnsi="Calibri"/>
          <w:color w:val="1A1A1A"/>
          <w:sz w:val="22"/>
          <w:szCs w:val="22"/>
        </w:rPr>
        <w:t xml:space="preserve">5. Suivre la qualité des données via la file de validation et les tableaux de bord.</w:t>
      </w:r>
    </w:p>
    <w:p>
      <w:pPr>
        <w:spacing w:after="120" w:before="280"/>
      </w:pPr>
      <w:r>
        <w:rPr>
          <w:rFonts w:ascii="Calibri" w:cs="Calibri" w:eastAsia="Calibri" w:hAnsi="Calibri"/>
          <w:b/>
          <w:bCs/>
          <w:color w:val="00529B"/>
          <w:sz w:val="26"/>
          <w:szCs w:val="26"/>
        </w:rPr>
        <w:t xml:space="preserve">10. Conclusion</w:t>
      </w:r>
    </w:p>
    <w:p>
      <w:pPr>
        <w:spacing w:after="80" w:before="80" w:line="276"/>
      </w:pPr>
      <w:r>
        <w:rPr>
          <w:rFonts w:ascii="Calibri" w:cs="Calibri" w:eastAsia="Calibri" w:hAnsi="Calibri"/>
          <w:color w:val="1A1A1A"/>
          <w:sz w:val="22"/>
          <w:szCs w:val="22"/>
        </w:rPr>
        <w:t xml:space="preserve">Conformément au contrat et à ses annexes, le Consultant a achevé la mise à jour et l’amélioration de la base de données AUCTC dans le délai de trois mois.</w:t>
      </w:r>
    </w:p>
    <w:p>
      <w:pPr>
        <w:spacing w:after="80" w:before="80" w:line="276"/>
      </w:pPr>
      <w:r>
        <w:rPr>
          <w:rFonts w:ascii="Calibri" w:cs="Calibri" w:eastAsia="Calibri" w:hAnsi="Calibri"/>
          <w:color w:val="1A1A1A"/>
          <w:sz w:val="22"/>
          <w:szCs w:val="22"/>
        </w:rPr>
        <w:t xml:space="preserve">Le Centre dispose désormais d’une plateforme modernisée, sécurisée et analytiquement capable, déployée sur son serveur local, avec une gouvernance des accès claire, un historique d’incidents chargé, et un ensemble documentaire pour un usage durable. Il reste à planifier et réaliser la formation des utilisateurs.</w:t>
      </w:r>
    </w:p>
    <w:p>
      <w:pPr>
        <w:spacing w:after="80" w:before="80" w:line="276"/>
      </w:pPr>
      <w:r>
        <w:rPr>
          <w:rFonts w:ascii="Calibri" w:cs="Calibri" w:eastAsia="Calibri" w:hAnsi="Calibri"/>
          <w:color w:val="1A1A1A"/>
          <w:sz w:val="22"/>
          <w:szCs w:val="22"/>
        </w:rPr>
        <w:t xml:space="preserve">Le Consultant reste disponible, conformément aux termes de référence, pour un appui post-déploiement de clarification durant la fenêtre convenue, si le Client le souhaite.</w:t>
      </w:r>
    </w:p>
    <w:p>
      <w:pPr>
        <w:spacing w:after="80" w:before="80" w:line="276"/>
      </w:pPr>
      <w:r>
        <w:rPr>
          <w:rFonts w:ascii="Calibri" w:cs="Calibri" w:eastAsia="Calibri" w:hAnsi="Calibri"/>
          <w:color w:val="1A1A1A"/>
          <w:sz w:val="22"/>
          <w:szCs w:val="22"/>
        </w:rPr>
        <w:t xml:space="preserve">*Confidentiel — African Union Counter Terrorism Centre (AUCTC) / Union africaine.*</w:t>
      </w:r>
    </w:p>
    <w:sectPr>
      <w:headerReference w:type="default" r:id="rId7"/>
      <w:footerReference w:type="default" r:id="rId8"/>
      <w:pgSz w:w="11906" w:h="16838"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Confidential — AUCTC | Page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555555"/>
        <w:sz w:val="16"/>
        <w:szCs w:val="16"/>
      </w:rPr>
      <w:t xml:space="preserve">AUCTC | Rapport de consultance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AUCTC | Rapport de consultance</dc:title>
  <dc:creator>AUCTC / Abdoul-Hafid Ayeva</dc:creator>
  <cp:lastModifiedBy>Un-named</cp:lastModifiedBy>
  <cp:revision>1</cp:revision>
  <dcterms:created xsi:type="dcterms:W3CDTF">2026-07-22T14:28:49.684Z</dcterms:created>
  <dcterms:modified xsi:type="dcterms:W3CDTF">2026-07-22T14:28:49.687Z</dcterms:modified>
</cp:coreProperties>
</file>

<file path=docProps/custom.xml><?xml version="1.0" encoding="utf-8"?>
<Properties xmlns="http://schemas.openxmlformats.org/officeDocument/2006/custom-properties" xmlns:vt="http://schemas.openxmlformats.org/officeDocument/2006/docPropsVTypes"/>
</file>