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ACP — Indicateurs d'audit de serveurs</w:t>
      </w:r>
    </w:p>
    <w:p>
      <w:r>
        <w:rPr>
          <w:b/>
          <w:i w:val="0"/>
          <w:color w:val="404040"/>
          <w:sz w:val="28"/>
        </w:rPr>
        <w:t>Datacamp II — Master 2 Génie Informatique — 2025-2026</w:t>
      </w:r>
    </w:p>
    <w:p>
      <w:r>
        <w:rPr>
          <w:b w:val="0"/>
          <w:i/>
          <w:color w:val="404040"/>
          <w:sz w:val="22"/>
        </w:rPr>
        <w:t>Données synthétiques : aucune mesure opérationnelle réelle ni diagnostic de sécurité ne peut être déduit des résultats présentés dans ce rapport.</w:t>
      </w:r>
    </w:p>
    <w:p>
      <w:r>
        <w:br w:type="page"/>
      </w:r>
    </w:p>
    <w:p>
      <w:pPr>
        <w:pStyle w:val="Heading1"/>
      </w:pPr>
      <w:r>
        <w:rPr>
          <w:color w:val="1F3A5F"/>
        </w:rPr>
        <w:t>Sommaire</w:t>
      </w:r>
    </w:p>
    <w:p>
      <w:pPr>
        <w:pStyle w:val="ListBullet"/>
      </w:pPr>
      <w:r>
        <w:rPr>
          <w:color w:val="404040"/>
          <w:sz w:val="22"/>
        </w:rPr>
        <w:t>Contexte et données</w:t>
      </w:r>
    </w:p>
    <w:p>
      <w:pPr>
        <w:pStyle w:val="ListBullet"/>
      </w:pPr>
      <w:r>
        <w:rPr>
          <w:color w:val="404040"/>
          <w:sz w:val="22"/>
        </w:rPr>
        <w:t>Question 1 — Import et inspection des données</w:t>
      </w:r>
    </w:p>
    <w:p>
      <w:pPr>
        <w:pStyle w:val="ListBullet"/>
      </w:pPr>
      <w:r>
        <w:rPr>
          <w:color w:val="404040"/>
          <w:sz w:val="22"/>
        </w:rPr>
        <w:t>Question 2 — Covariance ou corrélation, matrice de corrélation</w:t>
      </w:r>
    </w:p>
    <w:p>
      <w:pPr>
        <w:pStyle w:val="ListBullet"/>
      </w:pPr>
      <w:r>
        <w:rPr>
          <w:color w:val="404040"/>
          <w:sz w:val="22"/>
        </w:rPr>
        <w:t>Question 3 — Réalisation de l'ACP, éboulis, variance cumulée</w:t>
      </w:r>
    </w:p>
    <w:p>
      <w:pPr>
        <w:pStyle w:val="ListBullet"/>
      </w:pPr>
      <w:r>
        <w:rPr>
          <w:color w:val="404040"/>
          <w:sz w:val="22"/>
        </w:rPr>
        <w:t>Question 4 — Corrélations variables–axes et contributions</w:t>
      </w:r>
    </w:p>
    <w:p>
      <w:pPr>
        <w:pStyle w:val="ListBullet"/>
      </w:pPr>
      <w:r>
        <w:rPr>
          <w:color w:val="404040"/>
          <w:sz w:val="22"/>
        </w:rPr>
        <w:t>Question 5 — Cercle des corrélations et carte thermique</w:t>
      </w:r>
    </w:p>
    <w:p>
      <w:pPr>
        <w:pStyle w:val="ListBullet"/>
      </w:pPr>
      <w:r>
        <w:rPr>
          <w:color w:val="404040"/>
          <w:sz w:val="22"/>
        </w:rPr>
        <w:t>Question 6 — Projection des individus, cos² individuels</w:t>
      </w:r>
    </w:p>
    <w:p>
      <w:pPr>
        <w:pStyle w:val="ListBullet"/>
      </w:pPr>
      <w:r>
        <w:rPr>
          <w:color w:val="404040"/>
          <w:sz w:val="22"/>
        </w:rPr>
        <w:t>Question 7 — Individus les plus éloignés de l'origine</w:t>
      </w:r>
    </w:p>
    <w:p>
      <w:pPr>
        <w:pStyle w:val="ListBullet"/>
      </w:pPr>
      <w:r>
        <w:rPr>
          <w:color w:val="404040"/>
          <w:sz w:val="22"/>
        </w:rPr>
        <w:t>Question 8 — Reconstruction et erreur quadratique moyenne</w:t>
      </w:r>
    </w:p>
    <w:p>
      <w:pPr>
        <w:pStyle w:val="ListBullet"/>
      </w:pPr>
      <w:r>
        <w:rPr>
          <w:color w:val="404040"/>
          <w:sz w:val="22"/>
        </w:rPr>
        <w:t>Question 9 — Comparaison des plans, conclusion</w:t>
      </w:r>
    </w:p>
    <w:p>
      <w:pPr>
        <w:pStyle w:val="ListBullet"/>
      </w:pPr>
      <w:r>
        <w:rPr>
          <w:color w:val="404040"/>
          <w:sz w:val="22"/>
        </w:rPr>
        <w:t>Conclusion générale</w:t>
      </w:r>
    </w:p>
    <w:p>
      <w:r>
        <w:br w:type="page"/>
      </w:r>
    </w:p>
    <w:p>
      <w:pPr>
        <w:pStyle w:val="Heading1"/>
      </w:pPr>
      <w:r>
        <w:rPr>
          <w:color w:val="1F3A5F"/>
        </w:rPr>
        <w:t>Contexte et données</w:t>
      </w:r>
    </w:p>
    <w:p>
      <w:r>
        <w:rPr>
          <w:b w:val="0"/>
          <w:i w:val="0"/>
          <w:color w:val="404040"/>
          <w:sz w:val="22"/>
        </w:rPr>
        <w:t>Le jeu de données `serveurs_audit_acp_m2.csv` regroupe 160 serveurs décrits par 11 indicateurs quantitatifs d'audit (charge, exposition/sécurité, résilience), un identifiant (`serveur_id`) et une étiquette externe synthétique (`segment_synthetique`). Les données sont explicitement synthétiques : aucune conclusion opérationnelle réelle ne peut en être tirée.</w:t>
      </w:r>
    </w:p>
    <w:p>
      <w:pPr>
        <w:pStyle w:val="ListBullet"/>
      </w:pPr>
      <w:r>
        <w:rPr>
          <w:color w:val="404040"/>
          <w:sz w:val="22"/>
        </w:rPr>
        <w:t>Lignes × colonnes : 160 × 13</w:t>
      </w:r>
    </w:p>
    <w:p>
      <w:pPr>
        <w:pStyle w:val="ListBullet"/>
      </w:pPr>
      <w:r>
        <w:rPr>
          <w:color w:val="404040"/>
          <w:sz w:val="22"/>
        </w:rPr>
        <w:t>Doublons : 0  |  Valeurs manquantes : 0</w:t>
      </w:r>
    </w:p>
    <w:p>
      <w:pPr>
        <w:pStyle w:val="ListBullet"/>
      </w:pPr>
      <w:r>
        <w:rPr>
          <w:color w:val="404040"/>
          <w:sz w:val="22"/>
        </w:rPr>
        <w:t>Répartition du segment externe : intermediaire = 67, peu_expose = 49, expose = 44</w:t>
      </w:r>
    </w:p>
    <w:p>
      <w:pPr>
        <w:pStyle w:val="Heading1"/>
      </w:pPr>
      <w:r>
        <w:rPr>
          <w:color w:val="1F3A5F"/>
        </w:rPr>
        <w:t>Question 1 — Import et inspection des données</w:t>
      </w:r>
    </w:p>
    <w:p>
      <w:r>
        <w:rPr>
          <w:b w:val="0"/>
          <w:i w:val="0"/>
          <w:color w:val="404040"/>
          <w:sz w:val="22"/>
        </w:rPr>
        <w:t>Après chargement et vérification (forme, types, absence de doublons et de valeurs manquantes), on sépare les 11 variables actives quantitatives des deux colonnes exclues de l'ACP : `serveur_id` (identifiant sans contenu numérique interprétable) et `segment_synthetique` (étiquette externe catégorielle, utilisée seulement a posteriori pour colorer les résultats — l'inclure comme variable active créerait un raisonnement circulaire puisque l'ACP est une méthode non supervisée).</w:t>
      </w:r>
    </w:p>
    <w:p>
      <w:pPr>
        <w:pStyle w:val="ListBullet"/>
      </w:pPr>
      <w:r>
        <w:rPr>
          <w:color w:val="404040"/>
          <w:sz w:val="22"/>
        </w:rPr>
        <w:t>Variables actives : cpu_pct, ram_pct, trafic_mbps, latence_ms, tentatives_intrusion, ports_exposes, vulnerabilites_ouvertes, jours_depuis_correctif, disponibilite_pct, temps_retablissement_min, sauvegardes_reussies_pct</w:t>
      </w:r>
    </w:p>
    <w:p>
      <w:pPr>
        <w:pStyle w:val="Heading1"/>
      </w:pPr>
      <w:r>
        <w:rPr>
          <w:color w:val="1F3A5F"/>
        </w:rPr>
        <w:t>Question 2 — Covariance ou corrélation, matrice de corrélation</w:t>
      </w:r>
    </w:p>
    <w:p>
      <w:r>
        <w:rPr>
          <w:b w:val="0"/>
          <w:i w:val="0"/>
          <w:color w:val="404040"/>
          <w:sz w:val="22"/>
        </w:rPr>
        <w:t>Les écarts-types des 11 variables vont de 0.59 % (disponibilite_pct) à plus de 100 Mbps (trafic_mbps), avec des unités hétérogènes (%, ms, Mbps, jours, compteurs). Une ACP sur covariance laisserait les variables de plus grande échelle dominer artificiellement le premier axe. On retient donc une ACP sur la matrice de corrélation (variables centrées-réduites via StandardScaler).</w:t>
      </w:r>
    </w:p>
    <w:p>
      <w:pPr>
        <w:jc w:val="center"/>
      </w:pPr>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fig_q2_matrice_correlation.png"/>
                    <pic:cNvPicPr/>
                  </pic:nvPicPr>
                  <pic:blipFill>
                    <a:blip r:embed="rId9"/>
                    <a:stretch>
                      <a:fillRect/>
                    </a:stretch>
                  </pic:blipFill>
                  <pic:spPr>
                    <a:xfrm>
                      <a:off x="0" y="0"/>
                      <a:ext cx="5029200" cy="3911600"/>
                    </a:xfrm>
                    <a:prstGeom prst="rect"/>
                  </pic:spPr>
                </pic:pic>
              </a:graphicData>
            </a:graphic>
          </wp:inline>
        </w:drawing>
      </w:r>
    </w:p>
    <w:p>
      <w:pPr>
        <w:jc w:val="center"/>
      </w:pPr>
      <w:r>
        <w:rPr>
          <w:i/>
          <w:color w:val="404040"/>
          <w:sz w:val="18"/>
        </w:rPr>
        <w:t>Matrice de corrélation des 11 variables actives</w:t>
      </w:r>
    </w:p>
    <w:p>
      <w:r>
        <w:rPr>
          <w:b w:val="0"/>
          <w:i w:val="0"/>
          <w:color w:val="404040"/>
          <w:sz w:val="22"/>
        </w:rPr>
        <w:t>Deux blocs de variables fortement corrélées se dégagent : charge/performance (cpu_pct, ram_pct, trafic_mbps, latence_ms, corrélations ≈ 0.80–0.90) et exposition/sécurité (tentatives_intrusion, jours_depuis_correctif, vulnerabilites_ouvertes, ports_exposes, corrélations ≈ 0.76–0.81) — un bon indice de l'existence d'au moins deux axes principaux structurants.</w:t>
      </w:r>
    </w:p>
    <w:p>
      <w:r>
        <w:rPr>
          <w:b/>
          <w:i w:val="0"/>
          <w:color w:val="404040"/>
          <w:sz w:val="20"/>
        </w:rPr>
        <w:t>Paires de variables les plus corrélées (valeur absolue)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variable_1</w:t>
            </w:r>
          </w:p>
        </w:tc>
        <w:tc>
          <w:tcPr>
            <w:tcW w:type="dxa" w:w="2880"/>
          </w:tcPr>
          <w:p>
            <w:r>
              <w:rPr>
                <w:b/>
                <w:sz w:val="18"/>
              </w:rPr>
              <w:t>variable_2</w:t>
            </w:r>
          </w:p>
        </w:tc>
        <w:tc>
          <w:tcPr>
            <w:tcW w:type="dxa" w:w="2880"/>
          </w:tcPr>
          <w:p>
            <w:r>
              <w:rPr>
                <w:b/>
                <w:sz w:val="18"/>
              </w:rPr>
              <w:t>correlation</w:t>
            </w:r>
          </w:p>
        </w:tc>
      </w:tr>
      <w:tr>
        <w:tc>
          <w:tcPr>
            <w:tcW w:type="dxa" w:w="2880"/>
          </w:tcPr>
          <w:p>
            <w:r>
              <w:rPr>
                <w:b w:val="0"/>
                <w:sz w:val="18"/>
              </w:rPr>
              <w:t>ram_pct</w:t>
            </w:r>
          </w:p>
        </w:tc>
        <w:tc>
          <w:tcPr>
            <w:tcW w:type="dxa" w:w="2880"/>
          </w:tcPr>
          <w:p>
            <w:r>
              <w:rPr>
                <w:b w:val="0"/>
                <w:sz w:val="18"/>
              </w:rPr>
              <w:t>trafic_mbps</w:t>
            </w:r>
          </w:p>
        </w:tc>
        <w:tc>
          <w:tcPr>
            <w:tcW w:type="dxa" w:w="2880"/>
          </w:tcPr>
          <w:p>
            <w:r>
              <w:rPr>
                <w:b w:val="0"/>
                <w:sz w:val="18"/>
              </w:rPr>
              <w:t>0.899</w:t>
            </w:r>
          </w:p>
        </w:tc>
      </w:tr>
      <w:tr>
        <w:tc>
          <w:tcPr>
            <w:tcW w:type="dxa" w:w="2880"/>
          </w:tcPr>
          <w:p>
            <w:r>
              <w:rPr>
                <w:b w:val="0"/>
                <w:sz w:val="18"/>
              </w:rPr>
              <w:t>cpu_pct</w:t>
            </w:r>
          </w:p>
        </w:tc>
        <w:tc>
          <w:tcPr>
            <w:tcW w:type="dxa" w:w="2880"/>
          </w:tcPr>
          <w:p>
            <w:r>
              <w:rPr>
                <w:b w:val="0"/>
                <w:sz w:val="18"/>
              </w:rPr>
              <w:t>ram_pct</w:t>
            </w:r>
          </w:p>
        </w:tc>
        <w:tc>
          <w:tcPr>
            <w:tcW w:type="dxa" w:w="2880"/>
          </w:tcPr>
          <w:p>
            <w:r>
              <w:rPr>
                <w:b w:val="0"/>
                <w:sz w:val="18"/>
              </w:rPr>
              <w:t>0.893</w:t>
            </w:r>
          </w:p>
        </w:tc>
      </w:tr>
      <w:tr>
        <w:tc>
          <w:tcPr>
            <w:tcW w:type="dxa" w:w="2880"/>
          </w:tcPr>
          <w:p>
            <w:r>
              <w:rPr>
                <w:b w:val="0"/>
                <w:sz w:val="18"/>
              </w:rPr>
              <w:t>cpu_pct</w:t>
            </w:r>
          </w:p>
        </w:tc>
        <w:tc>
          <w:tcPr>
            <w:tcW w:type="dxa" w:w="2880"/>
          </w:tcPr>
          <w:p>
            <w:r>
              <w:rPr>
                <w:b w:val="0"/>
                <w:sz w:val="18"/>
              </w:rPr>
              <w:t>trafic_mbps</w:t>
            </w:r>
          </w:p>
        </w:tc>
        <w:tc>
          <w:tcPr>
            <w:tcW w:type="dxa" w:w="2880"/>
          </w:tcPr>
          <w:p>
            <w:r>
              <w:rPr>
                <w:b w:val="0"/>
                <w:sz w:val="18"/>
              </w:rPr>
              <w:t>0.891</w:t>
            </w:r>
          </w:p>
        </w:tc>
      </w:tr>
      <w:tr>
        <w:tc>
          <w:tcPr>
            <w:tcW w:type="dxa" w:w="2880"/>
          </w:tcPr>
          <w:p>
            <w:r>
              <w:rPr>
                <w:b w:val="0"/>
                <w:sz w:val="18"/>
              </w:rPr>
              <w:t>cpu_pct</w:t>
            </w:r>
          </w:p>
        </w:tc>
        <w:tc>
          <w:tcPr>
            <w:tcW w:type="dxa" w:w="2880"/>
          </w:tcPr>
          <w:p>
            <w:r>
              <w:rPr>
                <w:b w:val="0"/>
                <w:sz w:val="18"/>
              </w:rPr>
              <w:t>latence_ms</w:t>
            </w:r>
          </w:p>
        </w:tc>
        <w:tc>
          <w:tcPr>
            <w:tcW w:type="dxa" w:w="2880"/>
          </w:tcPr>
          <w:p>
            <w:r>
              <w:rPr>
                <w:b w:val="0"/>
                <w:sz w:val="18"/>
              </w:rPr>
              <w:t>0.821</w:t>
            </w:r>
          </w:p>
        </w:tc>
      </w:tr>
      <w:tr>
        <w:tc>
          <w:tcPr>
            <w:tcW w:type="dxa" w:w="2880"/>
          </w:tcPr>
          <w:p>
            <w:r>
              <w:rPr>
                <w:b w:val="0"/>
                <w:sz w:val="18"/>
              </w:rPr>
              <w:t>trafic_mbps</w:t>
            </w:r>
          </w:p>
        </w:tc>
        <w:tc>
          <w:tcPr>
            <w:tcW w:type="dxa" w:w="2880"/>
          </w:tcPr>
          <w:p>
            <w:r>
              <w:rPr>
                <w:b w:val="0"/>
                <w:sz w:val="18"/>
              </w:rPr>
              <w:t>latence_ms</w:t>
            </w:r>
          </w:p>
        </w:tc>
        <w:tc>
          <w:tcPr>
            <w:tcW w:type="dxa" w:w="2880"/>
          </w:tcPr>
          <w:p>
            <w:r>
              <w:rPr>
                <w:b w:val="0"/>
                <w:sz w:val="18"/>
              </w:rPr>
              <w:t>0.821</w:t>
            </w:r>
          </w:p>
        </w:tc>
      </w:tr>
      <w:tr>
        <w:tc>
          <w:tcPr>
            <w:tcW w:type="dxa" w:w="2880"/>
          </w:tcPr>
          <w:p>
            <w:r>
              <w:rPr>
                <w:b w:val="0"/>
                <w:sz w:val="18"/>
              </w:rPr>
              <w:t>tentatives_intrusion</w:t>
            </w:r>
          </w:p>
        </w:tc>
        <w:tc>
          <w:tcPr>
            <w:tcW w:type="dxa" w:w="2880"/>
          </w:tcPr>
          <w:p>
            <w:r>
              <w:rPr>
                <w:b w:val="0"/>
                <w:sz w:val="18"/>
              </w:rPr>
              <w:t>jours_depuis_correctif</w:t>
            </w:r>
          </w:p>
        </w:tc>
        <w:tc>
          <w:tcPr>
            <w:tcW w:type="dxa" w:w="2880"/>
          </w:tcPr>
          <w:p>
            <w:r>
              <w:rPr>
                <w:b w:val="0"/>
                <w:sz w:val="18"/>
              </w:rPr>
              <w:t>0.813</w:t>
            </w:r>
          </w:p>
        </w:tc>
      </w:tr>
    </w:tbl>
    <w:p>
      <w:pPr>
        <w:pStyle w:val="Heading1"/>
      </w:pPr>
      <w:r>
        <w:rPr>
          <w:color w:val="1F3A5F"/>
        </w:rPr>
        <w:t>Question 3 — Réalisation de l'ACP, éboulis, variance cumulée</w:t>
      </w:r>
    </w:p>
    <w:p>
      <w:r>
        <w:rPr>
          <w:b w:val="0"/>
          <w:i w:val="0"/>
          <w:color w:val="404040"/>
          <w:sz w:val="22"/>
        </w:rPr>
        <w:t>Après standardisation (StandardScaler), on ajuste une ACP à 11 composantes. Trois critères permettent de choisir le nombre d'axes à retenir : le critère de Kaiser (valeur propre &gt; 1), le seuil de 80 % de variance cumulée, et la lecture du coude sur l'éboulis.</w:t>
      </w:r>
    </w:p>
    <w:p>
      <w:pPr>
        <w:jc w:val="center"/>
      </w:pPr>
      <w:r>
        <w:drawing>
          <wp:inline xmlns:a="http://schemas.openxmlformats.org/drawingml/2006/main" xmlns:pic="http://schemas.openxmlformats.org/drawingml/2006/picture">
            <wp:extent cx="5486400" cy="2110154"/>
            <wp:docPr id="2" name="Picture 2"/>
            <wp:cNvGraphicFramePr>
              <a:graphicFrameLocks noChangeAspect="1"/>
            </wp:cNvGraphicFramePr>
            <a:graphic>
              <a:graphicData uri="http://schemas.openxmlformats.org/drawingml/2006/picture">
                <pic:pic>
                  <pic:nvPicPr>
                    <pic:cNvPr id="0" name="fig_q3_eboulis_variance_cumulee.png"/>
                    <pic:cNvPicPr/>
                  </pic:nvPicPr>
                  <pic:blipFill>
                    <a:blip r:embed="rId10"/>
                    <a:stretch>
                      <a:fillRect/>
                    </a:stretch>
                  </pic:blipFill>
                  <pic:spPr>
                    <a:xfrm>
                      <a:off x="0" y="0"/>
                      <a:ext cx="5486400" cy="2110154"/>
                    </a:xfrm>
                    <a:prstGeom prst="rect"/>
                  </pic:spPr>
                </pic:pic>
              </a:graphicData>
            </a:graphic>
          </wp:inline>
        </w:drawing>
      </w:r>
    </w:p>
    <w:p>
      <w:pPr>
        <w:jc w:val="center"/>
      </w:pPr>
      <w:r>
        <w:rPr>
          <w:i/>
          <w:color w:val="404040"/>
          <w:sz w:val="18"/>
        </w:rPr>
        <w:t>Éboulis des valeurs propres et variance cumulée</w:t>
      </w:r>
    </w:p>
    <w:p>
      <w:r>
        <w:rPr>
          <w:b w:val="0"/>
          <w:i w:val="0"/>
          <w:color w:val="404040"/>
          <w:sz w:val="22"/>
        </w:rPr>
        <w:t>CP1 = 41.3 %, CP2 = 26.6 %, CP3 = 18.9 %, soit 86.8 % cumulés sur les 3 premiers axes ; la valeur propre chute ensuite nettement (CP4 = 0.27). Les trois critères convergent vers 3 axes (Kaiser), 3 axes (seuil 80 %) et un coude net après CP3. On retient 3 axes (CP1, CP2, CP3) : ils restent interprétables individuellement tout en couvrant l'essentiel de l'information.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axe</w:t>
            </w:r>
          </w:p>
        </w:tc>
        <w:tc>
          <w:tcPr>
            <w:tcW w:type="dxa" w:w="2160"/>
          </w:tcPr>
          <w:p>
            <w:r>
              <w:rPr>
                <w:b/>
                <w:sz w:val="18"/>
              </w:rPr>
              <w:t>valeur_propre</w:t>
            </w:r>
          </w:p>
        </w:tc>
        <w:tc>
          <w:tcPr>
            <w:tcW w:type="dxa" w:w="2160"/>
          </w:tcPr>
          <w:p>
            <w:r>
              <w:rPr>
                <w:b/>
                <w:sz w:val="18"/>
              </w:rPr>
              <w:t>variance_expliquee_%</w:t>
            </w:r>
          </w:p>
        </w:tc>
        <w:tc>
          <w:tcPr>
            <w:tcW w:type="dxa" w:w="2160"/>
          </w:tcPr>
          <w:p>
            <w:r>
              <w:rPr>
                <w:b/>
                <w:sz w:val="18"/>
              </w:rPr>
              <w:t>variance_cumulee_%</w:t>
            </w:r>
          </w:p>
        </w:tc>
      </w:tr>
      <w:tr>
        <w:tc>
          <w:tcPr>
            <w:tcW w:type="dxa" w:w="2160"/>
          </w:tcPr>
          <w:p>
            <w:r>
              <w:rPr>
                <w:b w:val="0"/>
                <w:sz w:val="18"/>
              </w:rPr>
              <w:t>CP1</w:t>
            </w:r>
          </w:p>
        </w:tc>
        <w:tc>
          <w:tcPr>
            <w:tcW w:type="dxa" w:w="2160"/>
          </w:tcPr>
          <w:p>
            <w:r>
              <w:rPr>
                <w:b w:val="0"/>
                <w:sz w:val="18"/>
              </w:rPr>
              <w:t>4.57</w:t>
            </w:r>
          </w:p>
        </w:tc>
        <w:tc>
          <w:tcPr>
            <w:tcW w:type="dxa" w:w="2160"/>
          </w:tcPr>
          <w:p>
            <w:r>
              <w:rPr>
                <w:b w:val="0"/>
                <w:sz w:val="18"/>
              </w:rPr>
              <w:t>41.27</w:t>
            </w:r>
          </w:p>
        </w:tc>
        <w:tc>
          <w:tcPr>
            <w:tcW w:type="dxa" w:w="2160"/>
          </w:tcPr>
          <w:p>
            <w:r>
              <w:rPr>
                <w:b w:val="0"/>
                <w:sz w:val="18"/>
              </w:rPr>
              <w:t>41.27</w:t>
            </w:r>
          </w:p>
        </w:tc>
      </w:tr>
      <w:tr>
        <w:tc>
          <w:tcPr>
            <w:tcW w:type="dxa" w:w="2160"/>
          </w:tcPr>
          <w:p>
            <w:r>
              <w:rPr>
                <w:b w:val="0"/>
                <w:sz w:val="18"/>
              </w:rPr>
              <w:t>CP2</w:t>
            </w:r>
          </w:p>
        </w:tc>
        <w:tc>
          <w:tcPr>
            <w:tcW w:type="dxa" w:w="2160"/>
          </w:tcPr>
          <w:p>
            <w:r>
              <w:rPr>
                <w:b w:val="0"/>
                <w:sz w:val="18"/>
              </w:rPr>
              <w:t>2.94</w:t>
            </w:r>
          </w:p>
        </w:tc>
        <w:tc>
          <w:tcPr>
            <w:tcW w:type="dxa" w:w="2160"/>
          </w:tcPr>
          <w:p>
            <w:r>
              <w:rPr>
                <w:b w:val="0"/>
                <w:sz w:val="18"/>
              </w:rPr>
              <w:t>26.57</w:t>
            </w:r>
          </w:p>
        </w:tc>
        <w:tc>
          <w:tcPr>
            <w:tcW w:type="dxa" w:w="2160"/>
          </w:tcPr>
          <w:p>
            <w:r>
              <w:rPr>
                <w:b w:val="0"/>
                <w:sz w:val="18"/>
              </w:rPr>
              <w:t>67.84</w:t>
            </w:r>
          </w:p>
        </w:tc>
      </w:tr>
      <w:tr>
        <w:tc>
          <w:tcPr>
            <w:tcW w:type="dxa" w:w="2160"/>
          </w:tcPr>
          <w:p>
            <w:r>
              <w:rPr>
                <w:b w:val="0"/>
                <w:sz w:val="18"/>
              </w:rPr>
              <w:t>CP3</w:t>
            </w:r>
          </w:p>
        </w:tc>
        <w:tc>
          <w:tcPr>
            <w:tcW w:type="dxa" w:w="2160"/>
          </w:tcPr>
          <w:p>
            <w:r>
              <w:rPr>
                <w:b w:val="0"/>
                <w:sz w:val="18"/>
              </w:rPr>
              <w:t>2.09</w:t>
            </w:r>
          </w:p>
        </w:tc>
        <w:tc>
          <w:tcPr>
            <w:tcW w:type="dxa" w:w="2160"/>
          </w:tcPr>
          <w:p>
            <w:r>
              <w:rPr>
                <w:b w:val="0"/>
                <w:sz w:val="18"/>
              </w:rPr>
              <w:t>18.92</w:t>
            </w:r>
          </w:p>
        </w:tc>
        <w:tc>
          <w:tcPr>
            <w:tcW w:type="dxa" w:w="2160"/>
          </w:tcPr>
          <w:p>
            <w:r>
              <w:rPr>
                <w:b w:val="0"/>
                <w:sz w:val="18"/>
              </w:rPr>
              <w:t>86.76</w:t>
            </w:r>
          </w:p>
        </w:tc>
      </w:tr>
      <w:tr>
        <w:tc>
          <w:tcPr>
            <w:tcW w:type="dxa" w:w="2160"/>
          </w:tcPr>
          <w:p>
            <w:r>
              <w:rPr>
                <w:b w:val="0"/>
                <w:sz w:val="18"/>
              </w:rPr>
              <w:t>CP4</w:t>
            </w:r>
          </w:p>
        </w:tc>
        <w:tc>
          <w:tcPr>
            <w:tcW w:type="dxa" w:w="2160"/>
          </w:tcPr>
          <w:p>
            <w:r>
              <w:rPr>
                <w:b w:val="0"/>
                <w:sz w:val="18"/>
              </w:rPr>
              <w:t>0.27</w:t>
            </w:r>
          </w:p>
        </w:tc>
        <w:tc>
          <w:tcPr>
            <w:tcW w:type="dxa" w:w="2160"/>
          </w:tcPr>
          <w:p>
            <w:r>
              <w:rPr>
                <w:b w:val="0"/>
                <w:sz w:val="18"/>
              </w:rPr>
              <w:t>2.45</w:t>
            </w:r>
          </w:p>
        </w:tc>
        <w:tc>
          <w:tcPr>
            <w:tcW w:type="dxa" w:w="2160"/>
          </w:tcPr>
          <w:p>
            <w:r>
              <w:rPr>
                <w:b w:val="0"/>
                <w:sz w:val="18"/>
              </w:rPr>
              <w:t>89.21</w:t>
            </w:r>
          </w:p>
        </w:tc>
      </w:tr>
      <w:tr>
        <w:tc>
          <w:tcPr>
            <w:tcW w:type="dxa" w:w="2160"/>
          </w:tcPr>
          <w:p>
            <w:r>
              <w:rPr>
                <w:b w:val="0"/>
                <w:sz w:val="18"/>
              </w:rPr>
              <w:t>CP5</w:t>
            </w:r>
          </w:p>
        </w:tc>
        <w:tc>
          <w:tcPr>
            <w:tcW w:type="dxa" w:w="2160"/>
          </w:tcPr>
          <w:p>
            <w:r>
              <w:rPr>
                <w:b w:val="0"/>
                <w:sz w:val="18"/>
              </w:rPr>
              <w:t>0.26</w:t>
            </w:r>
          </w:p>
        </w:tc>
        <w:tc>
          <w:tcPr>
            <w:tcW w:type="dxa" w:w="2160"/>
          </w:tcPr>
          <w:p>
            <w:r>
              <w:rPr>
                <w:b w:val="0"/>
                <w:sz w:val="18"/>
              </w:rPr>
              <w:t>2.31</w:t>
            </w:r>
          </w:p>
        </w:tc>
        <w:tc>
          <w:tcPr>
            <w:tcW w:type="dxa" w:w="2160"/>
          </w:tcPr>
          <w:p>
            <w:r>
              <w:rPr>
                <w:b w:val="0"/>
                <w:sz w:val="18"/>
              </w:rPr>
              <w:t>91.52</w:t>
            </w:r>
          </w:p>
        </w:tc>
      </w:tr>
    </w:tbl>
    <w:p>
      <w:pPr>
        <w:pStyle w:val="Heading1"/>
      </w:pPr>
      <w:r>
        <w:rPr>
          <w:color w:val="1F3A5F"/>
        </w:rPr>
        <w:t>Question 4 — Corrélations variables–axes et contributions</w:t>
      </w:r>
    </w:p>
    <w:p>
      <w:r>
        <w:rPr>
          <w:b w:val="0"/>
          <w:i w:val="0"/>
          <w:color w:val="404040"/>
          <w:sz w:val="22"/>
        </w:rPr>
        <w:t>La corrélation variable–axe (loading) place chaque variable dans le cercle des corrélations ; la contribution (%) mesure le poids de la variable dans la construction d'un axe (la somme des contributions sur un axe vaut 100 %). Le signe des composantes est arbitraire : seule l'interprétation relative des signes entre variables sur un même axe a un sens.</w:t>
      </w:r>
    </w:p>
    <w:p>
      <w:r>
        <w:rPr>
          <w:b/>
          <w:i w:val="0"/>
          <w:color w:val="404040"/>
          <w:sz w:val="20"/>
        </w:rPr>
        <w:t>Corrélations variables–axes (cercle des corrélations)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CP1</w:t>
            </w:r>
          </w:p>
        </w:tc>
        <w:tc>
          <w:tcPr>
            <w:tcW w:type="dxa" w:w="2160"/>
          </w:tcPr>
          <w:p>
            <w:r>
              <w:rPr>
                <w:b/>
                <w:sz w:val="18"/>
              </w:rPr>
              <w:t>CP2</w:t>
            </w:r>
          </w:p>
        </w:tc>
        <w:tc>
          <w:tcPr>
            <w:tcW w:type="dxa" w:w="2160"/>
          </w:tcPr>
          <w:p>
            <w:r>
              <w:rPr>
                <w:b/>
                <w:sz w:val="18"/>
              </w:rPr>
              <w:t>CP3</w:t>
            </w:r>
          </w:p>
        </w:tc>
      </w:tr>
      <w:tr>
        <w:tc>
          <w:tcPr>
            <w:tcW w:type="dxa" w:w="2160"/>
          </w:tcPr>
          <w:p>
            <w:r>
              <w:rPr>
                <w:b w:val="0"/>
                <w:sz w:val="18"/>
              </w:rPr>
              <w:t>cpu_pct</w:t>
            </w:r>
          </w:p>
        </w:tc>
        <w:tc>
          <w:tcPr>
            <w:tcW w:type="dxa" w:w="2160"/>
          </w:tcPr>
          <w:p>
            <w:r>
              <w:rPr>
                <w:b w:val="0"/>
                <w:sz w:val="18"/>
              </w:rPr>
              <w:t>0.75</w:t>
            </w:r>
          </w:p>
        </w:tc>
        <w:tc>
          <w:tcPr>
            <w:tcW w:type="dxa" w:w="2160"/>
          </w:tcPr>
          <w:p>
            <w:r>
              <w:rPr>
                <w:b w:val="0"/>
                <w:sz w:val="18"/>
              </w:rPr>
              <w:t>-0.54</w:t>
            </w:r>
          </w:p>
        </w:tc>
        <w:tc>
          <w:tcPr>
            <w:tcW w:type="dxa" w:w="2160"/>
          </w:tcPr>
          <w:p>
            <w:r>
              <w:rPr>
                <w:b w:val="0"/>
                <w:sz w:val="18"/>
              </w:rPr>
              <w:t>0.27</w:t>
            </w:r>
          </w:p>
        </w:tc>
      </w:tr>
      <w:tr>
        <w:tc>
          <w:tcPr>
            <w:tcW w:type="dxa" w:w="2160"/>
          </w:tcPr>
          <w:p>
            <w:r>
              <w:rPr>
                <w:b w:val="0"/>
                <w:sz w:val="18"/>
              </w:rPr>
              <w:t>ram_pct</w:t>
            </w:r>
          </w:p>
        </w:tc>
        <w:tc>
          <w:tcPr>
            <w:tcW w:type="dxa" w:w="2160"/>
          </w:tcPr>
          <w:p>
            <w:r>
              <w:rPr>
                <w:b w:val="0"/>
                <w:sz w:val="18"/>
              </w:rPr>
              <w:t>0.76</w:t>
            </w:r>
          </w:p>
        </w:tc>
        <w:tc>
          <w:tcPr>
            <w:tcW w:type="dxa" w:w="2160"/>
          </w:tcPr>
          <w:p>
            <w:r>
              <w:rPr>
                <w:b w:val="0"/>
                <w:sz w:val="18"/>
              </w:rPr>
              <w:t>-0.53</w:t>
            </w:r>
          </w:p>
        </w:tc>
        <w:tc>
          <w:tcPr>
            <w:tcW w:type="dxa" w:w="2160"/>
          </w:tcPr>
          <w:p>
            <w:r>
              <w:rPr>
                <w:b w:val="0"/>
                <w:sz w:val="18"/>
              </w:rPr>
              <w:t>0.23</w:t>
            </w:r>
          </w:p>
        </w:tc>
      </w:tr>
      <w:tr>
        <w:tc>
          <w:tcPr>
            <w:tcW w:type="dxa" w:w="2160"/>
          </w:tcPr>
          <w:p>
            <w:r>
              <w:rPr>
                <w:b w:val="0"/>
                <w:sz w:val="18"/>
              </w:rPr>
              <w:t>trafic_mbps</w:t>
            </w:r>
          </w:p>
        </w:tc>
        <w:tc>
          <w:tcPr>
            <w:tcW w:type="dxa" w:w="2160"/>
          </w:tcPr>
          <w:p>
            <w:r>
              <w:rPr>
                <w:b w:val="0"/>
                <w:sz w:val="18"/>
              </w:rPr>
              <w:t>0.74</w:t>
            </w:r>
          </w:p>
        </w:tc>
        <w:tc>
          <w:tcPr>
            <w:tcW w:type="dxa" w:w="2160"/>
          </w:tcPr>
          <w:p>
            <w:r>
              <w:rPr>
                <w:b w:val="0"/>
                <w:sz w:val="18"/>
              </w:rPr>
              <w:t>-0.56</w:t>
            </w:r>
          </w:p>
        </w:tc>
        <w:tc>
          <w:tcPr>
            <w:tcW w:type="dxa" w:w="2160"/>
          </w:tcPr>
          <w:p>
            <w:r>
              <w:rPr>
                <w:b w:val="0"/>
                <w:sz w:val="18"/>
              </w:rPr>
              <w:t>0.26</w:t>
            </w:r>
          </w:p>
        </w:tc>
      </w:tr>
      <w:tr>
        <w:tc>
          <w:tcPr>
            <w:tcW w:type="dxa" w:w="2160"/>
          </w:tcPr>
          <w:p>
            <w:r>
              <w:rPr>
                <w:b w:val="0"/>
                <w:sz w:val="18"/>
              </w:rPr>
              <w:t>latence_ms</w:t>
            </w:r>
          </w:p>
        </w:tc>
        <w:tc>
          <w:tcPr>
            <w:tcW w:type="dxa" w:w="2160"/>
          </w:tcPr>
          <w:p>
            <w:r>
              <w:rPr>
                <w:b w:val="0"/>
                <w:sz w:val="18"/>
              </w:rPr>
              <w:t>0.83</w:t>
            </w:r>
          </w:p>
        </w:tc>
        <w:tc>
          <w:tcPr>
            <w:tcW w:type="dxa" w:w="2160"/>
          </w:tcPr>
          <w:p>
            <w:r>
              <w:rPr>
                <w:b w:val="0"/>
                <w:sz w:val="18"/>
              </w:rPr>
              <w:t>-0.31</w:t>
            </w:r>
          </w:p>
        </w:tc>
        <w:tc>
          <w:tcPr>
            <w:tcW w:type="dxa" w:w="2160"/>
          </w:tcPr>
          <w:p>
            <w:r>
              <w:rPr>
                <w:b w:val="0"/>
                <w:sz w:val="18"/>
              </w:rPr>
              <w:t>0.28</w:t>
            </w:r>
          </w:p>
        </w:tc>
      </w:tr>
      <w:tr>
        <w:tc>
          <w:tcPr>
            <w:tcW w:type="dxa" w:w="2160"/>
          </w:tcPr>
          <w:p>
            <w:r>
              <w:rPr>
                <w:b w:val="0"/>
                <w:sz w:val="18"/>
              </w:rPr>
              <w:t>tentatives_intrusion</w:t>
            </w:r>
          </w:p>
        </w:tc>
        <w:tc>
          <w:tcPr>
            <w:tcW w:type="dxa" w:w="2160"/>
          </w:tcPr>
          <w:p>
            <w:r>
              <w:rPr>
                <w:b w:val="0"/>
                <w:sz w:val="18"/>
              </w:rPr>
              <w:t>0.61</w:t>
            </w:r>
          </w:p>
        </w:tc>
        <w:tc>
          <w:tcPr>
            <w:tcW w:type="dxa" w:w="2160"/>
          </w:tcPr>
          <w:p>
            <w:r>
              <w:rPr>
                <w:b w:val="0"/>
                <w:sz w:val="18"/>
              </w:rPr>
              <w:t>0.68</w:t>
            </w:r>
          </w:p>
        </w:tc>
        <w:tc>
          <w:tcPr>
            <w:tcW w:type="dxa" w:w="2160"/>
          </w:tcPr>
          <w:p>
            <w:r>
              <w:rPr>
                <w:b w:val="0"/>
                <w:sz w:val="18"/>
              </w:rPr>
              <w:t>0.19</w:t>
            </w:r>
          </w:p>
        </w:tc>
      </w:tr>
      <w:tr>
        <w:tc>
          <w:tcPr>
            <w:tcW w:type="dxa" w:w="2160"/>
          </w:tcPr>
          <w:p>
            <w:r>
              <w:rPr>
                <w:b w:val="0"/>
                <w:sz w:val="18"/>
              </w:rPr>
              <w:t>ports_exposes</w:t>
            </w:r>
          </w:p>
        </w:tc>
        <w:tc>
          <w:tcPr>
            <w:tcW w:type="dxa" w:w="2160"/>
          </w:tcPr>
          <w:p>
            <w:r>
              <w:rPr>
                <w:b w:val="0"/>
                <w:sz w:val="18"/>
              </w:rPr>
              <w:t>0.61</w:t>
            </w:r>
          </w:p>
        </w:tc>
        <w:tc>
          <w:tcPr>
            <w:tcW w:type="dxa" w:w="2160"/>
          </w:tcPr>
          <w:p>
            <w:r>
              <w:rPr>
                <w:b w:val="0"/>
                <w:sz w:val="18"/>
              </w:rPr>
              <w:t>0.63</w:t>
            </w:r>
          </w:p>
        </w:tc>
        <w:tc>
          <w:tcPr>
            <w:tcW w:type="dxa" w:w="2160"/>
          </w:tcPr>
          <w:p>
            <w:r>
              <w:rPr>
                <w:b w:val="0"/>
                <w:sz w:val="18"/>
              </w:rPr>
              <w:t>0.21</w:t>
            </w:r>
          </w:p>
        </w:tc>
      </w:tr>
      <w:tr>
        <w:tc>
          <w:tcPr>
            <w:tcW w:type="dxa" w:w="2160"/>
          </w:tcPr>
          <w:p>
            <w:r>
              <w:rPr>
                <w:b w:val="0"/>
                <w:sz w:val="18"/>
              </w:rPr>
              <w:t>vulnerabilites_ouvertes</w:t>
            </w:r>
          </w:p>
        </w:tc>
        <w:tc>
          <w:tcPr>
            <w:tcW w:type="dxa" w:w="2160"/>
          </w:tcPr>
          <w:p>
            <w:r>
              <w:rPr>
                <w:b w:val="0"/>
                <w:sz w:val="18"/>
              </w:rPr>
              <w:t>0.55</w:t>
            </w:r>
          </w:p>
        </w:tc>
        <w:tc>
          <w:tcPr>
            <w:tcW w:type="dxa" w:w="2160"/>
          </w:tcPr>
          <w:p>
            <w:r>
              <w:rPr>
                <w:b w:val="0"/>
                <w:sz w:val="18"/>
              </w:rPr>
              <w:t>0.72</w:t>
            </w:r>
          </w:p>
        </w:tc>
        <w:tc>
          <w:tcPr>
            <w:tcW w:type="dxa" w:w="2160"/>
          </w:tcPr>
          <w:p>
            <w:r>
              <w:rPr>
                <w:b w:val="0"/>
                <w:sz w:val="18"/>
              </w:rPr>
              <w:t>0.07</w:t>
            </w:r>
          </w:p>
        </w:tc>
      </w:tr>
      <w:tr>
        <w:tc>
          <w:tcPr>
            <w:tcW w:type="dxa" w:w="2160"/>
          </w:tcPr>
          <w:p>
            <w:r>
              <w:rPr>
                <w:b w:val="0"/>
                <w:sz w:val="18"/>
              </w:rPr>
              <w:t>jours_depuis_correctif</w:t>
            </w:r>
          </w:p>
        </w:tc>
        <w:tc>
          <w:tcPr>
            <w:tcW w:type="dxa" w:w="2160"/>
          </w:tcPr>
          <w:p>
            <w:r>
              <w:rPr>
                <w:b w:val="0"/>
                <w:sz w:val="18"/>
              </w:rPr>
              <w:t>0.55</w:t>
            </w:r>
          </w:p>
        </w:tc>
        <w:tc>
          <w:tcPr>
            <w:tcW w:type="dxa" w:w="2160"/>
          </w:tcPr>
          <w:p>
            <w:r>
              <w:rPr>
                <w:b w:val="0"/>
                <w:sz w:val="18"/>
              </w:rPr>
              <w:t>0.74</w:t>
            </w:r>
          </w:p>
        </w:tc>
        <w:tc>
          <w:tcPr>
            <w:tcW w:type="dxa" w:w="2160"/>
          </w:tcPr>
          <w:p>
            <w:r>
              <w:rPr>
                <w:b w:val="0"/>
                <w:sz w:val="18"/>
              </w:rPr>
              <w:t>0.09</w:t>
            </w:r>
          </w:p>
        </w:tc>
      </w:tr>
      <w:tr>
        <w:tc>
          <w:tcPr>
            <w:tcW w:type="dxa" w:w="2160"/>
          </w:tcPr>
          <w:p>
            <w:r>
              <w:rPr>
                <w:b w:val="0"/>
                <w:sz w:val="18"/>
              </w:rPr>
              <w:t>disponibilite_pct</w:t>
            </w:r>
          </w:p>
        </w:tc>
        <w:tc>
          <w:tcPr>
            <w:tcW w:type="dxa" w:w="2160"/>
          </w:tcPr>
          <w:p>
            <w:r>
              <w:rPr>
                <w:b w:val="0"/>
                <w:sz w:val="18"/>
              </w:rPr>
              <w:t>-0.70</w:t>
            </w:r>
          </w:p>
        </w:tc>
        <w:tc>
          <w:tcPr>
            <w:tcW w:type="dxa" w:w="2160"/>
          </w:tcPr>
          <w:p>
            <w:r>
              <w:rPr>
                <w:b w:val="0"/>
                <w:sz w:val="18"/>
              </w:rPr>
              <w:t>0.16</w:t>
            </w:r>
          </w:p>
        </w:tc>
        <w:tc>
          <w:tcPr>
            <w:tcW w:type="dxa" w:w="2160"/>
          </w:tcPr>
          <w:p>
            <w:r>
              <w:rPr>
                <w:b w:val="0"/>
                <w:sz w:val="18"/>
              </w:rPr>
              <w:t>0.61</w:t>
            </w:r>
          </w:p>
        </w:tc>
      </w:tr>
      <w:tr>
        <w:tc>
          <w:tcPr>
            <w:tcW w:type="dxa" w:w="2160"/>
          </w:tcPr>
          <w:p>
            <w:r>
              <w:rPr>
                <w:b w:val="0"/>
                <w:sz w:val="18"/>
              </w:rPr>
              <w:t>temps_retablissement_min</w:t>
            </w:r>
          </w:p>
        </w:tc>
        <w:tc>
          <w:tcPr>
            <w:tcW w:type="dxa" w:w="2160"/>
          </w:tcPr>
          <w:p>
            <w:r>
              <w:rPr>
                <w:b w:val="0"/>
                <w:sz w:val="18"/>
              </w:rPr>
              <w:t>0.45</w:t>
            </w:r>
          </w:p>
        </w:tc>
        <w:tc>
          <w:tcPr>
            <w:tcW w:type="dxa" w:w="2160"/>
          </w:tcPr>
          <w:p>
            <w:r>
              <w:rPr>
                <w:b w:val="0"/>
                <w:sz w:val="18"/>
              </w:rPr>
              <w:t>-0.00</w:t>
            </w:r>
          </w:p>
        </w:tc>
        <w:tc>
          <w:tcPr>
            <w:tcW w:type="dxa" w:w="2160"/>
          </w:tcPr>
          <w:p>
            <w:r>
              <w:rPr>
                <w:b w:val="0"/>
                <w:sz w:val="18"/>
              </w:rPr>
              <w:t>-0.80</w:t>
            </w:r>
          </w:p>
        </w:tc>
      </w:tr>
      <w:tr>
        <w:tc>
          <w:tcPr>
            <w:tcW w:type="dxa" w:w="2160"/>
          </w:tcPr>
          <w:p>
            <w:r>
              <w:rPr>
                <w:b w:val="0"/>
                <w:sz w:val="18"/>
              </w:rPr>
              <w:t>sauvegardes_reussies_pct</w:t>
            </w:r>
          </w:p>
        </w:tc>
        <w:tc>
          <w:tcPr>
            <w:tcW w:type="dxa" w:w="2160"/>
          </w:tcPr>
          <w:p>
            <w:r>
              <w:rPr>
                <w:b w:val="0"/>
                <w:sz w:val="18"/>
              </w:rPr>
              <w:t>-0.39</w:t>
            </w:r>
          </w:p>
        </w:tc>
        <w:tc>
          <w:tcPr>
            <w:tcW w:type="dxa" w:w="2160"/>
          </w:tcPr>
          <w:p>
            <w:r>
              <w:rPr>
                <w:b w:val="0"/>
                <w:sz w:val="18"/>
              </w:rPr>
              <w:t>0.03</w:t>
            </w:r>
          </w:p>
        </w:tc>
        <w:tc>
          <w:tcPr>
            <w:tcW w:type="dxa" w:w="2160"/>
          </w:tcPr>
          <w:p>
            <w:r>
              <w:rPr>
                <w:b w:val="0"/>
                <w:sz w:val="18"/>
              </w:rPr>
              <w:t>0.85</w:t>
            </w:r>
          </w:p>
        </w:tc>
      </w:tr>
    </w:tbl>
    <w:p>
      <w:r>
        <w:rPr>
          <w:b w:val="0"/>
          <w:i w:val="0"/>
          <w:color w:val="404040"/>
          <w:sz w:val="22"/>
        </w:rPr>
        <w:t>CP1 oppose « charge + exposition + incidents » à « résilience/disponibilité » (axe global de risque). CP2 oppose le bloc charge/performance au bloc exposition/sécurité (type de stress dominant). CP3 est dominé par les variables de résilience/sauvegarde (sauvegardes_reussies_pct, temps_retablissement_min, disponibilite_pct), qui expliquent à elles seules plus de 80 % de l'inertie de cet axe — un axe de résilience opérationnelle largement indépendant de CP1 et CP2.</w:t>
      </w:r>
    </w:p>
    <w:p>
      <w:pPr>
        <w:pStyle w:val="Heading1"/>
      </w:pPr>
      <w:r>
        <w:rPr>
          <w:color w:val="1F3A5F"/>
        </w:rPr>
        <w:t>Question 5 — Cercle des corrélations et carte thermique</w:t>
      </w:r>
    </w:p>
    <w:p>
      <w:r>
        <w:rPr>
          <w:b w:val="0"/>
          <w:i w:val="0"/>
          <w:color w:val="404040"/>
          <w:sz w:val="22"/>
        </w:rPr>
        <w:t>Le cercle des corrélations place chaque variable à ses coordonnées (loading_CP1, loading_CP2) : plus une flèche est proche du cercle unité, mieux la variable est représentée dans ce plan.</w:t>
      </w:r>
    </w:p>
    <w:p>
      <w:pPr>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fig_q5_cercle_correlations_cp1_cp2.png"/>
                    <pic:cNvPicPr/>
                  </pic:nvPicPr>
                  <pic:blipFill>
                    <a:blip r:embed="rId11"/>
                    <a:stretch>
                      <a:fillRect/>
                    </a:stretch>
                  </pic:blipFill>
                  <pic:spPr>
                    <a:xfrm>
                      <a:off x="0" y="0"/>
                      <a:ext cx="4389120" cy="4389120"/>
                    </a:xfrm>
                    <a:prstGeom prst="rect"/>
                  </pic:spPr>
                </pic:pic>
              </a:graphicData>
            </a:graphic>
          </wp:inline>
        </w:drawing>
      </w:r>
    </w:p>
    <w:p>
      <w:pPr>
        <w:jc w:val="center"/>
      </w:pPr>
      <w:r>
        <w:rPr>
          <w:i/>
          <w:color w:val="404040"/>
          <w:sz w:val="18"/>
        </w:rPr>
        <w:t>Cercle des corrélations — CP1 × CP2</w:t>
      </w:r>
    </w:p>
    <w:p>
      <w:pPr>
        <w:jc w:val="center"/>
      </w:pPr>
      <w:r>
        <w:drawing>
          <wp:inline xmlns:a="http://schemas.openxmlformats.org/drawingml/2006/main" xmlns:pic="http://schemas.openxmlformats.org/drawingml/2006/picture">
            <wp:extent cx="3200400" cy="3733800"/>
            <wp:docPr id="4" name="Picture 4"/>
            <wp:cNvGraphicFramePr>
              <a:graphicFrameLocks noChangeAspect="1"/>
            </wp:cNvGraphicFramePr>
            <a:graphic>
              <a:graphicData uri="http://schemas.openxmlformats.org/drawingml/2006/picture">
                <pic:pic>
                  <pic:nvPicPr>
                    <pic:cNvPr id="0" name="fig_q5_heatmap_cp1_cp3.png"/>
                    <pic:cNvPicPr/>
                  </pic:nvPicPr>
                  <pic:blipFill>
                    <a:blip r:embed="rId12"/>
                    <a:stretch>
                      <a:fillRect/>
                    </a:stretch>
                  </pic:blipFill>
                  <pic:spPr>
                    <a:xfrm>
                      <a:off x="0" y="0"/>
                      <a:ext cx="3200400" cy="3733800"/>
                    </a:xfrm>
                    <a:prstGeom prst="rect"/>
                  </pic:spPr>
                </pic:pic>
              </a:graphicData>
            </a:graphic>
          </wp:inline>
        </w:drawing>
      </w:r>
    </w:p>
    <w:p>
      <w:pPr>
        <w:jc w:val="center"/>
      </w:pPr>
      <w:r>
        <w:rPr>
          <w:i/>
          <w:color w:val="404040"/>
          <w:sz w:val="18"/>
        </w:rPr>
        <w:t>Carte thermique des corrélations variables–axes — CP1 × CP3</w:t>
      </w:r>
    </w:p>
    <w:p>
      <w:r>
        <w:rPr>
          <w:b w:val="0"/>
          <w:i w:val="0"/>
          <w:color w:val="404040"/>
          <w:sz w:val="22"/>
        </w:rPr>
        <w:t>temps_retablissement_min et sauvegardes_reussies_pct sont mal représentées dans le plan CP1–CP2 (cos² faible) alors qu'elles sont très bien représentées dans le plan CP1–CP3 — preuve visuelle que le plan CP1–CP2 seul occulte la dimension résilience/sauvegardes.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cos2_CP1_CP2</w:t>
            </w:r>
          </w:p>
        </w:tc>
        <w:tc>
          <w:tcPr>
            <w:tcW w:type="dxa" w:w="2880"/>
          </w:tcPr>
          <w:p>
            <w:r>
              <w:rPr>
                <w:b/>
                <w:sz w:val="18"/>
              </w:rPr>
              <w:t>cos2_CP1_CP3</w:t>
            </w:r>
          </w:p>
        </w:tc>
      </w:tr>
      <w:tr>
        <w:tc>
          <w:tcPr>
            <w:tcW w:type="dxa" w:w="2880"/>
          </w:tcPr>
          <w:p>
            <w:r>
              <w:rPr>
                <w:b w:val="0"/>
                <w:sz w:val="18"/>
              </w:rPr>
              <w:t>cpu_pct</w:t>
            </w:r>
          </w:p>
        </w:tc>
        <w:tc>
          <w:tcPr>
            <w:tcW w:type="dxa" w:w="2880"/>
          </w:tcPr>
          <w:p>
            <w:r>
              <w:rPr>
                <w:b w:val="0"/>
                <w:sz w:val="18"/>
              </w:rPr>
              <w:t>0.85</w:t>
            </w:r>
          </w:p>
        </w:tc>
        <w:tc>
          <w:tcPr>
            <w:tcW w:type="dxa" w:w="2880"/>
          </w:tcPr>
          <w:p>
            <w:r>
              <w:rPr>
                <w:b w:val="0"/>
                <w:sz w:val="18"/>
              </w:rPr>
              <w:t>0.63</w:t>
            </w:r>
          </w:p>
        </w:tc>
      </w:tr>
      <w:tr>
        <w:tc>
          <w:tcPr>
            <w:tcW w:type="dxa" w:w="2880"/>
          </w:tcPr>
          <w:p>
            <w:r>
              <w:rPr>
                <w:b w:val="0"/>
                <w:sz w:val="18"/>
              </w:rPr>
              <w:t>ram_pct</w:t>
            </w:r>
          </w:p>
        </w:tc>
        <w:tc>
          <w:tcPr>
            <w:tcW w:type="dxa" w:w="2880"/>
          </w:tcPr>
          <w:p>
            <w:r>
              <w:rPr>
                <w:b w:val="0"/>
                <w:sz w:val="18"/>
              </w:rPr>
              <w:t>0.86</w:t>
            </w:r>
          </w:p>
        </w:tc>
        <w:tc>
          <w:tcPr>
            <w:tcW w:type="dxa" w:w="2880"/>
          </w:tcPr>
          <w:p>
            <w:r>
              <w:rPr>
                <w:b w:val="0"/>
                <w:sz w:val="18"/>
              </w:rPr>
              <w:t>0.63</w:t>
            </w:r>
          </w:p>
        </w:tc>
      </w:tr>
      <w:tr>
        <w:tc>
          <w:tcPr>
            <w:tcW w:type="dxa" w:w="2880"/>
          </w:tcPr>
          <w:p>
            <w:r>
              <w:rPr>
                <w:b w:val="0"/>
                <w:sz w:val="18"/>
              </w:rPr>
              <w:t>trafic_mbps</w:t>
            </w:r>
          </w:p>
        </w:tc>
        <w:tc>
          <w:tcPr>
            <w:tcW w:type="dxa" w:w="2880"/>
          </w:tcPr>
          <w:p>
            <w:r>
              <w:rPr>
                <w:b w:val="0"/>
                <w:sz w:val="18"/>
              </w:rPr>
              <w:t>0.86</w:t>
            </w:r>
          </w:p>
        </w:tc>
        <w:tc>
          <w:tcPr>
            <w:tcW w:type="dxa" w:w="2880"/>
          </w:tcPr>
          <w:p>
            <w:r>
              <w:rPr>
                <w:b w:val="0"/>
                <w:sz w:val="18"/>
              </w:rPr>
              <w:t>0.62</w:t>
            </w:r>
          </w:p>
        </w:tc>
      </w:tr>
      <w:tr>
        <w:tc>
          <w:tcPr>
            <w:tcW w:type="dxa" w:w="2880"/>
          </w:tcPr>
          <w:p>
            <w:r>
              <w:rPr>
                <w:b w:val="0"/>
                <w:sz w:val="18"/>
              </w:rPr>
              <w:t>latence_ms</w:t>
            </w:r>
          </w:p>
        </w:tc>
        <w:tc>
          <w:tcPr>
            <w:tcW w:type="dxa" w:w="2880"/>
          </w:tcPr>
          <w:p>
            <w:r>
              <w:rPr>
                <w:b w:val="0"/>
                <w:sz w:val="18"/>
              </w:rPr>
              <w:t>0.78</w:t>
            </w:r>
          </w:p>
        </w:tc>
        <w:tc>
          <w:tcPr>
            <w:tcW w:type="dxa" w:w="2880"/>
          </w:tcPr>
          <w:p>
            <w:r>
              <w:rPr>
                <w:b w:val="0"/>
                <w:sz w:val="18"/>
              </w:rPr>
              <w:t>0.76</w:t>
            </w:r>
          </w:p>
        </w:tc>
      </w:tr>
      <w:tr>
        <w:tc>
          <w:tcPr>
            <w:tcW w:type="dxa" w:w="2880"/>
          </w:tcPr>
          <w:p>
            <w:r>
              <w:rPr>
                <w:b w:val="0"/>
                <w:sz w:val="18"/>
              </w:rPr>
              <w:t>tentatives_intrusion</w:t>
            </w:r>
          </w:p>
        </w:tc>
        <w:tc>
          <w:tcPr>
            <w:tcW w:type="dxa" w:w="2880"/>
          </w:tcPr>
          <w:p>
            <w:r>
              <w:rPr>
                <w:b w:val="0"/>
                <w:sz w:val="18"/>
              </w:rPr>
              <w:t>0.84</w:t>
            </w:r>
          </w:p>
        </w:tc>
        <w:tc>
          <w:tcPr>
            <w:tcW w:type="dxa" w:w="2880"/>
          </w:tcPr>
          <w:p>
            <w:r>
              <w:rPr>
                <w:b w:val="0"/>
                <w:sz w:val="18"/>
              </w:rPr>
              <w:t>0.40</w:t>
            </w:r>
          </w:p>
        </w:tc>
      </w:tr>
      <w:tr>
        <w:tc>
          <w:tcPr>
            <w:tcW w:type="dxa" w:w="2880"/>
          </w:tcPr>
          <w:p>
            <w:r>
              <w:rPr>
                <w:b w:val="0"/>
                <w:sz w:val="18"/>
              </w:rPr>
              <w:t>ports_exposes</w:t>
            </w:r>
          </w:p>
        </w:tc>
        <w:tc>
          <w:tcPr>
            <w:tcW w:type="dxa" w:w="2880"/>
          </w:tcPr>
          <w:p>
            <w:r>
              <w:rPr>
                <w:b w:val="0"/>
                <w:sz w:val="18"/>
              </w:rPr>
              <w:t>0.77</w:t>
            </w:r>
          </w:p>
        </w:tc>
        <w:tc>
          <w:tcPr>
            <w:tcW w:type="dxa" w:w="2880"/>
          </w:tcPr>
          <w:p>
            <w:r>
              <w:rPr>
                <w:b w:val="0"/>
                <w:sz w:val="18"/>
              </w:rPr>
              <w:t>0.42</w:t>
            </w:r>
          </w:p>
        </w:tc>
      </w:tr>
      <w:tr>
        <w:tc>
          <w:tcPr>
            <w:tcW w:type="dxa" w:w="2880"/>
          </w:tcPr>
          <w:p>
            <w:r>
              <w:rPr>
                <w:b w:val="0"/>
                <w:sz w:val="18"/>
              </w:rPr>
              <w:t>vulnerabilites_ouvertes</w:t>
            </w:r>
          </w:p>
        </w:tc>
        <w:tc>
          <w:tcPr>
            <w:tcW w:type="dxa" w:w="2880"/>
          </w:tcPr>
          <w:p>
            <w:r>
              <w:rPr>
                <w:b w:val="0"/>
                <w:sz w:val="18"/>
              </w:rPr>
              <w:t>0.83</w:t>
            </w:r>
          </w:p>
        </w:tc>
        <w:tc>
          <w:tcPr>
            <w:tcW w:type="dxa" w:w="2880"/>
          </w:tcPr>
          <w:p>
            <w:r>
              <w:rPr>
                <w:b w:val="0"/>
                <w:sz w:val="18"/>
              </w:rPr>
              <w:t>0.31</w:t>
            </w:r>
          </w:p>
        </w:tc>
      </w:tr>
      <w:tr>
        <w:tc>
          <w:tcPr>
            <w:tcW w:type="dxa" w:w="2880"/>
          </w:tcPr>
          <w:p>
            <w:r>
              <w:rPr>
                <w:b w:val="0"/>
                <w:sz w:val="18"/>
              </w:rPr>
              <w:t>jours_depuis_correctif</w:t>
            </w:r>
          </w:p>
        </w:tc>
        <w:tc>
          <w:tcPr>
            <w:tcW w:type="dxa" w:w="2880"/>
          </w:tcPr>
          <w:p>
            <w:r>
              <w:rPr>
                <w:b w:val="0"/>
                <w:sz w:val="18"/>
              </w:rPr>
              <w:t>0.84</w:t>
            </w:r>
          </w:p>
        </w:tc>
        <w:tc>
          <w:tcPr>
            <w:tcW w:type="dxa" w:w="2880"/>
          </w:tcPr>
          <w:p>
            <w:r>
              <w:rPr>
                <w:b w:val="0"/>
                <w:sz w:val="18"/>
              </w:rPr>
              <w:t>0.31</w:t>
            </w:r>
          </w:p>
        </w:tc>
      </w:tr>
      <w:tr>
        <w:tc>
          <w:tcPr>
            <w:tcW w:type="dxa" w:w="2880"/>
          </w:tcPr>
          <w:p>
            <w:r>
              <w:rPr>
                <w:b w:val="0"/>
                <w:sz w:val="18"/>
              </w:rPr>
              <w:t>disponibilite_pct</w:t>
            </w:r>
          </w:p>
        </w:tc>
        <w:tc>
          <w:tcPr>
            <w:tcW w:type="dxa" w:w="2880"/>
          </w:tcPr>
          <w:p>
            <w:r>
              <w:rPr>
                <w:b w:val="0"/>
                <w:sz w:val="18"/>
              </w:rPr>
              <w:t>0.51</w:t>
            </w:r>
          </w:p>
        </w:tc>
        <w:tc>
          <w:tcPr>
            <w:tcW w:type="dxa" w:w="2880"/>
          </w:tcPr>
          <w:p>
            <w:r>
              <w:rPr>
                <w:b w:val="0"/>
                <w:sz w:val="18"/>
              </w:rPr>
              <w:t>0.87</w:t>
            </w:r>
          </w:p>
        </w:tc>
      </w:tr>
      <w:tr>
        <w:tc>
          <w:tcPr>
            <w:tcW w:type="dxa" w:w="2880"/>
          </w:tcPr>
          <w:p>
            <w:r>
              <w:rPr>
                <w:b w:val="0"/>
                <w:sz w:val="18"/>
              </w:rPr>
              <w:t>temps_retablissement_min</w:t>
            </w:r>
          </w:p>
        </w:tc>
        <w:tc>
          <w:tcPr>
            <w:tcW w:type="dxa" w:w="2880"/>
          </w:tcPr>
          <w:p>
            <w:r>
              <w:rPr>
                <w:b w:val="0"/>
                <w:sz w:val="18"/>
              </w:rPr>
              <w:t>0.21</w:t>
            </w:r>
          </w:p>
        </w:tc>
        <w:tc>
          <w:tcPr>
            <w:tcW w:type="dxa" w:w="2880"/>
          </w:tcPr>
          <w:p>
            <w:r>
              <w:rPr>
                <w:b w:val="0"/>
                <w:sz w:val="18"/>
              </w:rPr>
              <w:t>0.85</w:t>
            </w:r>
          </w:p>
        </w:tc>
      </w:tr>
      <w:tr>
        <w:tc>
          <w:tcPr>
            <w:tcW w:type="dxa" w:w="2880"/>
          </w:tcPr>
          <w:p>
            <w:r>
              <w:rPr>
                <w:b w:val="0"/>
                <w:sz w:val="18"/>
              </w:rPr>
              <w:t>sauvegardes_reussies_pct</w:t>
            </w:r>
          </w:p>
        </w:tc>
        <w:tc>
          <w:tcPr>
            <w:tcW w:type="dxa" w:w="2880"/>
          </w:tcPr>
          <w:p>
            <w:r>
              <w:rPr>
                <w:b w:val="0"/>
                <w:sz w:val="18"/>
              </w:rPr>
              <w:t>0.15</w:t>
            </w:r>
          </w:p>
        </w:tc>
        <w:tc>
          <w:tcPr>
            <w:tcW w:type="dxa" w:w="2880"/>
          </w:tcPr>
          <w:p>
            <w:r>
              <w:rPr>
                <w:b w:val="0"/>
                <w:sz w:val="18"/>
              </w:rPr>
              <w:t>0.87</w:t>
            </w:r>
          </w:p>
        </w:tc>
      </w:tr>
    </w:tbl>
    <w:p>
      <w:pPr>
        <w:pStyle w:val="Heading1"/>
      </w:pPr>
      <w:r>
        <w:rPr>
          <w:color w:val="1F3A5F"/>
        </w:rPr>
        <w:t>Question 6 — Projection des individus, cos² individuels</w:t>
      </w:r>
    </w:p>
    <w:p>
      <w:r>
        <w:rPr>
          <w:b w:val="0"/>
          <w:i w:val="0"/>
          <w:color w:val="404040"/>
          <w:sz w:val="22"/>
        </w:rPr>
        <w:t>On projette les 160 serveurs sur le plan CP1–CP2, colorés par segment_synthetique (variable externe, non utilisée dans l'ACP). Le cos² d'un individu mesure la part de sa distance totale à l'origine (dans l'espace standardisé à 11 dimensions) expliquée par ce plan.</w:t>
      </w:r>
    </w:p>
    <w:p>
      <w:pPr>
        <w:jc w:val="center"/>
      </w:pPr>
      <w:r>
        <w:drawing>
          <wp:inline xmlns:a="http://schemas.openxmlformats.org/drawingml/2006/main" xmlns:pic="http://schemas.openxmlformats.org/drawingml/2006/picture">
            <wp:extent cx="4572000" cy="3714750"/>
            <wp:docPr id="5" name="Picture 5"/>
            <wp:cNvGraphicFramePr>
              <a:graphicFrameLocks noChangeAspect="1"/>
            </wp:cNvGraphicFramePr>
            <a:graphic>
              <a:graphicData uri="http://schemas.openxmlformats.org/drawingml/2006/picture">
                <pic:pic>
                  <pic:nvPicPr>
                    <pic:cNvPr id="0" name="fig_q6_projection_individus_cp1_cp2.png"/>
                    <pic:cNvPicPr/>
                  </pic:nvPicPr>
                  <pic:blipFill>
                    <a:blip r:embed="rId13"/>
                    <a:stretch>
                      <a:fillRect/>
                    </a:stretch>
                  </pic:blipFill>
                  <pic:spPr>
                    <a:xfrm>
                      <a:off x="0" y="0"/>
                      <a:ext cx="4572000" cy="3714750"/>
                    </a:xfrm>
                    <a:prstGeom prst="rect"/>
                  </pic:spPr>
                </pic:pic>
              </a:graphicData>
            </a:graphic>
          </wp:inline>
        </w:drawing>
      </w:r>
    </w:p>
    <w:p>
      <w:pPr>
        <w:jc w:val="center"/>
      </w:pPr>
      <w:r>
        <w:rPr>
          <w:i/>
          <w:color w:val="404040"/>
          <w:sz w:val="18"/>
        </w:rPr>
        <w:t>Projection des serveurs sur CP1 × CP2</w:t>
      </w:r>
    </w:p>
    <w:p>
      <w:r>
        <w:rPr>
          <w:b w:val="0"/>
          <w:i w:val="0"/>
          <w:color w:val="404040"/>
          <w:sz w:val="22"/>
        </w:rPr>
        <w:t>Le cos²(CP1-CP2) varie de 0.003 à 0.972 (moyenne 0.597). Les serveurs les moins bien représentés dans ce plan ne doivent pas être interprétés avec confiance à partir de ce seul graphique : leur position réelle est largement portée par CP3 ou des axes suivants.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serveur_id</w:t>
            </w:r>
          </w:p>
        </w:tc>
        <w:tc>
          <w:tcPr>
            <w:tcW w:type="dxa" w:w="2160"/>
          </w:tcPr>
          <w:p>
            <w:r>
              <w:rPr>
                <w:b/>
                <w:sz w:val="18"/>
              </w:rPr>
              <w:t>segment</w:t>
            </w:r>
          </w:p>
        </w:tc>
        <w:tc>
          <w:tcPr>
            <w:tcW w:type="dxa" w:w="2160"/>
          </w:tcPr>
          <w:p>
            <w:r>
              <w:rPr>
                <w:b/>
                <w:sz w:val="18"/>
              </w:rPr>
              <w:t>distance_totale</w:t>
            </w:r>
          </w:p>
        </w:tc>
        <w:tc>
          <w:tcPr>
            <w:tcW w:type="dxa" w:w="2160"/>
          </w:tcPr>
          <w:p>
            <w:r>
              <w:rPr>
                <w:b/>
                <w:sz w:val="18"/>
              </w:rPr>
              <w:t>cos2_CP1_CP2</w:t>
            </w:r>
          </w:p>
        </w:tc>
      </w:tr>
      <w:tr>
        <w:tc>
          <w:tcPr>
            <w:tcW w:type="dxa" w:w="2160"/>
          </w:tcPr>
          <w:p>
            <w:r>
              <w:rPr>
                <w:b w:val="0"/>
                <w:sz w:val="18"/>
              </w:rPr>
              <w:t>SRV-116</w:t>
            </w:r>
          </w:p>
        </w:tc>
        <w:tc>
          <w:tcPr>
            <w:tcW w:type="dxa" w:w="2160"/>
          </w:tcPr>
          <w:p>
            <w:r>
              <w:rPr>
                <w:b w:val="0"/>
                <w:sz w:val="18"/>
              </w:rPr>
              <w:t>intermediaire</w:t>
            </w:r>
          </w:p>
        </w:tc>
        <w:tc>
          <w:tcPr>
            <w:tcW w:type="dxa" w:w="2160"/>
          </w:tcPr>
          <w:p>
            <w:r>
              <w:rPr>
                <w:b w:val="0"/>
                <w:sz w:val="18"/>
              </w:rPr>
              <w:t>0.963</w:t>
            </w:r>
          </w:p>
        </w:tc>
        <w:tc>
          <w:tcPr>
            <w:tcW w:type="dxa" w:w="2160"/>
          </w:tcPr>
          <w:p>
            <w:r>
              <w:rPr>
                <w:b w:val="0"/>
                <w:sz w:val="18"/>
              </w:rPr>
              <w:t>0.003</w:t>
            </w:r>
          </w:p>
        </w:tc>
      </w:tr>
      <w:tr>
        <w:tc>
          <w:tcPr>
            <w:tcW w:type="dxa" w:w="2160"/>
          </w:tcPr>
          <w:p>
            <w:r>
              <w:rPr>
                <w:b w:val="0"/>
                <w:sz w:val="18"/>
              </w:rPr>
              <w:t>SRV-151</w:t>
            </w:r>
          </w:p>
        </w:tc>
        <w:tc>
          <w:tcPr>
            <w:tcW w:type="dxa" w:w="2160"/>
          </w:tcPr>
          <w:p>
            <w:r>
              <w:rPr>
                <w:b w:val="0"/>
                <w:sz w:val="18"/>
              </w:rPr>
              <w:t>intermediaire</w:t>
            </w:r>
          </w:p>
        </w:tc>
        <w:tc>
          <w:tcPr>
            <w:tcW w:type="dxa" w:w="2160"/>
          </w:tcPr>
          <w:p>
            <w:r>
              <w:rPr>
                <w:b w:val="0"/>
                <w:sz w:val="18"/>
              </w:rPr>
              <w:t>2.690</w:t>
            </w:r>
          </w:p>
        </w:tc>
        <w:tc>
          <w:tcPr>
            <w:tcW w:type="dxa" w:w="2160"/>
          </w:tcPr>
          <w:p>
            <w:r>
              <w:rPr>
                <w:b w:val="0"/>
                <w:sz w:val="18"/>
              </w:rPr>
              <w:t>0.006</w:t>
            </w:r>
          </w:p>
        </w:tc>
      </w:tr>
      <w:tr>
        <w:tc>
          <w:tcPr>
            <w:tcW w:type="dxa" w:w="2160"/>
          </w:tcPr>
          <w:p>
            <w:r>
              <w:rPr>
                <w:b w:val="0"/>
                <w:sz w:val="18"/>
              </w:rPr>
              <w:t>SRV-149</w:t>
            </w:r>
          </w:p>
        </w:tc>
        <w:tc>
          <w:tcPr>
            <w:tcW w:type="dxa" w:w="2160"/>
          </w:tcPr>
          <w:p>
            <w:r>
              <w:rPr>
                <w:b w:val="0"/>
                <w:sz w:val="18"/>
              </w:rPr>
              <w:t>intermediaire</w:t>
            </w:r>
          </w:p>
        </w:tc>
        <w:tc>
          <w:tcPr>
            <w:tcW w:type="dxa" w:w="2160"/>
          </w:tcPr>
          <w:p>
            <w:r>
              <w:rPr>
                <w:b w:val="0"/>
                <w:sz w:val="18"/>
              </w:rPr>
              <w:t>1.876</w:t>
            </w:r>
          </w:p>
        </w:tc>
        <w:tc>
          <w:tcPr>
            <w:tcW w:type="dxa" w:w="2160"/>
          </w:tcPr>
          <w:p>
            <w:r>
              <w:rPr>
                <w:b w:val="0"/>
                <w:sz w:val="18"/>
              </w:rPr>
              <w:t>0.022</w:t>
            </w:r>
          </w:p>
        </w:tc>
      </w:tr>
      <w:tr>
        <w:tc>
          <w:tcPr>
            <w:tcW w:type="dxa" w:w="2160"/>
          </w:tcPr>
          <w:p>
            <w:r>
              <w:rPr>
                <w:b w:val="0"/>
                <w:sz w:val="18"/>
              </w:rPr>
              <w:t>SRV-125</w:t>
            </w:r>
          </w:p>
        </w:tc>
        <w:tc>
          <w:tcPr>
            <w:tcW w:type="dxa" w:w="2160"/>
          </w:tcPr>
          <w:p>
            <w:r>
              <w:rPr>
                <w:b w:val="0"/>
                <w:sz w:val="18"/>
              </w:rPr>
              <w:t>intermediaire</w:t>
            </w:r>
          </w:p>
        </w:tc>
        <w:tc>
          <w:tcPr>
            <w:tcW w:type="dxa" w:w="2160"/>
          </w:tcPr>
          <w:p>
            <w:r>
              <w:rPr>
                <w:b w:val="0"/>
                <w:sz w:val="18"/>
              </w:rPr>
              <w:t>2.998</w:t>
            </w:r>
          </w:p>
        </w:tc>
        <w:tc>
          <w:tcPr>
            <w:tcW w:type="dxa" w:w="2160"/>
          </w:tcPr>
          <w:p>
            <w:r>
              <w:rPr>
                <w:b w:val="0"/>
                <w:sz w:val="18"/>
              </w:rPr>
              <w:t>0.023</w:t>
            </w:r>
          </w:p>
        </w:tc>
      </w:tr>
      <w:tr>
        <w:tc>
          <w:tcPr>
            <w:tcW w:type="dxa" w:w="2160"/>
          </w:tcPr>
          <w:p>
            <w:r>
              <w:rPr>
                <w:b w:val="0"/>
                <w:sz w:val="18"/>
              </w:rPr>
              <w:t>SRV-027</w:t>
            </w:r>
          </w:p>
        </w:tc>
        <w:tc>
          <w:tcPr>
            <w:tcW w:type="dxa" w:w="2160"/>
          </w:tcPr>
          <w:p>
            <w:r>
              <w:rPr>
                <w:b w:val="0"/>
                <w:sz w:val="18"/>
              </w:rPr>
              <w:t>intermediaire</w:t>
            </w:r>
          </w:p>
        </w:tc>
        <w:tc>
          <w:tcPr>
            <w:tcW w:type="dxa" w:w="2160"/>
          </w:tcPr>
          <w:p>
            <w:r>
              <w:rPr>
                <w:b w:val="0"/>
                <w:sz w:val="18"/>
              </w:rPr>
              <w:t>1.727</w:t>
            </w:r>
          </w:p>
        </w:tc>
        <w:tc>
          <w:tcPr>
            <w:tcW w:type="dxa" w:w="2160"/>
          </w:tcPr>
          <w:p>
            <w:r>
              <w:rPr>
                <w:b w:val="0"/>
                <w:sz w:val="18"/>
              </w:rPr>
              <w:t>0.041</w:t>
            </w:r>
          </w:p>
        </w:tc>
      </w:tr>
    </w:tbl>
    <w:p>
      <w:pPr>
        <w:pStyle w:val="Heading1"/>
      </w:pPr>
      <w:r>
        <w:rPr>
          <w:color w:val="1F3A5F"/>
        </w:rPr>
        <w:t>Question 7 — Individus les plus éloignés de l'origine</w:t>
      </w:r>
    </w:p>
    <w:p>
      <w:r>
        <w:rPr>
          <w:b w:val="0"/>
          <w:i w:val="0"/>
          <w:color w:val="404040"/>
          <w:sz w:val="22"/>
        </w:rPr>
        <w:t>On compare la distance dans l'espace standardisé complet (11 axes, qui ne perd aucune information) à la distance apparente dans le seul plan CP1–CP2.</w:t>
      </w:r>
    </w:p>
    <w:p>
      <w:r>
        <w:rPr>
          <w:b/>
          <w:i w:val="0"/>
          <w:color w:val="404040"/>
          <w:sz w:val="20"/>
        </w:rPr>
        <w:t>5 serveurs les plus éloignés — espace complet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serveur_id</w:t>
            </w:r>
          </w:p>
        </w:tc>
        <w:tc>
          <w:tcPr>
            <w:tcW w:type="dxa" w:w="2880"/>
          </w:tcPr>
          <w:p>
            <w:r>
              <w:rPr>
                <w:b/>
                <w:sz w:val="18"/>
              </w:rPr>
              <w:t>segment</w:t>
            </w:r>
          </w:p>
        </w:tc>
        <w:tc>
          <w:tcPr>
            <w:tcW w:type="dxa" w:w="2880"/>
          </w:tcPr>
          <w:p>
            <w:r>
              <w:rPr>
                <w:b/>
                <w:sz w:val="18"/>
              </w:rPr>
              <w:t>distance_totale</w:t>
            </w:r>
          </w:p>
        </w:tc>
      </w:tr>
      <w:tr>
        <w:tc>
          <w:tcPr>
            <w:tcW w:type="dxa" w:w="2880"/>
          </w:tcPr>
          <w:p>
            <w:r>
              <w:rPr>
                <w:b w:val="0"/>
                <w:sz w:val="18"/>
              </w:rPr>
              <w:t>SRV-145</w:t>
            </w:r>
          </w:p>
        </w:tc>
        <w:tc>
          <w:tcPr>
            <w:tcW w:type="dxa" w:w="2880"/>
          </w:tcPr>
          <w:p>
            <w:r>
              <w:rPr>
                <w:b w:val="0"/>
                <w:sz w:val="18"/>
              </w:rPr>
              <w:t>peu_expose</w:t>
            </w:r>
          </w:p>
        </w:tc>
        <w:tc>
          <w:tcPr>
            <w:tcW w:type="dxa" w:w="2880"/>
          </w:tcPr>
          <w:p>
            <w:r>
              <w:rPr>
                <w:b w:val="0"/>
                <w:sz w:val="18"/>
              </w:rPr>
              <w:t>5.97</w:t>
            </w:r>
          </w:p>
        </w:tc>
      </w:tr>
      <w:tr>
        <w:tc>
          <w:tcPr>
            <w:tcW w:type="dxa" w:w="2880"/>
          </w:tcPr>
          <w:p>
            <w:r>
              <w:rPr>
                <w:b w:val="0"/>
                <w:sz w:val="18"/>
              </w:rPr>
              <w:t>SRV-150</w:t>
            </w:r>
          </w:p>
        </w:tc>
        <w:tc>
          <w:tcPr>
            <w:tcW w:type="dxa" w:w="2880"/>
          </w:tcPr>
          <w:p>
            <w:r>
              <w:rPr>
                <w:b w:val="0"/>
                <w:sz w:val="18"/>
              </w:rPr>
              <w:t>peu_expose</w:t>
            </w:r>
          </w:p>
        </w:tc>
        <w:tc>
          <w:tcPr>
            <w:tcW w:type="dxa" w:w="2880"/>
          </w:tcPr>
          <w:p>
            <w:r>
              <w:rPr>
                <w:b w:val="0"/>
                <w:sz w:val="18"/>
              </w:rPr>
              <w:t>5.85</w:t>
            </w:r>
          </w:p>
        </w:tc>
      </w:tr>
      <w:tr>
        <w:tc>
          <w:tcPr>
            <w:tcW w:type="dxa" w:w="2880"/>
          </w:tcPr>
          <w:p>
            <w:r>
              <w:rPr>
                <w:b w:val="0"/>
                <w:sz w:val="18"/>
              </w:rPr>
              <w:t>SRV-117</w:t>
            </w:r>
          </w:p>
        </w:tc>
        <w:tc>
          <w:tcPr>
            <w:tcW w:type="dxa" w:w="2880"/>
          </w:tcPr>
          <w:p>
            <w:r>
              <w:rPr>
                <w:b w:val="0"/>
                <w:sz w:val="18"/>
              </w:rPr>
              <w:t>expose</w:t>
            </w:r>
          </w:p>
        </w:tc>
        <w:tc>
          <w:tcPr>
            <w:tcW w:type="dxa" w:w="2880"/>
          </w:tcPr>
          <w:p>
            <w:r>
              <w:rPr>
                <w:b w:val="0"/>
                <w:sz w:val="18"/>
              </w:rPr>
              <w:t>5.59</w:t>
            </w:r>
          </w:p>
        </w:tc>
      </w:tr>
      <w:tr>
        <w:tc>
          <w:tcPr>
            <w:tcW w:type="dxa" w:w="2880"/>
          </w:tcPr>
          <w:p>
            <w:r>
              <w:rPr>
                <w:b w:val="0"/>
                <w:sz w:val="18"/>
              </w:rPr>
              <w:t>SRV-073</w:t>
            </w:r>
          </w:p>
        </w:tc>
        <w:tc>
          <w:tcPr>
            <w:tcW w:type="dxa" w:w="2880"/>
          </w:tcPr>
          <w:p>
            <w:r>
              <w:rPr>
                <w:b w:val="0"/>
                <w:sz w:val="18"/>
              </w:rPr>
              <w:t>peu_expose</w:t>
            </w:r>
          </w:p>
        </w:tc>
        <w:tc>
          <w:tcPr>
            <w:tcW w:type="dxa" w:w="2880"/>
          </w:tcPr>
          <w:p>
            <w:r>
              <w:rPr>
                <w:b w:val="0"/>
                <w:sz w:val="18"/>
              </w:rPr>
              <w:t>5.36</w:t>
            </w:r>
          </w:p>
        </w:tc>
      </w:tr>
      <w:tr>
        <w:tc>
          <w:tcPr>
            <w:tcW w:type="dxa" w:w="2880"/>
          </w:tcPr>
          <w:p>
            <w:r>
              <w:rPr>
                <w:b w:val="0"/>
                <w:sz w:val="18"/>
              </w:rPr>
              <w:t>SRV-110</w:t>
            </w:r>
          </w:p>
        </w:tc>
        <w:tc>
          <w:tcPr>
            <w:tcW w:type="dxa" w:w="2880"/>
          </w:tcPr>
          <w:p>
            <w:r>
              <w:rPr>
                <w:b w:val="0"/>
                <w:sz w:val="18"/>
              </w:rPr>
              <w:t>peu_expose</w:t>
            </w:r>
          </w:p>
        </w:tc>
        <w:tc>
          <w:tcPr>
            <w:tcW w:type="dxa" w:w="2880"/>
          </w:tcPr>
          <w:p>
            <w:r>
              <w:rPr>
                <w:b w:val="0"/>
                <w:sz w:val="18"/>
              </w:rPr>
              <w:t>5.27</w:t>
            </w:r>
          </w:p>
        </w:tc>
      </w:tr>
    </w:tbl>
    <w:p>
      <w:r>
        <w:rPr>
          <w:b/>
          <w:i w:val="0"/>
          <w:color w:val="404040"/>
          <w:sz w:val="20"/>
        </w:rPr>
        <w:t>5 serveurs les plus éloignés — plan CP1-CP2 seul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serveur_id</w:t>
            </w:r>
          </w:p>
        </w:tc>
        <w:tc>
          <w:tcPr>
            <w:tcW w:type="dxa" w:w="2880"/>
          </w:tcPr>
          <w:p>
            <w:r>
              <w:rPr>
                <w:b/>
                <w:sz w:val="18"/>
              </w:rPr>
              <w:t>segment</w:t>
            </w:r>
          </w:p>
        </w:tc>
        <w:tc>
          <w:tcPr>
            <w:tcW w:type="dxa" w:w="2880"/>
          </w:tcPr>
          <w:p>
            <w:r>
              <w:rPr>
                <w:b/>
                <w:sz w:val="18"/>
              </w:rPr>
              <w:t>distance_CP1_CP2</w:t>
            </w:r>
          </w:p>
        </w:tc>
      </w:tr>
      <w:tr>
        <w:tc>
          <w:tcPr>
            <w:tcW w:type="dxa" w:w="2880"/>
          </w:tcPr>
          <w:p>
            <w:r>
              <w:rPr>
                <w:b w:val="0"/>
                <w:sz w:val="18"/>
              </w:rPr>
              <w:t>SRV-145</w:t>
            </w:r>
          </w:p>
        </w:tc>
        <w:tc>
          <w:tcPr>
            <w:tcW w:type="dxa" w:w="2880"/>
          </w:tcPr>
          <w:p>
            <w:r>
              <w:rPr>
                <w:b w:val="0"/>
                <w:sz w:val="18"/>
              </w:rPr>
              <w:t>peu_expose</w:t>
            </w:r>
          </w:p>
        </w:tc>
        <w:tc>
          <w:tcPr>
            <w:tcW w:type="dxa" w:w="2880"/>
          </w:tcPr>
          <w:p>
            <w:r>
              <w:rPr>
                <w:b w:val="0"/>
                <w:sz w:val="18"/>
              </w:rPr>
              <w:t>5.80</w:t>
            </w:r>
          </w:p>
        </w:tc>
      </w:tr>
      <w:tr>
        <w:tc>
          <w:tcPr>
            <w:tcW w:type="dxa" w:w="2880"/>
          </w:tcPr>
          <w:p>
            <w:r>
              <w:rPr>
                <w:b w:val="0"/>
                <w:sz w:val="18"/>
              </w:rPr>
              <w:t>SRV-117</w:t>
            </w:r>
          </w:p>
        </w:tc>
        <w:tc>
          <w:tcPr>
            <w:tcW w:type="dxa" w:w="2880"/>
          </w:tcPr>
          <w:p>
            <w:r>
              <w:rPr>
                <w:b w:val="0"/>
                <w:sz w:val="18"/>
              </w:rPr>
              <w:t>expose</w:t>
            </w:r>
          </w:p>
        </w:tc>
        <w:tc>
          <w:tcPr>
            <w:tcW w:type="dxa" w:w="2880"/>
          </w:tcPr>
          <w:p>
            <w:r>
              <w:rPr>
                <w:b w:val="0"/>
                <w:sz w:val="18"/>
              </w:rPr>
              <w:t>5.48</w:t>
            </w:r>
          </w:p>
        </w:tc>
      </w:tr>
      <w:tr>
        <w:tc>
          <w:tcPr>
            <w:tcW w:type="dxa" w:w="2880"/>
          </w:tcPr>
          <w:p>
            <w:r>
              <w:rPr>
                <w:b w:val="0"/>
                <w:sz w:val="18"/>
              </w:rPr>
              <w:t>SRV-073</w:t>
            </w:r>
          </w:p>
        </w:tc>
        <w:tc>
          <w:tcPr>
            <w:tcW w:type="dxa" w:w="2880"/>
          </w:tcPr>
          <w:p>
            <w:r>
              <w:rPr>
                <w:b w:val="0"/>
                <w:sz w:val="18"/>
              </w:rPr>
              <w:t>peu_expose</w:t>
            </w:r>
          </w:p>
        </w:tc>
        <w:tc>
          <w:tcPr>
            <w:tcW w:type="dxa" w:w="2880"/>
          </w:tcPr>
          <w:p>
            <w:r>
              <w:rPr>
                <w:b w:val="0"/>
                <w:sz w:val="18"/>
              </w:rPr>
              <w:t>5.23</w:t>
            </w:r>
          </w:p>
        </w:tc>
      </w:tr>
      <w:tr>
        <w:tc>
          <w:tcPr>
            <w:tcW w:type="dxa" w:w="2880"/>
          </w:tcPr>
          <w:p>
            <w:r>
              <w:rPr>
                <w:b w:val="0"/>
                <w:sz w:val="18"/>
              </w:rPr>
              <w:t>SRV-129</w:t>
            </w:r>
          </w:p>
        </w:tc>
        <w:tc>
          <w:tcPr>
            <w:tcW w:type="dxa" w:w="2880"/>
          </w:tcPr>
          <w:p>
            <w:r>
              <w:rPr>
                <w:b w:val="0"/>
                <w:sz w:val="18"/>
              </w:rPr>
              <w:t>peu_expose</w:t>
            </w:r>
          </w:p>
        </w:tc>
        <w:tc>
          <w:tcPr>
            <w:tcW w:type="dxa" w:w="2880"/>
          </w:tcPr>
          <w:p>
            <w:r>
              <w:rPr>
                <w:b w:val="0"/>
                <w:sz w:val="18"/>
              </w:rPr>
              <w:t>5.11</w:t>
            </w:r>
          </w:p>
        </w:tc>
      </w:tr>
      <w:tr>
        <w:tc>
          <w:tcPr>
            <w:tcW w:type="dxa" w:w="2880"/>
          </w:tcPr>
          <w:p>
            <w:r>
              <w:rPr>
                <w:b w:val="0"/>
                <w:sz w:val="18"/>
              </w:rPr>
              <w:t>SRV-071</w:t>
            </w:r>
          </w:p>
        </w:tc>
        <w:tc>
          <w:tcPr>
            <w:tcW w:type="dxa" w:w="2880"/>
          </w:tcPr>
          <w:p>
            <w:r>
              <w:rPr>
                <w:b w:val="0"/>
                <w:sz w:val="18"/>
              </w:rPr>
              <w:t>peu_expose</w:t>
            </w:r>
          </w:p>
        </w:tc>
        <w:tc>
          <w:tcPr>
            <w:tcW w:type="dxa" w:w="2880"/>
          </w:tcPr>
          <w:p>
            <w:r>
              <w:rPr>
                <w:b w:val="0"/>
                <w:sz w:val="18"/>
              </w:rPr>
              <w:t>5.03</w:t>
            </w:r>
          </w:p>
        </w:tc>
      </w:tr>
    </w:tbl>
    <w:p>
      <w:r>
        <w:rPr>
          <w:b w:val="0"/>
          <w:i w:val="0"/>
          <w:color w:val="404040"/>
          <w:sz w:val="22"/>
        </w:rPr>
        <w:t>Seulement 3 serveurs sont communs aux deux classements (SRV-073, SRV-117, SRV-145) : se limiter au plan CP1–CP2 (86.8 % de variance, pas 100 %) fait manquer une partie des individus réellement atypiques. Une distance élevée agrège les 11 indicateurs sans distinction de nature : elle ne signifie en aucun cas un incident de sécurité, d'autant que les données sont synthétiques.</w:t>
      </w:r>
    </w:p>
    <w:p>
      <w:pPr>
        <w:pStyle w:val="Heading1"/>
      </w:pPr>
      <w:r>
        <w:rPr>
          <w:color w:val="1F3A5F"/>
        </w:rPr>
        <w:t>Question 8 — Reconstruction et erreur quadratique moyenne</w:t>
      </w:r>
    </w:p>
    <w:p>
      <w:r>
        <w:rPr>
          <w:b w:val="0"/>
          <w:i w:val="0"/>
          <w:color w:val="404040"/>
          <w:sz w:val="22"/>
        </w:rPr>
        <w:t>Avec k axes, on reconstruit une approximation des données standardisées. Sous la convention où la variance totale standardisée vaut p = 11 (somme des valeurs propres), l'identité théorique est : MSE(k) = 1 − variance_expliquee_cumulee(k).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k_axes</w:t>
            </w:r>
          </w:p>
        </w:tc>
        <w:tc>
          <w:tcPr>
            <w:tcW w:type="dxa" w:w="2160"/>
          </w:tcPr>
          <w:p>
            <w:r>
              <w:rPr>
                <w:b/>
                <w:sz w:val="18"/>
              </w:rPr>
              <w:t>MSE</w:t>
            </w:r>
          </w:p>
        </w:tc>
        <w:tc>
          <w:tcPr>
            <w:tcW w:type="dxa" w:w="2160"/>
          </w:tcPr>
          <w:p>
            <w:r>
              <w:rPr>
                <w:b/>
                <w:sz w:val="18"/>
              </w:rPr>
              <w:t>1_moins_variance_cumulee</w:t>
            </w:r>
          </w:p>
        </w:tc>
        <w:tc>
          <w:tcPr>
            <w:tcW w:type="dxa" w:w="2160"/>
          </w:tcPr>
          <w:p>
            <w:r>
              <w:rPr>
                <w:b/>
                <w:sz w:val="18"/>
              </w:rPr>
              <w:t>ecart</w:t>
            </w:r>
          </w:p>
        </w:tc>
      </w:tr>
      <w:tr>
        <w:tc>
          <w:tcPr>
            <w:tcW w:type="dxa" w:w="2160"/>
          </w:tcPr>
          <w:p>
            <w:r>
              <w:rPr>
                <w:b w:val="0"/>
                <w:sz w:val="18"/>
              </w:rPr>
              <w:t>2</w:t>
            </w:r>
          </w:p>
        </w:tc>
        <w:tc>
          <w:tcPr>
            <w:tcW w:type="dxa" w:w="2160"/>
          </w:tcPr>
          <w:p>
            <w:r>
              <w:rPr>
                <w:b w:val="0"/>
                <w:sz w:val="18"/>
              </w:rPr>
              <w:t>0.3216</w:t>
            </w:r>
          </w:p>
        </w:tc>
        <w:tc>
          <w:tcPr>
            <w:tcW w:type="dxa" w:w="2160"/>
          </w:tcPr>
          <w:p>
            <w:r>
              <w:rPr>
                <w:b w:val="0"/>
                <w:sz w:val="18"/>
              </w:rPr>
              <w:t>0.3216</w:t>
            </w:r>
          </w:p>
        </w:tc>
        <w:tc>
          <w:tcPr>
            <w:tcW w:type="dxa" w:w="2160"/>
          </w:tcPr>
          <w:p>
            <w:r>
              <w:rPr>
                <w:b w:val="0"/>
                <w:sz w:val="18"/>
              </w:rPr>
              <w:t>0.0000</w:t>
            </w:r>
          </w:p>
        </w:tc>
      </w:tr>
      <w:tr>
        <w:tc>
          <w:tcPr>
            <w:tcW w:type="dxa" w:w="2160"/>
          </w:tcPr>
          <w:p>
            <w:r>
              <w:rPr>
                <w:b w:val="0"/>
                <w:sz w:val="18"/>
              </w:rPr>
              <w:t>3</w:t>
            </w:r>
          </w:p>
        </w:tc>
        <w:tc>
          <w:tcPr>
            <w:tcW w:type="dxa" w:w="2160"/>
          </w:tcPr>
          <w:p>
            <w:r>
              <w:rPr>
                <w:b w:val="0"/>
                <w:sz w:val="18"/>
              </w:rPr>
              <w:t>0.1324</w:t>
            </w:r>
          </w:p>
        </w:tc>
        <w:tc>
          <w:tcPr>
            <w:tcW w:type="dxa" w:w="2160"/>
          </w:tcPr>
          <w:p>
            <w:r>
              <w:rPr>
                <w:b w:val="0"/>
                <w:sz w:val="18"/>
              </w:rPr>
              <w:t>0.1324</w:t>
            </w:r>
          </w:p>
        </w:tc>
        <w:tc>
          <w:tcPr>
            <w:tcW w:type="dxa" w:w="2160"/>
          </w:tcPr>
          <w:p>
            <w:r>
              <w:rPr>
                <w:b w:val="0"/>
                <w:sz w:val="18"/>
              </w:rPr>
              <w:t>0.0000</w:t>
            </w:r>
          </w:p>
        </w:tc>
      </w:tr>
      <w:tr>
        <w:tc>
          <w:tcPr>
            <w:tcW w:type="dxa" w:w="2160"/>
          </w:tcPr>
          <w:p>
            <w:r>
              <w:rPr>
                <w:b w:val="0"/>
                <w:sz w:val="18"/>
              </w:rPr>
              <w:t>4</w:t>
            </w:r>
          </w:p>
        </w:tc>
        <w:tc>
          <w:tcPr>
            <w:tcW w:type="dxa" w:w="2160"/>
          </w:tcPr>
          <w:p>
            <w:r>
              <w:rPr>
                <w:b w:val="0"/>
                <w:sz w:val="18"/>
              </w:rPr>
              <w:t>0.1079</w:t>
            </w:r>
          </w:p>
        </w:tc>
        <w:tc>
          <w:tcPr>
            <w:tcW w:type="dxa" w:w="2160"/>
          </w:tcPr>
          <w:p>
            <w:r>
              <w:rPr>
                <w:b w:val="0"/>
                <w:sz w:val="18"/>
              </w:rPr>
              <w:t>0.1079</w:t>
            </w:r>
          </w:p>
        </w:tc>
        <w:tc>
          <w:tcPr>
            <w:tcW w:type="dxa" w:w="2160"/>
          </w:tcPr>
          <w:p>
            <w:r>
              <w:rPr>
                <w:b w:val="0"/>
                <w:sz w:val="18"/>
              </w:rPr>
              <w:t>0.0000</w:t>
            </w:r>
          </w:p>
        </w:tc>
      </w:tr>
    </w:tbl>
    <w:p>
      <w:r>
        <w:rPr>
          <w:b w:val="0"/>
          <w:i w:val="0"/>
          <w:color w:val="404040"/>
          <w:sz w:val="22"/>
        </w:rPr>
        <w:t>L'écart entre le MSE observé et la valeur théorique est nul (à l'erreur flottante près) dans tous les cas : l'identité est confirmée numériquement. L'information « perdue » en ne gardant que 3 axes est exactement l'énergie portée par les axes CP4 à CP11.</w:t>
      </w:r>
    </w:p>
    <w:p>
      <w:pPr>
        <w:pStyle w:val="Heading1"/>
      </w:pPr>
      <w:r>
        <w:rPr>
          <w:color w:val="1F3A5F"/>
        </w:rPr>
        <w:t>Question 9 — Comparaison des plans, conclusion</w:t>
      </w:r>
    </w:p>
    <w:p>
      <w:pPr>
        <w:jc w:val="center"/>
      </w:pPr>
      <w:r>
        <w:drawing>
          <wp:inline xmlns:a="http://schemas.openxmlformats.org/drawingml/2006/main" xmlns:pic="http://schemas.openxmlformats.org/drawingml/2006/picture">
            <wp:extent cx="5486400" cy="2351314"/>
            <wp:docPr id="6" name="Picture 6"/>
            <wp:cNvGraphicFramePr>
              <a:graphicFrameLocks noChangeAspect="1"/>
            </wp:cNvGraphicFramePr>
            <a:graphic>
              <a:graphicData uri="http://schemas.openxmlformats.org/drawingml/2006/picture">
                <pic:pic>
                  <pic:nvPicPr>
                    <pic:cNvPr id="0" name="fig_q9_comparaison_plans.png"/>
                    <pic:cNvPicPr/>
                  </pic:nvPicPr>
                  <pic:blipFill>
                    <a:blip r:embed="rId14"/>
                    <a:stretch>
                      <a:fillRect/>
                    </a:stretch>
                  </pic:blipFill>
                  <pic:spPr>
                    <a:xfrm>
                      <a:off x="0" y="0"/>
                      <a:ext cx="5486400" cy="2351314"/>
                    </a:xfrm>
                    <a:prstGeom prst="rect"/>
                  </pic:spPr>
                </pic:pic>
              </a:graphicData>
            </a:graphic>
          </wp:inline>
        </w:drawing>
      </w:r>
    </w:p>
    <w:p>
      <w:pPr>
        <w:jc w:val="center"/>
      </w:pPr>
      <w:r>
        <w:rPr>
          <w:i/>
          <w:color w:val="404040"/>
          <w:sz w:val="18"/>
        </w:rPr>
        <w:t>Comparaison des plans CP1-CP2 et CP1-CP3</w:t>
      </w:r>
    </w:p>
    <w:p>
      <w:r>
        <w:rPr>
          <w:b/>
          <w:i w:val="0"/>
          <w:color w:val="404040"/>
          <w:sz w:val="20"/>
        </w:rPr>
        <w:t>Position moyenne (CP1, CP2, CP3) par segment externe :</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segment</w:t>
            </w:r>
          </w:p>
        </w:tc>
        <w:tc>
          <w:tcPr>
            <w:tcW w:type="dxa" w:w="1234"/>
          </w:tcPr>
          <w:p>
            <w:r>
              <w:rPr>
                <w:b/>
                <w:sz w:val="18"/>
              </w:rPr>
              <w:t>CP1_mean</w:t>
            </w:r>
          </w:p>
        </w:tc>
        <w:tc>
          <w:tcPr>
            <w:tcW w:type="dxa" w:w="1234"/>
          </w:tcPr>
          <w:p>
            <w:r>
              <w:rPr>
                <w:b/>
                <w:sz w:val="18"/>
              </w:rPr>
              <w:t>CP1_std</w:t>
            </w:r>
          </w:p>
        </w:tc>
        <w:tc>
          <w:tcPr>
            <w:tcW w:type="dxa" w:w="1234"/>
          </w:tcPr>
          <w:p>
            <w:r>
              <w:rPr>
                <w:b/>
                <w:sz w:val="18"/>
              </w:rPr>
              <w:t>CP2_mean</w:t>
            </w:r>
          </w:p>
        </w:tc>
        <w:tc>
          <w:tcPr>
            <w:tcW w:type="dxa" w:w="1234"/>
          </w:tcPr>
          <w:p>
            <w:r>
              <w:rPr>
                <w:b/>
                <w:sz w:val="18"/>
              </w:rPr>
              <w:t>CP2_std</w:t>
            </w:r>
          </w:p>
        </w:tc>
        <w:tc>
          <w:tcPr>
            <w:tcW w:type="dxa" w:w="1234"/>
          </w:tcPr>
          <w:p>
            <w:r>
              <w:rPr>
                <w:b/>
                <w:sz w:val="18"/>
              </w:rPr>
              <w:t>CP3_mean</w:t>
            </w:r>
          </w:p>
        </w:tc>
        <w:tc>
          <w:tcPr>
            <w:tcW w:type="dxa" w:w="1234"/>
          </w:tcPr>
          <w:p>
            <w:r>
              <w:rPr>
                <w:b/>
                <w:sz w:val="18"/>
              </w:rPr>
              <w:t>CP3_std</w:t>
            </w:r>
          </w:p>
        </w:tc>
      </w:tr>
      <w:tr>
        <w:tc>
          <w:tcPr>
            <w:tcW w:type="dxa" w:w="1234"/>
          </w:tcPr>
          <w:p>
            <w:r>
              <w:rPr>
                <w:b w:val="0"/>
                <w:sz w:val="18"/>
              </w:rPr>
              <w:t>expose</w:t>
            </w:r>
          </w:p>
        </w:tc>
        <w:tc>
          <w:tcPr>
            <w:tcW w:type="dxa" w:w="1234"/>
          </w:tcPr>
          <w:p>
            <w:r>
              <w:rPr>
                <w:b w:val="0"/>
                <w:sz w:val="18"/>
              </w:rPr>
              <w:t>1.50</w:t>
            </w:r>
          </w:p>
        </w:tc>
        <w:tc>
          <w:tcPr>
            <w:tcW w:type="dxa" w:w="1234"/>
          </w:tcPr>
          <w:p>
            <w:r>
              <w:rPr>
                <w:b w:val="0"/>
                <w:sz w:val="18"/>
              </w:rPr>
              <w:t>1.89</w:t>
            </w:r>
          </w:p>
        </w:tc>
        <w:tc>
          <w:tcPr>
            <w:tcW w:type="dxa" w:w="1234"/>
          </w:tcPr>
          <w:p>
            <w:r>
              <w:rPr>
                <w:b w:val="0"/>
                <w:sz w:val="18"/>
              </w:rPr>
              <w:t>1.50</w:t>
            </w:r>
          </w:p>
        </w:tc>
        <w:tc>
          <w:tcPr>
            <w:tcW w:type="dxa" w:w="1234"/>
          </w:tcPr>
          <w:p>
            <w:r>
              <w:rPr>
                <w:b w:val="0"/>
                <w:sz w:val="18"/>
              </w:rPr>
              <w:t>1.12</w:t>
            </w:r>
          </w:p>
        </w:tc>
        <w:tc>
          <w:tcPr>
            <w:tcW w:type="dxa" w:w="1234"/>
          </w:tcPr>
          <w:p>
            <w:r>
              <w:rPr>
                <w:b w:val="0"/>
                <w:sz w:val="18"/>
              </w:rPr>
              <w:t>0.18</w:t>
            </w:r>
          </w:p>
        </w:tc>
        <w:tc>
          <w:tcPr>
            <w:tcW w:type="dxa" w:w="1234"/>
          </w:tcPr>
          <w:p>
            <w:r>
              <w:rPr>
                <w:b w:val="0"/>
                <w:sz w:val="18"/>
              </w:rPr>
              <w:t>1.55</w:t>
            </w:r>
          </w:p>
        </w:tc>
      </w:tr>
      <w:tr>
        <w:tc>
          <w:tcPr>
            <w:tcW w:type="dxa" w:w="1234"/>
          </w:tcPr>
          <w:p>
            <w:r>
              <w:rPr>
                <w:b w:val="0"/>
                <w:sz w:val="18"/>
              </w:rPr>
              <w:t>intermediaire</w:t>
            </w:r>
          </w:p>
        </w:tc>
        <w:tc>
          <w:tcPr>
            <w:tcW w:type="dxa" w:w="1234"/>
          </w:tcPr>
          <w:p>
            <w:r>
              <w:rPr>
                <w:b w:val="0"/>
                <w:sz w:val="18"/>
              </w:rPr>
              <w:t>0.06</w:t>
            </w:r>
          </w:p>
        </w:tc>
        <w:tc>
          <w:tcPr>
            <w:tcW w:type="dxa" w:w="1234"/>
          </w:tcPr>
          <w:p>
            <w:r>
              <w:rPr>
                <w:b w:val="0"/>
                <w:sz w:val="18"/>
              </w:rPr>
              <w:t>1.69</w:t>
            </w:r>
          </w:p>
        </w:tc>
        <w:tc>
          <w:tcPr>
            <w:tcW w:type="dxa" w:w="1234"/>
          </w:tcPr>
          <w:p>
            <w:r>
              <w:rPr>
                <w:b w:val="0"/>
                <w:sz w:val="18"/>
              </w:rPr>
              <w:t>0.12</w:t>
            </w:r>
          </w:p>
        </w:tc>
        <w:tc>
          <w:tcPr>
            <w:tcW w:type="dxa" w:w="1234"/>
          </w:tcPr>
          <w:p>
            <w:r>
              <w:rPr>
                <w:b w:val="0"/>
                <w:sz w:val="18"/>
              </w:rPr>
              <w:t>1.22</w:t>
            </w:r>
          </w:p>
        </w:tc>
        <w:tc>
          <w:tcPr>
            <w:tcW w:type="dxa" w:w="1234"/>
          </w:tcPr>
          <w:p>
            <w:r>
              <w:rPr>
                <w:b w:val="0"/>
                <w:sz w:val="18"/>
              </w:rPr>
              <w:t>0.24</w:t>
            </w:r>
          </w:p>
        </w:tc>
        <w:tc>
          <w:tcPr>
            <w:tcW w:type="dxa" w:w="1234"/>
          </w:tcPr>
          <w:p>
            <w:r>
              <w:rPr>
                <w:b w:val="0"/>
                <w:sz w:val="18"/>
              </w:rPr>
              <w:t>1.37</w:t>
            </w:r>
          </w:p>
        </w:tc>
      </w:tr>
      <w:tr>
        <w:tc>
          <w:tcPr>
            <w:tcW w:type="dxa" w:w="1234"/>
          </w:tcPr>
          <w:p>
            <w:r>
              <w:rPr>
                <w:b w:val="0"/>
                <w:sz w:val="18"/>
              </w:rPr>
              <w:t>peu_expose</w:t>
            </w:r>
          </w:p>
        </w:tc>
        <w:tc>
          <w:tcPr>
            <w:tcW w:type="dxa" w:w="1234"/>
          </w:tcPr>
          <w:p>
            <w:r>
              <w:rPr>
                <w:b w:val="0"/>
                <w:sz w:val="18"/>
              </w:rPr>
              <w:t>-1.43</w:t>
            </w:r>
          </w:p>
        </w:tc>
        <w:tc>
          <w:tcPr>
            <w:tcW w:type="dxa" w:w="1234"/>
          </w:tcPr>
          <w:p>
            <w:r>
              <w:rPr>
                <w:b w:val="0"/>
                <w:sz w:val="18"/>
              </w:rPr>
              <w:t>1.96</w:t>
            </w:r>
          </w:p>
        </w:tc>
        <w:tc>
          <w:tcPr>
            <w:tcW w:type="dxa" w:w="1234"/>
          </w:tcPr>
          <w:p>
            <w:r>
              <w:rPr>
                <w:b w:val="0"/>
                <w:sz w:val="18"/>
              </w:rPr>
              <w:t>-1.52</w:t>
            </w:r>
          </w:p>
        </w:tc>
        <w:tc>
          <w:tcPr>
            <w:tcW w:type="dxa" w:w="1234"/>
          </w:tcPr>
          <w:p>
            <w:r>
              <w:rPr>
                <w:b w:val="0"/>
                <w:sz w:val="18"/>
              </w:rPr>
              <w:t>1.46</w:t>
            </w:r>
          </w:p>
        </w:tc>
        <w:tc>
          <w:tcPr>
            <w:tcW w:type="dxa" w:w="1234"/>
          </w:tcPr>
          <w:p>
            <w:r>
              <w:rPr>
                <w:b w:val="0"/>
                <w:sz w:val="18"/>
              </w:rPr>
              <w:t>-0.49</w:t>
            </w:r>
          </w:p>
        </w:tc>
        <w:tc>
          <w:tcPr>
            <w:tcW w:type="dxa" w:w="1234"/>
          </w:tcPr>
          <w:p>
            <w:r>
              <w:rPr>
                <w:b w:val="0"/>
                <w:sz w:val="18"/>
              </w:rPr>
              <w:t>1.37</w:t>
            </w:r>
          </w:p>
        </w:tc>
      </w:tr>
    </w:tbl>
    <w:p>
      <w:r>
        <w:rPr>
          <w:b w:val="0"/>
          <w:i w:val="0"/>
          <w:color w:val="404040"/>
          <w:sz w:val="22"/>
        </w:rPr>
        <w:t>Le plan CP1–CP2 sépare nettement les trois segments externes, avec de fortes contributions des variables de charge et d'exposition. Sur le plan CP1–CP3, en revanche, les trois segments se superposent presque totalement : CP3 n'apporte quasiment aucune information sur ce découpage. Les variables de résilience/sauvegarde structurent presque exclusivement CP3 et sont mal représentées sur CP1–CP2 : la résilience est donc une dimension d'information orthogonale à ce que capture le segment externe — ignorer CP3 reviendrait à ignorer complètement cet aspect du profil des serveurs.</w:t>
      </w:r>
    </w:p>
    <w:p>
      <w:pPr>
        <w:pStyle w:val="Heading1"/>
      </w:pPr>
      <w:r>
        <w:rPr>
          <w:color w:val="1F3A5F"/>
        </w:rPr>
        <w:t>Conclusion générale</w:t>
      </w:r>
    </w:p>
    <w:p>
      <w:r>
        <w:rPr>
          <w:b w:val="0"/>
          <w:i w:val="0"/>
          <w:color w:val="404040"/>
          <w:sz w:val="22"/>
        </w:rPr>
        <w:t>L'ACP révèle ici une structure claire et stable (3 axes interprétables, 86.8 % de variance, deux blocs de corrélation confirmés) qui résume les 11 indicateurs en trois dimensions de lecture : charge/risque global (CP1), type de stress dominant charge vs sécurité (CP2), résilience/sauvegardes (CP3).</w:t>
      </w:r>
    </w:p>
    <w:p>
      <w:r>
        <w:rPr>
          <w:b w:val="0"/>
          <w:i w:val="0"/>
          <w:color w:val="404040"/>
          <w:sz w:val="22"/>
        </w:rPr>
        <w:t>C'est un outil descriptif et exploratoire — il organise l'information et suggère où regarder en priorité (serveurs à distance totale élevée, ou mal représentés sur CP1-CP2 donc à vérifier via CP3). Ce n'est en revanche ni un outil de diagnostic causal ni un détecteur d'incident : une position atypique ne prouve rien en soi (Question 7), les données sont synthétiques, et aucune validation contre un événement de sécurité réel n'a été effectuée. L'ACP oriente la vérification opérationnelle, elle ne la remplace 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