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A43"/>
          <w:sz w:val="40"/>
        </w:rPr>
        <w:t>Discours de présentation — ACP : indicateurs d'audit de serveurs</w:t>
      </w:r>
    </w:p>
    <w:p>
      <w:pPr>
        <w:jc w:val="center"/>
      </w:pPr>
      <w:r>
        <w:rPr>
          <w:i/>
          <w:color w:val="5A6B7D"/>
          <w:sz w:val="24"/>
        </w:rPr>
        <w:t>Script diapositive par diapositive — Datacamp II, Master 2 Génie Informatique</w:t>
      </w:r>
    </w:p>
    <w:p>
      <w:pPr>
        <w:jc w:val="center"/>
      </w:pPr>
      <w:r>
        <w:rPr>
          <w:i/>
          <w:color w:val="5A6B7D"/>
          <w:sz w:val="20"/>
        </w:rPr>
        <w:t>À lire comme point de départ, pas mot pour mot — adapte les tournures à ton style à l'oral.</w:t>
      </w:r>
    </w:p>
    <w:p/>
    <w:p>
      <w:pPr>
        <w:spacing w:before="320" w:after="80"/>
      </w:pPr>
      <w:r>
        <w:rPr>
          <w:b/>
          <w:color w:val="1C7293"/>
          <w:sz w:val="22"/>
        </w:rPr>
        <w:t xml:space="preserve">Diapo 1  </w:t>
      </w:r>
      <w:r>
        <w:rPr>
          <w:b/>
          <w:color w:val="0F2A43"/>
          <w:sz w:val="28"/>
        </w:rPr>
        <w:t>Titre — ACP : indicateurs d'audit de serveurs</w:t>
      </w:r>
    </w:p>
    <w:p>
      <w:pPr>
        <w:spacing w:after="40"/>
      </w:pPr>
      <w:r>
        <w:rPr>
          <w:color w:val="E3E8EE"/>
          <w:sz w:val="16"/>
        </w:rPr>
        <w:t>__________________________________________________________________________________________</w:t>
      </w:r>
    </w:p>
    <w:p>
      <w:pPr>
        <w:spacing w:after="160"/>
      </w:pPr>
      <w:r>
        <w:rPr>
          <w:sz w:val="23"/>
        </w:rPr>
        <w:t>Bonjour à tous. Je vais vous présenter mon travail d'Analyse en Composantes Principales, réalisé dans le cadre du Datacamp II du Master 2 Génie Informatique. Le sujet porte sur un audit synthétique de 160 serveurs, décrits par 11 indicateurs de charge, de sécurité et de résilience. L'objectif est de résumer ces indicateurs, qui sont fortement corrélés entre eux, en un petit nombre d'axes interprétables, afin de mieux situer et prioriser les serveurs à examiner. Je précise d'emblée un point important : il s'agit de données synthétiques, générées pour l'exercice — aucune mesure opérationnelle réelle ni aucun diagnostic de sécurité ne peut être déduit des résultats que je vais présenter.</w:t>
      </w:r>
    </w:p>
    <w:p>
      <w:pPr>
        <w:spacing w:before="320" w:after="80"/>
      </w:pPr>
      <w:r>
        <w:rPr>
          <w:b/>
          <w:color w:val="1C7293"/>
          <w:sz w:val="22"/>
        </w:rPr>
        <w:t xml:space="preserve">Diapo 2  </w:t>
      </w:r>
      <w:r>
        <w:rPr>
          <w:b/>
          <w:color w:val="0F2A43"/>
          <w:sz w:val="28"/>
        </w:rPr>
        <w:t>Sommaire — une lecture en quatre temps</w:t>
      </w:r>
    </w:p>
    <w:p>
      <w:pPr>
        <w:spacing w:after="40"/>
      </w:pPr>
      <w:r>
        <w:rPr>
          <w:color w:val="E3E8EE"/>
          <w:sz w:val="16"/>
        </w:rPr>
        <w:t>__________________________________________________________________________________________</w:t>
      </w:r>
    </w:p>
    <w:p>
      <w:pPr>
        <w:spacing w:after="160"/>
      </w:pPr>
      <w:r>
        <w:rPr>
          <w:sz w:val="23"/>
        </w:rPr>
        <w:t>Je vais structurer ma présentation en quatre temps. D'abord, le contexte et les données : je présenterai le jeu de données et le choix méthodologique de départ, à savoir pourquoi travailler sur la matrice de corrélation. Ensuite, la construction des axes : combien d'axes retenir, ce qu'ils représentent, et comment les lire à travers le cercle des corrélations. Troisième temps : la lecture des individus, c'est-à-dire comment chaque serveur se projette dans ce nouvel espace, avec quelle qualité, et comment repérer les cas atypiques. Enfin, une partie d'approfondissement sur la robustesse de cette structure — bootstrap, analyse parallèle, projection d'un nouveau profil — avant de conclure.</w:t>
      </w:r>
    </w:p>
    <w:p>
      <w:pPr>
        <w:spacing w:before="320" w:after="80"/>
      </w:pPr>
      <w:r>
        <w:rPr>
          <w:b/>
          <w:color w:val="1C7293"/>
          <w:sz w:val="22"/>
        </w:rPr>
        <w:t xml:space="preserve">Diapo 3  </w:t>
      </w:r>
      <w:r>
        <w:rPr>
          <w:b/>
          <w:color w:val="0F2A43"/>
          <w:sz w:val="28"/>
        </w:rPr>
        <w:t>Contexte &amp; données</w:t>
      </w:r>
    </w:p>
    <w:p>
      <w:pPr>
        <w:spacing w:after="40"/>
      </w:pPr>
      <w:r>
        <w:rPr>
          <w:color w:val="E3E8EE"/>
          <w:sz w:val="16"/>
        </w:rPr>
        <w:t>__________________________________________________________________________________________</w:t>
      </w:r>
    </w:p>
    <w:p>
      <w:pPr>
        <w:spacing w:after="160"/>
      </w:pPr>
      <w:r>
        <w:rPr>
          <w:sz w:val="23"/>
        </w:rPr>
        <w:t>Le jeu de données comprend 160 serveurs, décrits par 11 indicateurs quantitatifs qui couvrent la charge, la performance, l'exposition, la sécurité et la résilience. L'objectif de l'ACP est de résumer ces indicateurs corrélés en un petit nombre d'axes, sans perdre l'information essentielle. Deux colonnes ne sont pas utilisées comme variables actives : l'identifiant du serveur, qui n'a pas de sens numérique, et le segment synthétique, qui est une étiquette externe — je m'en sers uniquement a posteriori, pour lire les résultats, afin d'éviter tout raisonnement circulaire. Le jeu de données est propre : aucun doublon, aucune valeur manquante. Et je précise que le fichier source n'est jamais modifié directement ; toute suppression d'un individu, par exemple à la question 12, est faite sur une copie en mémoire.</w:t>
      </w:r>
    </w:p>
    <w:p>
      <w:pPr>
        <w:spacing w:before="320" w:after="80"/>
      </w:pPr>
      <w:r>
        <w:rPr>
          <w:b/>
          <w:color w:val="1C7293"/>
          <w:sz w:val="22"/>
        </w:rPr>
        <w:t xml:space="preserve">Diapo 4  </w:t>
      </w:r>
      <w:r>
        <w:rPr>
          <w:b/>
          <w:color w:val="0F2A43"/>
          <w:sz w:val="28"/>
        </w:rPr>
        <w:t>Question 1 — Import et inspection des données</w:t>
      </w:r>
    </w:p>
    <w:p>
      <w:pPr>
        <w:spacing w:after="40"/>
      </w:pPr>
      <w:r>
        <w:rPr>
          <w:color w:val="E3E8EE"/>
          <w:sz w:val="16"/>
        </w:rPr>
        <w:t>__________________________________________________________________________________________</w:t>
      </w:r>
    </w:p>
    <w:p>
      <w:pPr>
        <w:spacing w:after="160"/>
      </w:pPr>
      <w:r>
        <w:rPr>
          <w:sz w:val="23"/>
        </w:rPr>
        <w:t>Pour cette première question, j'ai importé et inspecté les données : 160 lignes, 13 colonnes, sans doublon ni valeur manquante. Sur ces 13 colonnes, j'ai retenu 11 variables actives pour l'ACP — vous les voyez listées ici : cpu, ram, trafic réseau, latence, tentatives d'intrusion, ports exposés, vulnérabilités ouvertes, jours depuis le dernier correctif, disponibilité, temps de rétablissement et taux de sauvegardes réussies. Les deux variables exclues sont l'identifiant du serveur, qui n'apporte aucune information numérique interprétable, et le segment synthétique, qui est une étiquette construite indépendamment des mesures — je la garde de côté pour comparer mes résultats après coup, sans qu'elle influence l'analyse elle-même.</w:t>
      </w:r>
    </w:p>
    <w:p>
      <w:pPr>
        <w:spacing w:before="320" w:after="80"/>
      </w:pPr>
      <w:r>
        <w:rPr>
          <w:b/>
          <w:color w:val="1C7293"/>
          <w:sz w:val="22"/>
        </w:rPr>
        <w:t xml:space="preserve">Diapo 5  </w:t>
      </w:r>
      <w:r>
        <w:rPr>
          <w:b/>
          <w:color w:val="0F2A43"/>
          <w:sz w:val="28"/>
        </w:rPr>
        <w:t>Question 2 — Corrélation plutôt que covariance</w:t>
      </w:r>
    </w:p>
    <w:p>
      <w:pPr>
        <w:spacing w:after="40"/>
      </w:pPr>
      <w:r>
        <w:rPr>
          <w:color w:val="E3E8EE"/>
          <w:sz w:val="16"/>
        </w:rPr>
        <w:t>__________________________________________________________________________________________</w:t>
      </w:r>
    </w:p>
    <w:p>
      <w:pPr>
        <w:spacing w:after="160"/>
      </w:pPr>
      <w:r>
        <w:rPr>
          <w:sz w:val="23"/>
        </w:rPr>
        <w:t>Pourquoi travailler sur la matrice de corrélation plutôt que sur la covariance ? Parce que les écarts-types de mes variables sont très hétérogènes : ils vont de 0,59 pour la disponibilité, exprimée en pourcentage, à 106,6 pour le trafic réseau en mégabits par seconde — un rapport d'environ 180. Si je faisais une ACP sur la covariance, la variable trafic dominerait complètement l'analyse, simplement à cause de son échelle, pas de son contenu informatif. J'ai donc standardisé les données avec un StandardScaler, moyenne nulle et écart-type unitaire, pour que chaque indicateur parte avec le même poids. Et en regardant la matrice de corrélation, on voit déjà deux blocs de variables fortement liées entre elles : un bloc charge et performance, avec des corrélations autour de 0,80 à 0,90, et un bloc exposition et sécurité, autour de 0,76 à 0,81. C'est typiquement ce genre de redondance que l'ACP va permettre de résumer.</w:t>
      </w:r>
    </w:p>
    <w:p>
      <w:pPr>
        <w:spacing w:before="320" w:after="80"/>
      </w:pPr>
      <w:r>
        <w:rPr>
          <w:b/>
          <w:color w:val="1C7293"/>
          <w:sz w:val="22"/>
        </w:rPr>
        <w:t xml:space="preserve">Diapo 6  </w:t>
      </w:r>
      <w:r>
        <w:rPr>
          <w:b/>
          <w:color w:val="0F2A43"/>
          <w:sz w:val="28"/>
        </w:rPr>
        <w:t>Question 3 — Combien d'axes retenir ?</w:t>
      </w:r>
    </w:p>
    <w:p>
      <w:pPr>
        <w:spacing w:after="40"/>
      </w:pPr>
      <w:r>
        <w:rPr>
          <w:color w:val="E3E8EE"/>
          <w:sz w:val="16"/>
        </w:rPr>
        <w:t>__________________________________________________________________________________________</w:t>
      </w:r>
    </w:p>
    <w:p>
      <w:pPr>
        <w:spacing w:after="160"/>
      </w:pPr>
      <w:r>
        <w:rPr>
          <w:sz w:val="23"/>
        </w:rPr>
        <w:t>Combien d'axes faut-il retenir ? Je me suis appuyé sur trois critères, qui convergent tous vers la même réponse : trois axes. Le critère de Kaiser d'abord : on garde les axes dont la valeur propre dépasse 1, et c'est le cas pour les trois premiers, avec une chute nette à 0,27 pour le quatrième. Le seuil de 80 % de variance expliquée ensuite : il est atteint dès le troisième axe, avec 86,8 % de variance cumulée. Et enfin le coude de l'éboulis, visible sur ce graphique, qui montre une rupture nette de pente après le troisième axe. Ces trois axes portent donc l'essentiel de l'information : CP1 à lui seul explique 41,3 %, CP2 26,6 %, CP3 18,9 %. Les axes suivants, CP4 à CP11, n'apportent chacun que moins de 2,5 % et sont jugés secondaires.</w:t>
      </w:r>
    </w:p>
    <w:p>
      <w:pPr>
        <w:spacing w:before="320" w:after="80"/>
      </w:pPr>
      <w:r>
        <w:rPr>
          <w:b/>
          <w:color w:val="1C7293"/>
          <w:sz w:val="22"/>
        </w:rPr>
        <w:t xml:space="preserve">Diapo 7  </w:t>
      </w:r>
      <w:r>
        <w:rPr>
          <w:b/>
          <w:color w:val="0F2A43"/>
          <w:sz w:val="28"/>
        </w:rPr>
        <w:t>Question 4 — Interprétation des trois axes</w:t>
      </w:r>
    </w:p>
    <w:p>
      <w:pPr>
        <w:spacing w:after="40"/>
      </w:pPr>
      <w:r>
        <w:rPr>
          <w:color w:val="E3E8EE"/>
          <w:sz w:val="16"/>
        </w:rPr>
        <w:t>__________________________________________________________________________________________</w:t>
      </w:r>
    </w:p>
    <w:p>
      <w:pPr>
        <w:spacing w:after="160"/>
      </w:pPr>
      <w:r>
        <w:rPr>
          <w:sz w:val="23"/>
        </w:rPr>
        <w:t>Une fois les trois axes choisis, il faut les interpréter. Pour cela, je distingue deux notions : la corrélation entre une variable et un axe, qu'on appelle le loading, qui permet de placer la variable dans le cercle des corrélations ; et la contribution, qui mesure la part de responsabilité de chaque variable dans l'inertie d'un axe. Le signe des composantes, lui, est arbitraire — il n'a pas de sens en soi. Concrètement, CP1, qui porte 41,3 % de la variance, oppose la charge, l'exposition et les incidents à la disponibilité et aux sauvegardes : c'est un axe de risque global, où la résilience apparaît de façon inversée. CP2, 26,6 %, oppose plutôt le bloc charge-performance au bloc exposition-sécurité : c'est le type de stress dominant du serveur. Et CP3, 18,9 %, est largement dominé par les sauvegardes, le temps de rétablissement et la disponibilité — à 82,8 % de son inertie — c'est donc un axe de résilience opérationnelle à part entière.</w:t>
      </w:r>
    </w:p>
    <w:p>
      <w:pPr>
        <w:spacing w:before="320" w:after="80"/>
      </w:pPr>
      <w:r>
        <w:rPr>
          <w:b/>
          <w:color w:val="1C7293"/>
          <w:sz w:val="22"/>
        </w:rPr>
        <w:t xml:space="preserve">Diapo 8  </w:t>
      </w:r>
      <w:r>
        <w:rPr>
          <w:b/>
          <w:color w:val="0F2A43"/>
          <w:sz w:val="28"/>
        </w:rPr>
        <w:t>Question 5 — Cercle des corrélations et carte thermique</w:t>
      </w:r>
    </w:p>
    <w:p>
      <w:pPr>
        <w:spacing w:after="40"/>
      </w:pPr>
      <w:r>
        <w:rPr>
          <w:color w:val="E3E8EE"/>
          <w:sz w:val="16"/>
        </w:rPr>
        <w:t>__________________________________________________________________________________________</w:t>
      </w:r>
    </w:p>
    <w:p>
      <w:pPr>
        <w:spacing w:after="160"/>
      </w:pPr>
      <w:r>
        <w:rPr>
          <w:sz w:val="23"/>
        </w:rPr>
        <w:t>Voici le cercle des corrélations sur le plan CP1-CP2, et la carte thermique correspondante. Ce qui est important ici, c'est la notion de cos², qui mesure la qualité de représentation d'une variable sur un plan donné. Et on voit un point intéressant : deux variables, le temps de rétablissement et le taux de sauvegardes réussies, sont mal représentées sur le plan CP1-CP2, avec des cos² de seulement 0,21 et 0,16, mais elles sont en revanche très bien représentées sur le plan CP1-CP3, avec des cos² de 0,85 et 0,87. Autrement dit, si je me limitais au seul plan CP1-CP2, comme on le fait souvent par réflexe, je passerais complètement à côté de la dimension résilience et sauvegardes. Il faut aller la chercher sur CP3.</w:t>
      </w:r>
    </w:p>
    <w:p>
      <w:pPr>
        <w:spacing w:before="320" w:after="80"/>
      </w:pPr>
      <w:r>
        <w:rPr>
          <w:b/>
          <w:color w:val="1C7293"/>
          <w:sz w:val="22"/>
        </w:rPr>
        <w:t xml:space="preserve">Diapo 9  </w:t>
      </w:r>
      <w:r>
        <w:rPr>
          <w:b/>
          <w:color w:val="0F2A43"/>
          <w:sz w:val="28"/>
        </w:rPr>
        <w:t>Question 6 — Projection des individus et qualité (cos²)</w:t>
      </w:r>
    </w:p>
    <w:p>
      <w:pPr>
        <w:spacing w:after="40"/>
      </w:pPr>
      <w:r>
        <w:rPr>
          <w:color w:val="E3E8EE"/>
          <w:sz w:val="16"/>
        </w:rPr>
        <w:t>__________________________________________________________________________________________</w:t>
      </w:r>
    </w:p>
    <w:p>
      <w:pPr>
        <w:spacing w:after="160"/>
      </w:pPr>
      <w:r>
        <w:rPr>
          <w:sz w:val="23"/>
        </w:rPr>
        <w:t>Je projette maintenant les 160 serveurs sur le plan CP1-CP2, ici colorés par leur segment externe. Pour chaque serveur, je calcule aussi son cos² sur ce plan, c'est-à-dire la qualité de sa représentation. En moyenne, ce cos² est de 0,597, avec un minimum à 0,003 et un maximum à 0,972 — l'écart est donc important. J'ai identifié les cinq serveurs les moins bien représentés sur ce plan : on voit qu'ils appartiennent tous au segment intermédiaire. Le point à retenir, c'est qu'on ne doit pas interpréter la position de ces serveurs uniquement à partir du plan CP1-CP2 : pour ces cas-là, il faut se référer au plan CP1-CP3, où leur représentation est probablement meilleure.</w:t>
      </w:r>
    </w:p>
    <w:p>
      <w:pPr>
        <w:spacing w:before="320" w:after="80"/>
      </w:pPr>
      <w:r>
        <w:rPr>
          <w:b/>
          <w:color w:val="1C7293"/>
          <w:sz w:val="22"/>
        </w:rPr>
        <w:t xml:space="preserve">Diapo 10  </w:t>
      </w:r>
      <w:r>
        <w:rPr>
          <w:b/>
          <w:color w:val="0F2A43"/>
          <w:sz w:val="28"/>
        </w:rPr>
        <w:t>Question 7 — Serveurs atypiques : deux classements</w:t>
      </w:r>
    </w:p>
    <w:p>
      <w:pPr>
        <w:spacing w:after="40"/>
      </w:pPr>
      <w:r>
        <w:rPr>
          <w:color w:val="E3E8EE"/>
          <w:sz w:val="16"/>
        </w:rPr>
        <w:t>__________________________________________________________________________________________</w:t>
      </w:r>
    </w:p>
    <w:p>
      <w:pPr>
        <w:spacing w:after="160"/>
      </w:pPr>
      <w:r>
        <w:rPr>
          <w:sz w:val="23"/>
        </w:rPr>
        <w:t>Pour repérer les serveurs atypiques, j'ai comparé deux classements : celui basé sur la vraie distance multivariée, calculée sur les 11 axes complets, et celui basé sur la distance apparente dans le seul plan CP1-CP2. Résultat : sur les cinq serveurs les plus atypiques de chaque classement, seuls trois sont communs aux deux — SRV-073, SRV-117 et SRV-145. Ça veut dire que si on se limite au plan CP1-CP2 pour repérer les cas atypiques, on en rate certains qui sont réellement atypiques dans l'espace complet. Et j'insiste sur un point : une distance élevée n'indique ni la direction de l'écart, ni sa cause — c'est juste un signal, pas une explication.</w:t>
      </w:r>
    </w:p>
    <w:p>
      <w:pPr>
        <w:spacing w:before="320" w:after="80"/>
      </w:pPr>
      <w:r>
        <w:rPr>
          <w:b/>
          <w:color w:val="1C7293"/>
          <w:sz w:val="22"/>
        </w:rPr>
        <w:t xml:space="preserve">Diapo 11  </w:t>
      </w:r>
      <w:r>
        <w:rPr>
          <w:b/>
          <w:color w:val="0F2A43"/>
          <w:sz w:val="28"/>
        </w:rPr>
        <w:t>Questions 8-9 — Reconstruction &amp; conclusion du corps du sujet</w:t>
      </w:r>
    </w:p>
    <w:p>
      <w:pPr>
        <w:spacing w:after="40"/>
      </w:pPr>
      <w:r>
        <w:rPr>
          <w:color w:val="E3E8EE"/>
          <w:sz w:val="16"/>
        </w:rPr>
        <w:t>__________________________________________________________________________________________</w:t>
      </w:r>
    </w:p>
    <w:p>
      <w:pPr>
        <w:spacing w:after="160"/>
      </w:pPr>
      <w:r>
        <w:rPr>
          <w:sz w:val="23"/>
        </w:rPr>
        <w:t>Ces deux questions portent sur la reconstruction. Il existe une identité mathématique simple : l'erreur quadratique moyenne de reconstruction avec k axes est égale à 1 moins la variance expliquée cumulée jusqu'à k. Je l'ai vérifiée numériquement pour k=2, 3 et 4, et l'écart est nul à l'erreur flottante près. Concrètement, en ne gardant que 3 axes, l'information perdue est exactement 13,2 %, celle portée par CP4 à CP11. Si je compare les deux plans visuellement, celui de charge-exposition et celui de résilience, on voit que le plan CP1-CP2 sépare très nettement les trois segments externes, alors que sur CP1-CP3 ils se superposent presque totalement — ce qui confirme que CP3 est une dimension d'information à part entière, orthogonale à ce découpage. Pour conclure cette première partie du sujet : l'ACP révèle une structure claire et stable, avec trois axes interprétables et 86,8 % de variance, qui résume les 11 indicateurs en trois lectures : le risque global, le type de stress dominant, et la résilience.</w:t>
      </w:r>
    </w:p>
    <w:p>
      <w:pPr>
        <w:spacing w:before="320" w:after="80"/>
      </w:pPr>
      <w:r>
        <w:rPr>
          <w:b/>
          <w:color w:val="1C7293"/>
          <w:sz w:val="22"/>
        </w:rPr>
        <w:t xml:space="preserve">Diapo 12  </w:t>
      </w:r>
      <w:r>
        <w:rPr>
          <w:b/>
          <w:color w:val="0F2A43"/>
          <w:sz w:val="28"/>
        </w:rPr>
        <w:t>Transition — Approfondissement (Questions 10 à 16)</w:t>
      </w:r>
    </w:p>
    <w:p>
      <w:pPr>
        <w:spacing w:after="40"/>
      </w:pPr>
      <w:r>
        <w:rPr>
          <w:color w:val="E3E8EE"/>
          <w:sz w:val="16"/>
        </w:rPr>
        <w:t>__________________________________________________________________________________________</w:t>
      </w:r>
    </w:p>
    <w:p>
      <w:pPr>
        <w:spacing w:after="160"/>
      </w:pPr>
      <w:r>
        <w:rPr>
          <w:sz w:val="23"/>
        </w:rPr>
        <w:t>Je passe maintenant à la deuxième partie de mon travail, l'approfondissement, sur les questions 10 à 16. L'idée ici est d'aller au-delà du corps du sujet et de se demander : est-ce que cette structure à trois axes résiste au retrait d'un individu, au ré-échantillonnage, et est-ce qu'elle se généralise à une nouvelle observation qu'on n'a jamais vue ?</w:t>
      </w:r>
    </w:p>
    <w:p>
      <w:pPr>
        <w:spacing w:before="320" w:after="80"/>
      </w:pPr>
      <w:r>
        <w:rPr>
          <w:b/>
          <w:color w:val="1C7293"/>
          <w:sz w:val="22"/>
        </w:rPr>
        <w:t xml:space="preserve">Diapo 13  </w:t>
      </w:r>
      <w:r>
        <w:rPr>
          <w:b/>
          <w:color w:val="0F2A43"/>
          <w:sz w:val="28"/>
        </w:rPr>
        <w:t>Questions 10-11 — Contributions individuelles : le cas SRV-150</w:t>
      </w:r>
    </w:p>
    <w:p>
      <w:pPr>
        <w:spacing w:after="40"/>
      </w:pPr>
      <w:r>
        <w:rPr>
          <w:color w:val="E3E8EE"/>
          <w:sz w:val="16"/>
        </w:rPr>
        <w:t>__________________________________________________________________________________________</w:t>
      </w:r>
    </w:p>
    <w:p>
      <w:pPr>
        <w:spacing w:after="160"/>
      </w:pPr>
      <w:r>
        <w:rPr>
          <w:sz w:val="23"/>
        </w:rPr>
        <w:t>Ici je distingue bien deux notions qu'on confond souvent : la contribution, qui mesure la part de responsabilité d'un serveur dans l'inertie d'un axe — avec une moyenne attendue de 100 divisé par 160, soit 0,625 % par serveur — et le cos², qui mesure sa qualité de représentation. J'ai listé les serveurs qui contribuent le plus à CP1, et ceux qui contribuent le plus à CP3. Et il y a un cas particulier intéressant : SRV-150. Il façonne fortement CP3, avec 5,57 % de contribution, la plus forte de tous les serveurs sur cet axe, mais reste modeste sur CP1, avec seulement 2,04 %. Et surtout, c'est le serveur qui a la plus grande erreur de reconstruction quand on ne garde que 2 axes, alors que sa distance totale ne le classe qu'en deuxième position. Cet écart vient spécifiquement de sa composante sur CP3 — un exemple concret de pourquoi il ne faut pas se limiter au plan CP1-CP2.</w:t>
      </w:r>
    </w:p>
    <w:p>
      <w:pPr>
        <w:spacing w:before="320" w:after="80"/>
      </w:pPr>
      <w:r>
        <w:rPr>
          <w:b/>
          <w:color w:val="1C7293"/>
          <w:sz w:val="22"/>
        </w:rPr>
        <w:t xml:space="preserve">Diapo 14  </w:t>
      </w:r>
      <w:r>
        <w:rPr>
          <w:b/>
          <w:color w:val="0F2A43"/>
          <w:sz w:val="28"/>
        </w:rPr>
        <w:t>Questions 12-13 — La structure à 3 axes est-elle robuste ?</w:t>
      </w:r>
    </w:p>
    <w:p>
      <w:pPr>
        <w:spacing w:after="40"/>
      </w:pPr>
      <w:r>
        <w:rPr>
          <w:color w:val="E3E8EE"/>
          <w:sz w:val="16"/>
        </w:rPr>
        <w:t>__________________________________________________________________________________________</w:t>
      </w:r>
    </w:p>
    <w:p>
      <w:pPr>
        <w:spacing w:after="160"/>
      </w:pPr>
      <w:r>
        <w:rPr>
          <w:sz w:val="23"/>
        </w:rPr>
        <w:t>Je teste maintenant la robustesse de la structure à trois axes, de deux façons. D'abord, en retirant temporairement SRV-145, le serveur le plus éloigné, avec une distance de 5,97, et en refaisant l'ACP sur les 159 serveurs restants. Je compare les deux sous-espaces CP1-CP3 avec une distance de projecteur, dont le maximum théorique est d'environ 1,73. Résultat : 0,00887, c'est-à-dire quasiment nul — la structure est quasi inchangée, elle n'est donc pas portée par un seul individu influent. Ensuite, un test de stabilité par bootstrap : 150 tirages avec remise, sur lesquels je recalcule à chaque fois la distance de projecteur entre le sous-espace ré-estimé et l'original. La moyenne est de 0,125, avec un écart-type de 0,026, et un 95ᵉ centile à 0,170 — donc très largement en-dessous du maximum théorique de 1,73. Ce n'est pas une validation sur une population différente, c'est un contrôle interne, mais il confirme que la structure est stable.</w:t>
      </w:r>
    </w:p>
    <w:p>
      <w:pPr>
        <w:spacing w:before="320" w:after="80"/>
      </w:pPr>
      <w:r>
        <w:rPr>
          <w:b/>
          <w:color w:val="1C7293"/>
          <w:sz w:val="22"/>
        </w:rPr>
        <w:t xml:space="preserve">Diapo 15  </w:t>
      </w:r>
      <w:r>
        <w:rPr>
          <w:b/>
          <w:color w:val="0F2A43"/>
          <w:sz w:val="28"/>
        </w:rPr>
        <w:t>Question 14 — Analyse parallèle : confirmer Kaiser autrement</w:t>
      </w:r>
    </w:p>
    <w:p>
      <w:pPr>
        <w:spacing w:after="40"/>
      </w:pPr>
      <w:r>
        <w:rPr>
          <w:color w:val="E3E8EE"/>
          <w:sz w:val="16"/>
        </w:rPr>
        <w:t>__________________________________________________________________________________________</w:t>
      </w:r>
    </w:p>
    <w:p>
      <w:pPr>
        <w:spacing w:after="160"/>
      </w:pPr>
      <w:r>
        <w:rPr>
          <w:sz w:val="23"/>
        </w:rPr>
        <w:t>Le critère de Kaiser, que j'ai utilisé au départ, suppose implicitement des variables non corrélées, ce qui n'est pas vraiment réaliste ici. Pour le confirmer autrement, j'ai fait une analyse parallèle : je compare mes valeurs propres observées à celles obtenues sur 150 jeux de données permutés, où les corrélations entre variables ont été détruites, et je ne retiens un axe que si sa valeur propre dépasse le 95ᵉ centile de cette distribution aléatoire. Résultat : les trois premiers axes dépassent largement leur seuil de permutation — 4,57 contre 1,56 pour CP1, par exemple — alors que CP4 à CP11 restent en dessous. Donc avec quatre critères indépendants qui convergent tous vers le même résultat — Kaiser, le seuil de 80 %, le coude de l'éboulis, et maintenant l'analyse parallèle — la confiance dans le choix de trois axes est vraiment renforcée.</w:t>
      </w:r>
    </w:p>
    <w:p>
      <w:pPr>
        <w:spacing w:before="320" w:after="80"/>
      </w:pPr>
      <w:r>
        <w:rPr>
          <w:b/>
          <w:color w:val="1C7293"/>
          <w:sz w:val="22"/>
        </w:rPr>
        <w:t xml:space="preserve">Diapo 16  </w:t>
      </w:r>
      <w:r>
        <w:rPr>
          <w:b/>
          <w:color w:val="0F2A43"/>
          <w:sz w:val="28"/>
        </w:rPr>
        <w:t>Question 15 — Projeter un nouveau profil, sans re-calcul</w:t>
      </w:r>
    </w:p>
    <w:p>
      <w:pPr>
        <w:spacing w:after="40"/>
      </w:pPr>
      <w:r>
        <w:rPr>
          <w:color w:val="E3E8EE"/>
          <w:sz w:val="16"/>
        </w:rPr>
        <w:t>__________________________________________________________________________________________</w:t>
      </w:r>
    </w:p>
    <w:p>
      <w:pPr>
        <w:spacing w:after="160"/>
      </w:pPr>
      <w:r>
        <w:rPr>
          <w:sz w:val="23"/>
        </w:rPr>
        <w:t>Cette question teste la capacité de l'ACP à généraliser à une nouvelle observation. J'ai construit un serveur fictif avec un profil extrême : forte charge, forte exposition, résilience dégradée. Je le projette dans l'espace ACP déjà existant, en réutilisant le scaler et la PCA déjà ajustés — donc uniquement un transform, jamais un nouveau fit. Ses coordonnées sont CP1 = 6,23, CP2 = 0,81, CP3 = -1,32. La valeur de CP1 est largement au-dessus de la moyenne des serveurs déjà étiquetés « exposé », qui est de 1,50 — ce qui est cohérent avec le profil que j'ai construit. Son erreur de reconstruction sur 3 axes est de 0,065, plus faible que 13 % des serveurs d'origine. Évidemment, un seul point ne permet aucune généralisation statistique, mais ce cas illustre bien le mécanisme de projection hors-échantillon, qui serait pertinent pour un suivi continu en production.</w:t>
      </w:r>
    </w:p>
    <w:p>
      <w:pPr>
        <w:spacing w:before="320" w:after="80"/>
      </w:pPr>
      <w:r>
        <w:rPr>
          <w:b/>
          <w:color w:val="1C7293"/>
          <w:sz w:val="22"/>
        </w:rPr>
        <w:t xml:space="preserve">Diapo 17  </w:t>
      </w:r>
      <w:r>
        <w:rPr>
          <w:b/>
          <w:color w:val="0F2A43"/>
          <w:sz w:val="28"/>
        </w:rPr>
        <w:t>Question 16 — Tableau de bord : quels serveurs examiner en priorité ?</w:t>
      </w:r>
    </w:p>
    <w:p>
      <w:pPr>
        <w:spacing w:after="40"/>
      </w:pPr>
      <w:r>
        <w:rPr>
          <w:color w:val="E3E8EE"/>
          <w:sz w:val="16"/>
        </w:rPr>
        <w:t>__________________________________________________________________________________________</w:t>
      </w:r>
    </w:p>
    <w:p>
      <w:pPr>
        <w:spacing w:after="160"/>
      </w:pPr>
      <w:r>
        <w:rPr>
          <w:sz w:val="23"/>
        </w:rPr>
        <w:t>Pour terminer cette partie d'approfondissement, j'ai construit un tableau de bord de priorisation. Le score composite combine la distance totale et l'erreur de reconstruction à 2 axes, toutes deux normalisées. Voici les 10 serveurs qui arrivent en tête de cette priorisation — SRV-150 en première position, suivi de SRV-104, SRV-096, et ainsi de suite. Ce tableau ne se contente pas de dire quels serveurs regarder en premier : il indique aussi, via la distance et l'erreur de reconstruction, sur quel axe porte la singularité de chaque serveur. C'est un point de départ concret pour une vérification opérationnelle ciblée, plutôt qu'un simple classement brut.</w:t>
      </w:r>
    </w:p>
    <w:p>
      <w:pPr>
        <w:spacing w:before="320" w:after="80"/>
      </w:pPr>
      <w:r>
        <w:rPr>
          <w:b/>
          <w:color w:val="1C7293"/>
          <w:sz w:val="22"/>
        </w:rPr>
        <w:t xml:space="preserve">Diapo 18  </w:t>
      </w:r>
      <w:r>
        <w:rPr>
          <w:b/>
          <w:color w:val="0F2A43"/>
          <w:sz w:val="28"/>
        </w:rPr>
        <w:t>Conclusion générale</w:t>
      </w:r>
    </w:p>
    <w:p>
      <w:pPr>
        <w:spacing w:after="40"/>
      </w:pPr>
      <w:r>
        <w:rPr>
          <w:color w:val="E3E8EE"/>
          <w:sz w:val="16"/>
        </w:rPr>
        <w:t>__________________________________________________________________________________________</w:t>
      </w:r>
    </w:p>
    <w:p>
      <w:pPr>
        <w:spacing w:after="160"/>
      </w:pPr>
      <w:r>
        <w:rPr>
          <w:sz w:val="23"/>
        </w:rPr>
        <w:t>Pour conclure. Ce qui est solidement établi : trois axes résument 86,8 % de la variance, confirmé par quatre critères indépendants ; la lecture est stable — CP1 pour le risque global, CP2 pour le type de stress, CP3 pour la résilience ; et cette structure résiste au retrait de l'individu extrême, avec une distance de 0,009, comme au bootstrap, avec 0,125, très en-dessous du maximum théorique. Côté pistes d'usage opérationnel : une forte distance ou un faible cos² sur le plan CP1-CP2 permettent d'identifier des candidats à examiner en priorité, et un nouveau profil peut être positionné dans le même repère sans recalcul, ce qui ouvre la voie à un suivi continu. Mais il y a aussi des limites importantes à garder en tête : une position atypique n'est en aucun cas une preuve d'incident réel, ce n'est qu'un écart statistique ; le bootstrap reste un contrôle interne, pas une validation externe ; et surtout, ces données sont synthétiques, donc aucune conclusion opérationnelle réelle n'est possible. En résumé, l'ACP fournit ici un résumé fiable et stable de la structure de corrélation entre indicateurs, et un outil de priorisation exploratoire — un outil descriptif, pas un outil de diagnostic.</w:t>
      </w:r>
    </w:p>
    <w:p>
      <w:pPr>
        <w:spacing w:before="320" w:after="80"/>
      </w:pPr>
      <w:r>
        <w:rPr>
          <w:b/>
          <w:color w:val="1C7293"/>
          <w:sz w:val="22"/>
        </w:rPr>
        <w:t xml:space="preserve">Diapo 19  </w:t>
      </w:r>
      <w:r>
        <w:rPr>
          <w:b/>
          <w:color w:val="0F2A43"/>
          <w:sz w:val="28"/>
        </w:rPr>
        <w:t>Merci — Questions &amp; discussion</w:t>
      </w:r>
    </w:p>
    <w:p>
      <w:pPr>
        <w:spacing w:after="40"/>
      </w:pPr>
      <w:r>
        <w:rPr>
          <w:color w:val="E3E8EE"/>
          <w:sz w:val="16"/>
        </w:rPr>
        <w:t>__________________________________________________________________________________________</w:t>
      </w:r>
    </w:p>
    <w:p>
      <w:pPr>
        <w:spacing w:after="160"/>
      </w:pPr>
      <w:r>
        <w:rPr>
          <w:sz w:val="23"/>
        </w:rPr>
        <w:t>Merci de votre attention. Je suis prêt à répondre à vos questions.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