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Plateforme ACSD Expert Intelligence</w:t>
      </w:r>
    </w:p>
    <w:p>
      <w:pPr>
        <w:pStyle w:val="Title"/>
        <w:jc w:val="center"/>
      </w:pPr>
      <w:r>
        <w:rPr>
          <w:b/>
          <w:color w:val="444444"/>
          <w:sz w:val="40"/>
        </w:rPr>
        <w:t>Guide de l'administrateur</w:t>
      </w:r>
    </w:p>
    <w:p>
      <w:pPr>
        <w:jc w:val="center"/>
      </w:pPr>
      <w:r>
        <w:rPr>
          <w:i/>
          <w:color w:val="666666"/>
        </w:rPr>
        <w:t>Version 1.0 — Préparé le 04/08/2026</w:t>
      </w:r>
    </w:p>
    <w:p>
      <w:r>
        <w:br w:type="page"/>
      </w:r>
    </w:p>
    <w:p>
      <w:pPr>
        <w:pStyle w:val="Heading1"/>
      </w:pPr>
      <w:r>
        <w:t>1. Introduction et présentation du système</w:t>
      </w:r>
    </w:p>
    <w:p>
      <w:pPr>
        <w:pStyle w:val="Heading2"/>
      </w:pPr>
      <w:r>
        <w:t>1.1 Objet de ce guide</w:t>
      </w:r>
    </w:p>
    <w:p>
      <w:pPr>
        <w:spacing w:after="120"/>
      </w:pPr>
      <w:r>
        <w:t xml:space="preserve">Ce guide s'adresse aux </w:t>
      </w:r>
      <w:r>
        <w:rPr>
          <w:b/>
        </w:rPr>
        <w:t>administrateurs système</w:t>
      </w:r>
      <w:r>
        <w:t xml:space="preserve"> de la plateforme ACSD Expert Intelligence — les personnes responsables de la gestion des comptes utilisateurs, de la maintenance du vivier d'experts, de la configuration des intégrations et de la supervision des données au quotidien à travers l'ensemble des modules de la plateforme. Il ne suppose aucune connaissance technique préalable du système et définit les termes spécialisés dès leur première apparition (un glossaire complet figure également à la Section 5).</w:t>
      </w:r>
    </w:p>
    <w:p>
      <w:pPr>
        <w:spacing w:after="120"/>
      </w:pPr>
      <w:r>
        <w:t>Ce guide couvre exclusivement l'</w:t>
      </w:r>
      <w:r>
        <w:rPr>
          <w:b/>
        </w:rPr>
        <w:t>interface d'administration</w:t>
      </w:r>
      <w:r>
        <w:t>. Une vue publique plus simple, destinée aux utilisateurs non administrateurs, existe séparément ; elle est brièvement décrite en Section 3.5, car un administrateur doit savoir ce que voient ses collègues non-administrateurs.</w:t>
      </w:r>
    </w:p>
    <w:p>
      <w:pPr>
        <w:pStyle w:val="Heading2"/>
      </w:pPr>
      <w:r>
        <w:t>1.2 Ce que fait la plateforme</w:t>
      </w:r>
    </w:p>
    <w:p>
      <w:pPr>
        <w:spacing w:after="120"/>
      </w:pPr>
      <w:r>
        <w:t>La plateforme ACSD Expert Intelligence a démarré comme une base de données consultable d'experts thématiques et s'est développée en une plateforme complète de gestion des propositions et de l'exécution. Elle prend en charge :</w:t>
      </w:r>
    </w:p>
    <w:p>
      <w:pPr>
        <w:pStyle w:val="ListBullet"/>
      </w:pPr>
      <w:r>
        <w:rPr>
          <w:b/>
        </w:rPr>
        <w:t>Vivier d'experts</w:t>
      </w:r>
      <w:r>
        <w:t xml:space="preserve"> — une base de données consultable et filtrable d'experts (profils, CV, tags secteur/langue/géographie).</w:t>
      </w:r>
    </w:p>
    <w:p>
      <w:pPr>
        <w:pStyle w:val="ListBullet"/>
      </w:pPr>
      <w:r>
        <w:rPr>
          <w:b/>
        </w:rPr>
        <w:t>Veille sur les opportunités</w:t>
      </w:r>
      <w:r>
        <w:t xml:space="preserve"> — le repérage et la notation d'appels d'offres de bailleurs (avis de type TDR/RFP) provenant de sources externes surveillées, soit automatiquement (pour un petit nombre de sources disposant d'une API publique), soit par la saisie manuelle du texte d'un avis par un administrateur.</w:t>
      </w:r>
    </w:p>
    <w:p>
      <w:pPr>
        <w:pStyle w:val="ListBullet"/>
      </w:pPr>
      <w:r>
        <w:rPr>
          <w:b/>
        </w:rPr>
        <w:t>Correspondance TDR ↔ Expert</w:t>
      </w:r>
      <w:r>
        <w:t xml:space="preserve"> — un moteur de notation qui classe les experts par rapport aux exigences d'un appel d'offres.</w:t>
      </w:r>
    </w:p>
    <w:p>
      <w:pPr>
        <w:pStyle w:val="ListBullet"/>
      </w:pPr>
      <w:r>
        <w:rPr>
          <w:b/>
        </w:rPr>
        <w:t>Génération de propositions</w:t>
      </w:r>
      <w:r>
        <w:t xml:space="preserve"> — la rédaction assistée par IA d'une Manifestation d'Intérêt (EOI), d'une Approche Technique, d'un Plan de Travail, de CV adaptés, aboutissant à un Rapport Final Combiné.</w:t>
      </w:r>
    </w:p>
    <w:p>
      <w:pPr>
        <w:pStyle w:val="ListBullet"/>
      </w:pPr>
      <w:r>
        <w:rPr>
          <w:b/>
        </w:rPr>
        <w:t>Analyse Go/No-Go (Bid/No-Bid)</w:t>
      </w:r>
      <w:r>
        <w:t xml:space="preserve"> — une recommandation de participation combinant les caractéristiques propres de l'opportunité et l'équipe réellement constituée à ce stade.</w:t>
      </w:r>
    </w:p>
    <w:p>
      <w:pPr>
        <w:pStyle w:val="ListBullet"/>
      </w:pPr>
      <w:r>
        <w:rPr>
          <w:b/>
        </w:rPr>
        <w:t>Suivi côté exécution</w:t>
      </w:r>
      <w:r>
        <w:t xml:space="preserve"> — Gestion des Contrats, Gestion des Tâches avec intégration calendrier, Gestion des Réunions avec compte-rendu assisté par IA, et suivi des relations clients (CRM).</w:t>
      </w:r>
    </w:p>
    <w:p>
      <w:pPr>
        <w:pStyle w:val="ListBullet"/>
      </w:pPr>
      <w:r>
        <w:rPr>
          <w:b/>
        </w:rPr>
        <w:t>Fonctionnalités transversales</w:t>
      </w:r>
      <w:r>
        <w:t xml:space="preserve"> — fils de commentaires en contexte (Espace de Collaboration), notifications in-app et par e-mail, webhooks sortants vers des systèmes externes (Slack, Zapier, etc.), un module de Rapports avec exports, et une piste d'audit complète.</w:t>
      </w:r>
    </w:p>
    <w:p>
      <w:pPr>
        <w:pStyle w:val="ListBullet"/>
      </w:pPr>
      <w:r>
        <w:rPr>
          <w:b/>
        </w:rPr>
        <w:t>Gestion des connaissances</w:t>
      </w:r>
      <w:r>
        <w:t xml:space="preserve"> — une Base de Connaissances des propositions (anciennes propositions/méthodologies/modèles) et un journal structuré des Enseignements Tirés, tous deux exploités automatiquement par le générateur de propositions assisté par IA.</w:t>
      </w:r>
    </w:p>
    <w:p>
      <w:pPr>
        <w:pStyle w:val="Heading2"/>
      </w:pPr>
      <w:r>
        <w:t>1.3 Plateforme et accès</w:t>
      </w:r>
    </w:p>
    <w:p>
      <w:pPr>
        <w:pStyle w:val="ListBullet"/>
      </w:pPr>
      <w:r>
        <w:rPr>
          <w:b/>
        </w:rPr>
        <w:t>Plateforme</w:t>
      </w:r>
      <w:r>
        <w:t xml:space="preserve"> : une application web, accessible depuis un navigateur standard. Il n'existe ni application de bureau ni application mobile — l'interface est adaptative (« responsive ») et utilisable sur téléphone et tablette via un navigateur.</w:t>
      </w:r>
    </w:p>
    <w:p>
      <w:pPr>
        <w:pStyle w:val="ListBullet"/>
      </w:pPr>
      <w:r>
        <w:rPr>
          <w:b/>
        </w:rPr>
        <w:t>Hébergement/technologie</w:t>
      </w:r>
      <w:r>
        <w:t xml:space="preserve"> : le frontend est en HTML/CSS/JavaScript statique ; le backend repose sur Supabase (une base de données PostgreSQL hébergée avec une API auto-générée, l'authentification et le stockage de fichiers). Les fonctionnalités assistées par IA (analyse de CV/TDR, rédaction de propositions, justification des correspondances, structuration des notes de réunion) font appel à l'API Claude d'Anthropic via le backend propre à la plateforme — les administrateurs n'interagissent jamais directement avec Claude.</w:t>
      </w:r>
    </w:p>
    <w:p>
      <w:pPr>
        <w:pStyle w:val="ListBullet"/>
      </w:pPr>
      <w:r>
        <w:rPr>
          <w:b/>
        </w:rPr>
        <w:t>Méthode de connexion</w:t>
      </w:r>
      <w:r>
        <w:t xml:space="preserve"> : e-mail et mot de passe, gérés par l'écran de connexion propre à la plateforme. Il n'existe ni authentification unique (SSO) ni connexion via un réseau social.</w:t>
      </w:r>
    </w:p>
    <w:p>
      <w:pPr>
        <w:pStyle w:val="ListBullet"/>
      </w:pPr>
      <w:r>
        <w:rPr>
          <w:b/>
        </w:rPr>
        <w:t>Niveau d'accès supposé pour ce guide</w:t>
      </w:r>
      <w:r>
        <w:t xml:space="preserve"> : </w:t>
      </w:r>
      <w:r>
        <w:rPr>
          <w:b/>
        </w:rPr>
        <w:t>Administrateur</w:t>
      </w:r>
      <w:r>
        <w:t xml:space="preserve"> (rôle </w:t>
      </w:r>
      <w:r>
        <w:rPr>
          <w:rFonts w:ascii="Consolas" w:hAnsi="Consolas"/>
          <w:color w:val="C02626"/>
          <w:sz w:val="20"/>
        </w:rPr>
        <w:t>admin</w:t>
      </w:r>
      <w:r>
        <w:t xml:space="preserve">), qui dispose d'un accès complet à toutes les pages décrites ici. Un second rôle, plus limité — </w:t>
      </w:r>
      <w:r>
        <w:rPr>
          <w:b/>
        </w:rPr>
        <w:t>Lecteur</w:t>
      </w:r>
      <w:r>
        <w:t xml:space="preserve"> (</w:t>
      </w:r>
      <w:r>
        <w:rPr>
          <w:rFonts w:ascii="Consolas" w:hAnsi="Consolas"/>
          <w:color w:val="C02626"/>
          <w:sz w:val="20"/>
        </w:rPr>
        <w:t>viewer</w:t>
      </w:r>
      <w:r>
        <w:t>) — existe pour le personnel non-administrateur ; les Lecteurs ne peuvent accéder à aucune page d'administration (la Section 2.2 explique comment la plateforme applique cette restriction).</w:t>
      </w:r>
    </w:p>
    <w:p>
      <w:pPr>
        <w:spacing w:before="120" w:after="200"/>
        <w:pBdr>
          <w:bottom w:val="single" w:sz="8" w:space="1" w:color="9DC3E6"/>
        </w:pBdr>
      </w:pPr>
    </w:p>
    <w:p>
      <w:pPr>
        <w:pStyle w:val="Heading1"/>
      </w:pPr>
      <w:r>
        <w:t>2. Prise en main</w:t>
      </w:r>
    </w:p>
    <w:p>
      <w:pPr>
        <w:pStyle w:val="Heading2"/>
      </w:pPr>
      <w:r>
        <w:t>2.1 Se connecter</w:t>
      </w:r>
    </w:p>
    <w:p>
      <w:pPr>
        <w:spacing w:after="120"/>
      </w:pPr>
      <w:r>
        <w:rPr>
          <w:b/>
        </w:rPr>
        <w:t>Prérequis</w:t>
      </w:r>
      <w:r>
        <w:t xml:space="preserve"> : vous devez déjà disposer d'un compte. Les comptes ne sont créés que par un administrateur existant (Section 3.1.1) — il n'existe aucune option « Créer un compte » accessible publiquement dans la plateforme.</w:t>
      </w:r>
    </w:p>
    <w:p>
      <w:pPr>
        <w:spacing w:after="60"/>
        <w:ind w:left="432" w:hanging="432"/>
      </w:pPr>
      <w:r>
        <w:rPr>
          <w:b/>
        </w:rPr>
        <w:t>1.</w:t>
        <w:tab/>
      </w:r>
      <w:r>
        <w:t>Ouvrez la page de connexion de la plateforme dans votre navigateur.</w:t>
      </w:r>
    </w:p>
    <w:p>
      <w:pPr>
        <w:spacing w:after="60"/>
        <w:ind w:left="432" w:hanging="432"/>
      </w:pPr>
      <w:r>
        <w:rPr>
          <w:b/>
        </w:rPr>
        <w:t>2.</w:t>
        <w:tab/>
      </w:r>
      <w:r>
        <w:t xml:space="preserve">Dans le champ </w:t>
      </w:r>
      <w:r>
        <w:rPr>
          <w:b/>
        </w:rPr>
        <w:t>Adresse e-mail</w:t>
      </w:r>
      <w:r>
        <w:t>, saisissez l'e-mail de votre compte.</w:t>
      </w:r>
    </w:p>
    <w:p>
      <w:pPr>
        <w:spacing w:after="60"/>
        <w:ind w:left="432" w:hanging="432"/>
      </w:pPr>
      <w:r>
        <w:rPr>
          <w:b/>
        </w:rPr>
        <w:t>3.</w:t>
        <w:tab/>
      </w:r>
      <w:r>
        <w:t xml:space="preserve">Dans le champ </w:t>
      </w:r>
      <w:r>
        <w:rPr>
          <w:b/>
        </w:rPr>
        <w:t>Mot de passe</w:t>
      </w:r>
      <w:r>
        <w:t>, saisissez votre mot de passe.</w:t>
      </w:r>
    </w:p>
    <w:p>
      <w:pPr>
        <w:spacing w:after="60"/>
        <w:ind w:left="432" w:hanging="432"/>
      </w:pPr>
      <w:r>
        <w:rPr>
          <w:b/>
        </w:rPr>
        <w:t>4.</w:t>
        <w:tab/>
      </w:r>
      <w:r>
        <w:t xml:space="preserve">Cliquez sur </w:t>
      </w:r>
      <w:r>
        <w:rPr>
          <w:b/>
        </w:rPr>
        <w:t>Se connecter</w:t>
      </w:r>
      <w:r>
        <w:t>.</w:t>
      </w:r>
    </w:p>
    <w:p>
      <w:pPr>
        <w:spacing w:after="120"/>
      </w:pPr>
      <w:r>
        <w:rPr>
          <w:b/>
        </w:rPr>
        <w:t>Résultat attendu</w:t>
      </w:r>
      <w:r>
        <w:t xml:space="preserve"> : en cas de succès, vous accédez à la plateforme. Si votre compte dispose du rôle Administrateur, vous arrivez sur le Tableau de bord d'administration (Section 2.4) ; si une session active existe déjà lorsque vous visitez la page de connexion, vous êtes automatiquement redirigé sans avoir à vous reconnecter.</w:t>
      </w:r>
    </w:p>
    <w:p>
      <w:pPr>
        <w:spacing w:after="120"/>
      </w:pPr>
      <w:r>
        <w:rPr>
          <w:b/>
        </w:rPr>
        <w:t>En cas d'échec de connexion</w:t>
      </w:r>
      <w:r>
        <w:t>, un message d'erreur s'affiche directement sur la page pour expliquer le problème (par exemple, un mot de passe incorrect). Les causes courantes et leurs solutions sont traitées à la Section 4 (Dépannage).</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page de connexion montrant les champs Adresse e-mail et Mot de passe ainsi que le bouton Se connecter</w:t>
      </w:r>
    </w:p>
    <w:p>
      <w:pPr>
        <w:pStyle w:val="Heading3"/>
      </w:pPr>
      <w:r>
        <w:t>Réinitialiser un mot de passe oublié</w:t>
      </w:r>
    </w:p>
    <w:p>
      <w:pPr>
        <w:spacing w:after="60"/>
        <w:ind w:left="432" w:hanging="432"/>
      </w:pPr>
      <w:r>
        <w:rPr>
          <w:b/>
        </w:rPr>
        <w:t>1.</w:t>
        <w:tab/>
      </w:r>
      <w:r>
        <w:t xml:space="preserve">Sur la page de connexion, cliquez sur </w:t>
      </w:r>
      <w:r>
        <w:rPr>
          <w:b/>
        </w:rPr>
        <w:t>Mot de passe oublié ?</w:t>
      </w:r>
      <w:r>
        <w:t>.</w:t>
      </w:r>
    </w:p>
    <w:p>
      <w:pPr>
        <w:spacing w:after="60"/>
        <w:ind w:left="432" w:hanging="432"/>
      </w:pPr>
      <w:r>
        <w:rPr>
          <w:b/>
        </w:rPr>
        <w:t>2.</w:t>
        <w:tab/>
      </w:r>
      <w:r>
        <w:t xml:space="preserve">Saisissez votre </w:t>
      </w:r>
      <w:r>
        <w:rPr>
          <w:b/>
        </w:rPr>
        <w:t>Adresse e-mail</w:t>
      </w:r>
      <w:r>
        <w:t xml:space="preserve"> puis cliquez sur </w:t>
      </w:r>
      <w:r>
        <w:rPr>
          <w:b/>
        </w:rPr>
        <w:t>Envoyer le lien</w:t>
      </w:r>
      <w:r>
        <w:t>.</w:t>
      </w:r>
    </w:p>
    <w:p>
      <w:pPr>
        <w:spacing w:after="60"/>
        <w:ind w:left="432" w:hanging="432"/>
      </w:pPr>
      <w:r>
        <w:rPr>
          <w:b/>
        </w:rPr>
        <w:t>3.</w:t>
        <w:tab/>
      </w:r>
      <w:r>
        <w:t>Une confirmation à l'écran indique que le lien a été envoyé (« Vérifiez votre boîte mail — un lien de réinitialisation a été envoyé » — le formulaire lui-même est remplacé par ce message ; il n'y a pas de page séparée). Consultez votre messagerie pour trouver le lien de réinitialisation.</w:t>
      </w:r>
    </w:p>
    <w:p>
      <w:pPr>
        <w:spacing w:after="60"/>
        <w:ind w:left="432" w:hanging="432"/>
      </w:pPr>
      <w:r>
        <w:rPr>
          <w:b/>
        </w:rPr>
        <w:t>4.</w:t>
        <w:tab/>
      </w:r>
      <w:r>
        <w:t xml:space="preserve">Ouvrez le lien reçu par e-mail. Il vous amène à une page </w:t>
      </w:r>
      <w:r>
        <w:rPr>
          <w:b/>
        </w:rPr>
        <w:t>Réinitialiser le mot de passe</w:t>
      </w:r>
      <w:r>
        <w:t xml:space="preserve"> (« Set New Password » côté écran de définition du nouveau mot de passe).</w:t>
      </w:r>
    </w:p>
    <w:p>
      <w:pPr>
        <w:spacing w:after="60"/>
        <w:ind w:left="432" w:hanging="432"/>
      </w:pPr>
      <w:r>
        <w:rPr>
          <w:b/>
        </w:rPr>
        <w:t>5.</w:t>
        <w:tab/>
      </w:r>
      <w:r>
        <w:t xml:space="preserve">Saisissez un </w:t>
      </w:r>
      <w:r>
        <w:rPr>
          <w:b/>
        </w:rPr>
        <w:t>nouveau mot de passe</w:t>
      </w:r>
      <w:r>
        <w:t xml:space="preserve"> (8 caractères minimum) puis confirmez-le dans le second champ.</w:t>
      </w:r>
    </w:p>
    <w:p>
      <w:pPr>
        <w:spacing w:after="60"/>
        <w:ind w:left="432" w:hanging="432"/>
      </w:pPr>
      <w:r>
        <w:rPr>
          <w:b/>
        </w:rPr>
        <w:t>6.</w:t>
        <w:tab/>
      </w:r>
      <w:r>
        <w:t xml:space="preserve">Cliquez sur </w:t>
      </w:r>
      <w:r>
        <w:rPr>
          <w:b/>
        </w:rPr>
        <w:t>Mettre à jour le mot de passe</w:t>
      </w:r>
      <w:r>
        <w:t>.</w:t>
      </w:r>
    </w:p>
    <w:p>
      <w:pPr>
        <w:spacing w:after="120"/>
      </w:pPr>
      <w:r>
        <w:rPr>
          <w:b/>
        </w:rPr>
        <w:t>Résultat attendu</w:t>
      </w:r>
      <w:r>
        <w:t xml:space="preserve"> : un message de succès (« Mot de passe mis à jour avec succès. ») s'affiche avec un lien </w:t>
      </w:r>
      <w:r>
        <w:rPr>
          <w:b/>
        </w:rPr>
        <w:t>Se connecter</w:t>
      </w:r>
      <w:r>
        <w:t xml:space="preserve"> pour vous authentifier avec votre nouveau mot de passe.</w:t>
      </w:r>
    </w:p>
    <w:p>
      <w:pPr>
        <w:spacing w:before="80" w:after="160"/>
        <w:ind w:left="504"/>
        <w:shd w:fill="EEF3FA"/>
        <w:pBdr>
          <w:left w:val="single" w:sz="18" w:space="8" w:color="2E5F8A"/>
        </w:pBdr>
      </w:pPr>
      <w:r>
        <w:rPr>
          <w:b/>
          <w:i/>
        </w:rPr>
        <w:t>Remarque</w:t>
      </w:r>
      <w:r>
        <w:rPr>
          <w:i/>
        </w:rPr>
        <w:t xml:space="preserve"> : si le lien de réinitialisation a expiré ou a déjà été utilisé, la page affiche un message indiquant que le lien n'est plus valide et propose une option pour en redemander un, qui vous ramène à l'étape 1.</w:t>
      </w:r>
    </w:p>
    <w:p>
      <w:pPr>
        <w:pStyle w:val="Heading2"/>
      </w:pPr>
      <w:r>
        <w:t>2.2 Comment fonctionnent les niveaux d'accès</w:t>
      </w:r>
    </w:p>
    <w:p>
      <w:pPr>
        <w:spacing w:after="120"/>
      </w:pPr>
      <w:r>
        <w:t>La plateforme comporte exactement deux rôles :</w:t>
      </w:r>
    </w:p>
    <w:p>
      <w:pPr>
        <w:pStyle w:val="ListBullet"/>
      </w:pPr>
      <w:r>
        <w:rPr>
          <w:b/>
        </w:rPr>
        <w:t>Administrateur</w:t>
      </w:r>
      <w:r>
        <w:t xml:space="preserve"> — accès complet à toutes les pages d'administration décrites dans ce guide.</w:t>
      </w:r>
    </w:p>
    <w:p>
      <w:pPr>
        <w:pStyle w:val="ListBullet"/>
      </w:pPr>
      <w:r>
        <w:rPr>
          <w:b/>
        </w:rPr>
        <w:t>Lecteur</w:t>
      </w:r>
      <w:r>
        <w:t xml:space="preserve"> — ne peut ouvrir aucune page d'administration. Toute tentative d'y accéder redirige automatiquement un Lecteur vers le vivier public.</w:t>
      </w:r>
    </w:p>
    <w:p>
      <w:pPr>
        <w:spacing w:after="120"/>
      </w:pPr>
      <w:r>
        <w:t>Il n'existe aucun troisième rôle personnalisé, et (dans la mesure où ce guide a pu le vérifier) aucune autre permission page par page en dehors de cette distinction Administrateur/Lecteur — voir la Section 3.2 pour l'écran séparé, plus fin, « Rôles &amp; permissions » et une réserve importante à son sujet.</w:t>
      </w:r>
    </w:p>
    <w:p>
      <w:pPr>
        <w:spacing w:after="120"/>
      </w:pPr>
      <w:r>
        <w:t xml:space="preserve">Votre session se termine automatiquement après </w:t>
      </w:r>
      <w:r>
        <w:rPr>
          <w:b/>
        </w:rPr>
        <w:t>30 minutes d'inactivité</w:t>
      </w:r>
      <w:r>
        <w:t xml:space="preserve"> (aucun mouvement de souris, frappe de touche, clic ou défilement). Si cela se produit, vous êtes ramené à la page de connexion et devez vous reconnecter.</w:t>
      </w:r>
    </w:p>
    <w:p>
      <w:pPr>
        <w:pStyle w:val="Heading2"/>
      </w:pPr>
      <w:r>
        <w:t>2.3 Naviguer dans l'interface d'administration</w:t>
      </w:r>
    </w:p>
    <w:p>
      <w:pPr>
        <w:spacing w:after="120"/>
      </w:pPr>
      <w:r>
        <w:t xml:space="preserve">Chaque page d'administration partage la même mise en page : une </w:t>
      </w:r>
      <w:r>
        <w:rPr>
          <w:b/>
        </w:rPr>
        <w:t>barre latérale gauche</w:t>
      </w:r>
      <w:r>
        <w:t xml:space="preserve"> pour la navigation et un </w:t>
      </w:r>
      <w:r>
        <w:rPr>
          <w:b/>
        </w:rPr>
        <w:t>en-tête supérieur</w:t>
      </w:r>
      <w:r>
        <w:t xml:space="preserve"> avec vos contrôles de compte.</w:t>
      </w:r>
    </w:p>
    <w:p>
      <w:pPr>
        <w:spacing w:after="120"/>
      </w:pPr>
      <w:r>
        <w:rPr>
          <w:b/>
        </w:rPr>
        <w:t>Barre latérale (de haut en bas) :</w:t>
      </w:r>
    </w:p>
    <w:p>
      <w:pPr>
        <w:spacing w:after="60"/>
        <w:ind w:left="432" w:hanging="432"/>
      </w:pPr>
      <w:r>
        <w:rPr>
          <w:b/>
        </w:rPr>
        <w:t>1.</w:t>
        <w:tab/>
      </w:r>
      <w:r>
        <w:rPr>
          <w:b/>
        </w:rPr>
        <w:t>Raccourcis d'ajout rapide</w:t>
      </w:r>
      <w:r>
        <w:t xml:space="preserve"> — deux boutons, </w:t>
      </w:r>
      <w:r>
        <w:rPr>
          <w:b/>
        </w:rPr>
        <w:t>+ Expert</w:t>
      </w:r>
      <w:r>
        <w:t xml:space="preserve"> et </w:t>
      </w:r>
      <w:r>
        <w:rPr>
          <w:b/>
        </w:rPr>
        <w:t>+ Opportunité</w:t>
      </w:r>
      <w:r>
        <w:t>, épinglés au-dessus de la liste de navigation. Cliquer sur l'un ou l'autre vous amène directement à la page correspondante avec son formulaire d'ajout déjà ouvert, ce qui économise un clic.</w:t>
      </w:r>
    </w:p>
    <w:p>
      <w:pPr>
        <w:spacing w:after="60"/>
        <w:ind w:left="432" w:hanging="432"/>
      </w:pPr>
      <w:r>
        <w:rPr>
          <w:b/>
        </w:rPr>
        <w:t>2.</w:t>
        <w:tab/>
      </w:r>
      <w:r>
        <w:rPr>
          <w:b/>
        </w:rPr>
        <w:t>Éléments transversaux</w:t>
      </w:r>
      <w:r>
        <w:t xml:space="preserve"> (non regroupés sous un titre) : </w:t>
      </w:r>
      <w:r>
        <w:rPr>
          <w:b/>
        </w:rPr>
        <w:t>Tableau de bord</w:t>
      </w:r>
      <w:r>
        <w:t xml:space="preserve">, </w:t>
      </w:r>
      <w:r>
        <w:rPr>
          <w:b/>
        </w:rPr>
        <w:t>Tâches</w:t>
      </w:r>
      <w:r>
        <w:t xml:space="preserve">, </w:t>
      </w:r>
      <w:r>
        <w:rPr>
          <w:b/>
        </w:rPr>
        <w:t>Réunions</w:t>
      </w:r>
      <w:r>
        <w:t xml:space="preserve">, </w:t>
      </w:r>
      <w:r>
        <w:rPr>
          <w:b/>
        </w:rPr>
        <w:t>Rapports</w:t>
      </w:r>
      <w:r>
        <w:t>.</w:t>
      </w:r>
    </w:p>
    <w:p>
      <w:pPr>
        <w:spacing w:after="60"/>
        <w:ind w:left="432" w:hanging="432"/>
      </w:pPr>
      <w:r>
        <w:rPr>
          <w:b/>
        </w:rPr>
        <w:t>3.</w:t>
        <w:tab/>
      </w:r>
      <w:r>
        <w:t xml:space="preserve">Groupe </w:t>
      </w:r>
      <w:r>
        <w:rPr>
          <w:b/>
        </w:rPr>
        <w:t>Vivier</w:t>
      </w:r>
      <w:r>
        <w:t xml:space="preserve"> : </w:t>
      </w:r>
      <w:r>
        <w:rPr>
          <w:b/>
        </w:rPr>
        <w:t>Experts</w:t>
      </w:r>
      <w:r>
        <w:t xml:space="preserve">, </w:t>
      </w:r>
      <w:r>
        <w:rPr>
          <w:b/>
        </w:rPr>
        <w:t>Ask ACSD Intelligence</w:t>
      </w:r>
      <w:r>
        <w:t>.</w:t>
      </w:r>
    </w:p>
    <w:p>
      <w:pPr>
        <w:spacing w:after="60"/>
        <w:ind w:left="432" w:hanging="432"/>
      </w:pPr>
      <w:r>
        <w:rPr>
          <w:b/>
        </w:rPr>
        <w:t>4.</w:t>
        <w:tab/>
      </w:r>
      <w:r>
        <w:t xml:space="preserve">Groupe </w:t>
      </w:r>
      <w:r>
        <w:rPr>
          <w:b/>
        </w:rPr>
        <w:t>Opportunités</w:t>
      </w:r>
      <w:r>
        <w:t xml:space="preserve"> : </w:t>
      </w:r>
      <w:r>
        <w:rPr>
          <w:b/>
        </w:rPr>
        <w:t>Opportunités</w:t>
      </w:r>
      <w:r>
        <w:t xml:space="preserve">, </w:t>
      </w:r>
      <w:r>
        <w:rPr>
          <w:b/>
        </w:rPr>
        <w:t>Sources de veille</w:t>
      </w:r>
      <w:r>
        <w:t xml:space="preserve">, </w:t>
      </w:r>
      <w:r>
        <w:rPr>
          <w:b/>
        </w:rPr>
        <w:t>Base de connaissances</w:t>
      </w:r>
      <w:r>
        <w:t xml:space="preserve">, </w:t>
      </w:r>
      <w:r>
        <w:rPr>
          <w:b/>
        </w:rPr>
        <w:t>Enseignements tirés</w:t>
      </w:r>
      <w:r>
        <w:t>.</w:t>
      </w:r>
    </w:p>
    <w:p>
      <w:pPr>
        <w:spacing w:after="60"/>
        <w:ind w:left="432" w:hanging="432"/>
      </w:pPr>
      <w:r>
        <w:rPr>
          <w:b/>
        </w:rPr>
        <w:t>5.</w:t>
        <w:tab/>
      </w:r>
      <w:r>
        <w:t xml:space="preserve">Groupe </w:t>
      </w:r>
      <w:r>
        <w:rPr>
          <w:b/>
        </w:rPr>
        <w:t>Exécution</w:t>
      </w:r>
      <w:r>
        <w:t xml:space="preserve"> : </w:t>
      </w:r>
      <w:r>
        <w:rPr>
          <w:b/>
        </w:rPr>
        <w:t>Clients</w:t>
      </w:r>
      <w:r>
        <w:t xml:space="preserve">, </w:t>
      </w:r>
      <w:r>
        <w:rPr>
          <w:b/>
        </w:rPr>
        <w:t>Contrats</w:t>
      </w:r>
      <w:r>
        <w:t>.</w:t>
      </w:r>
    </w:p>
    <w:p>
      <w:pPr>
        <w:spacing w:after="60"/>
        <w:ind w:left="432" w:hanging="432"/>
      </w:pPr>
      <w:r>
        <w:rPr>
          <w:b/>
        </w:rPr>
        <w:t>6.</w:t>
        <w:tab/>
      </w:r>
      <w:r>
        <w:t xml:space="preserve">Groupe </w:t>
      </w:r>
      <w:r>
        <w:rPr>
          <w:b/>
        </w:rPr>
        <w:t>Administration</w:t>
      </w:r>
      <w:r>
        <w:t xml:space="preserve"> (repliable — voir ci-dessous) : </w:t>
      </w:r>
      <w:r>
        <w:rPr>
          <w:b/>
        </w:rPr>
        <w:t>Utilisateurs</w:t>
      </w:r>
      <w:r>
        <w:t xml:space="preserve">, </w:t>
      </w:r>
      <w:r>
        <w:rPr>
          <w:b/>
        </w:rPr>
        <w:t>Rôles &amp; permissions</w:t>
      </w:r>
      <w:r>
        <w:t xml:space="preserve">, </w:t>
      </w:r>
      <w:r>
        <w:rPr>
          <w:b/>
        </w:rPr>
        <w:t>Webhooks</w:t>
      </w:r>
      <w:r>
        <w:t xml:space="preserve">, </w:t>
      </w:r>
      <w:r>
        <w:rPr>
          <w:b/>
        </w:rPr>
        <w:t>Journaux d'audit</w:t>
      </w:r>
      <w:r>
        <w:t>.</w:t>
      </w:r>
    </w:p>
    <w:p>
      <w:pPr>
        <w:spacing w:after="60"/>
        <w:ind w:left="432" w:hanging="432"/>
      </w:pPr>
      <w:r>
        <w:rPr>
          <w:b/>
        </w:rPr>
        <w:t>7.</w:t>
        <w:tab/>
      </w:r>
      <w:r>
        <w:t xml:space="preserve">Au bas de la barre latérale, un lien </w:t>
      </w:r>
      <w:r>
        <w:rPr>
          <w:b/>
        </w:rPr>
        <w:t>← Retour au fichier d'experts</w:t>
      </w:r>
      <w:r>
        <w:t xml:space="preserve"> vous ramène à la vue publique du vivier.</w:t>
      </w:r>
    </w:p>
    <w:p>
      <w:pPr>
        <w:spacing w:after="120"/>
      </w:pPr>
      <w:r>
        <w:t xml:space="preserve">Le groupe </w:t>
      </w:r>
      <w:r>
        <w:rPr>
          <w:b/>
        </w:rPr>
        <w:t>Administration</w:t>
      </w:r>
      <w:r>
        <w:t xml:space="preserve"> est replié par défaut la première fois que vous utilisez la plateforme dans un navigateur donné — cliquez sur son en-tête pour le déplier ou le replier ; votre navigateur mémorise votre préférence. Il se déplie automatiquement dès que vous naviguez directement vers l'une de ses pages (Utilisateurs, Rôles &amp; permissions, Webhooks ou Journaux d'audit), de sorte qu'il ne reste jamais masqué pendant que vous vous trouvez réellement sur l'une de ces pages.</w:t>
      </w:r>
    </w:p>
    <w:p>
      <w:pPr>
        <w:spacing w:after="120"/>
      </w:pPr>
      <w:r>
        <w:t>La page en cours est mise en évidence dans la barre latérale par un fond ombré et une barre d'accent colorée sur le bord gauche, afin que vous puissiez toujours savoir où vous vous trouvez.</w:t>
      </w:r>
    </w:p>
    <w:p>
      <w:pPr>
        <w:spacing w:after="120"/>
      </w:pPr>
      <w:r>
        <w:t xml:space="preserve">Sur les écrans plus étroits (téléphones/tablettes), la barre latérale devient un panneau coulissant : appuyez sur l'icône de menu dans l'en-tête pour l'ouvrir, et appuyez sur le </w:t>
      </w:r>
      <w:r>
        <w:rPr>
          <w:b/>
        </w:rPr>
        <w:t>×</w:t>
      </w:r>
      <w:r>
        <w:t xml:space="preserve">, en dehors du panneau, ou sur la touche </w:t>
      </w:r>
      <w:r>
        <w:rPr>
          <w:b/>
        </w:rPr>
        <w:t>Échap</w:t>
      </w:r>
      <w:r>
        <w:t xml:space="preserve"> pour le fermer.</w:t>
      </w:r>
    </w:p>
    <w:p>
      <w:pPr>
        <w:spacing w:after="120"/>
      </w:pPr>
      <w:r>
        <w:t>Deux pages — la fiche détaillée d'une opportunité et la fiche détaillée d'un client — affichent un fil d'Ariane près du haut (par exemple, « Opportunités / [Titre de l'opportunité] ») plutôt qu'un simple lien de retour, afin que vous puissiez revenir en un clic à la vue liste.</w:t>
      </w:r>
    </w:p>
    <w:p>
      <w:pPr>
        <w:spacing w:after="120"/>
      </w:pPr>
      <w:r>
        <w:rPr>
          <w:b/>
        </w:rPr>
        <w:t>En-tête supérieur (côté droit, sur chaque page d'administration) :</w:t>
      </w:r>
    </w:p>
    <w:p>
      <w:pPr>
        <w:pStyle w:val="ListBullet"/>
      </w:pPr>
      <w:r>
        <w:t xml:space="preserve">Votre </w:t>
      </w:r>
      <w:r>
        <w:rPr>
          <w:b/>
        </w:rPr>
        <w:t>adresse e-mail</w:t>
      </w:r>
      <w:r>
        <w:t xml:space="preserve"> de connexion.</w:t>
      </w:r>
    </w:p>
    <w:p>
      <w:pPr>
        <w:pStyle w:val="ListBullet"/>
      </w:pPr>
      <w:r>
        <w:t xml:space="preserve">Un </w:t>
      </w:r>
      <w:r>
        <w:rPr>
          <w:b/>
        </w:rPr>
        <w:t>sélecteur de langue</w:t>
      </w:r>
      <w:r>
        <w:t xml:space="preserve"> (anglais/français) — l'interface est entièrement bilingue pour la navigation et le contenu des pages d'administration ; les documents de proposition générés et le contenu exporté des rapports ne sont pas traduits par ce sélecteur (ils restent dans la langue dans laquelle ils ont été générés/rédigés — voir Sections 3.6.6 et 3.16).</w:t>
      </w:r>
    </w:p>
    <w:p>
      <w:pPr>
        <w:pStyle w:val="ListBullet"/>
      </w:pPr>
      <w:r>
        <w:t xml:space="preserve">Une </w:t>
      </w:r>
      <w:r>
        <w:rPr>
          <w:b/>
        </w:rPr>
        <w:t>cloche de notifications</w:t>
      </w:r>
      <w:r>
        <w:t xml:space="preserve"> — voir Section 2.5.</w:t>
      </w:r>
    </w:p>
    <w:p>
      <w:pPr>
        <w:pStyle w:val="ListBullet"/>
      </w:pPr>
      <w:r>
        <w:t xml:space="preserve">Un bouton </w:t>
      </w:r>
      <w:r>
        <w:rPr>
          <w:b/>
        </w:rPr>
        <w:t>Déconnexion</w:t>
      </w:r>
      <w:r>
        <w:t>.</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mise en page complète d'une page d'administration montrant les groupes de la barre latérale, les raccourcis d'ajout rapide et l'en-tête supérieur</w:t>
      </w:r>
    </w:p>
    <w:p>
      <w:pPr>
        <w:pStyle w:val="Heading2"/>
      </w:pPr>
      <w:r>
        <w:t>2.4 Le Tableau de bord</w:t>
      </w:r>
    </w:p>
    <w:p>
      <w:pPr>
        <w:spacing w:after="120"/>
      </w:pPr>
      <w:r>
        <w:t>Le Tableau de bord est la page d'accueil après connexion (</w:t>
      </w:r>
      <w:r>
        <w:rPr>
          <w:b/>
        </w:rPr>
        <w:t>Tableau de bord</w:t>
      </w:r>
      <w:r>
        <w:t xml:space="preserve"> dans la barre latérale). Il donne un aperçu rapide en un coup d'œil et comporte deux parties :</w:t>
      </w:r>
    </w:p>
    <w:p>
      <w:pPr>
        <w:spacing w:after="120"/>
      </w:pPr>
      <w:r>
        <w:rPr>
          <w:b/>
        </w:rPr>
        <w:t>Cartes statistiques</w:t>
      </w:r>
      <w:r>
        <w:t xml:space="preserve"> (cinq, de gauche à droite) :</w:t>
      </w:r>
    </w:p>
    <w:p>
      <w:pPr>
        <w:spacing w:after="60"/>
        <w:ind w:left="432" w:hanging="432"/>
      </w:pPr>
      <w:r>
        <w:rPr>
          <w:b/>
        </w:rPr>
        <w:t>1.</w:t>
        <w:tab/>
      </w:r>
      <w:r>
        <w:rPr>
          <w:b/>
        </w:rPr>
        <w:t>Total d'experts</w:t>
      </w:r>
      <w:r>
        <w:t xml:space="preserve"> — avec un sous-compte du nombre d'inactifs.</w:t>
      </w:r>
    </w:p>
    <w:p>
      <w:pPr>
        <w:spacing w:after="60"/>
        <w:ind w:left="432" w:hanging="432"/>
      </w:pPr>
      <w:r>
        <w:rPr>
          <w:b/>
        </w:rPr>
        <w:t>2.</w:t>
        <w:tab/>
      </w:r>
      <w:r>
        <w:rPr>
          <w:b/>
        </w:rPr>
        <w:t>Experts actifs</w:t>
      </w:r>
      <w:r>
        <w:t xml:space="preserve"> — experts actuellement marqués actifs dans le vivier.</w:t>
      </w:r>
    </w:p>
    <w:p>
      <w:pPr>
        <w:spacing w:after="60"/>
        <w:ind w:left="432" w:hanging="432"/>
      </w:pPr>
      <w:r>
        <w:rPr>
          <w:b/>
        </w:rPr>
        <w:t>3.</w:t>
        <w:tab/>
      </w:r>
      <w:r>
        <w:rPr>
          <w:b/>
        </w:rPr>
        <w:t>Total d'utilisateurs</w:t>
      </w:r>
      <w:r>
        <w:t xml:space="preserve"> — avec un sous-compte du nombre d'actifs.</w:t>
      </w:r>
    </w:p>
    <w:p>
      <w:pPr>
        <w:spacing w:after="60"/>
        <w:ind w:left="432" w:hanging="432"/>
      </w:pPr>
      <w:r>
        <w:rPr>
          <w:b/>
        </w:rPr>
        <w:t>4.</w:t>
        <w:tab/>
      </w:r>
      <w:r>
        <w:rPr>
          <w:b/>
        </w:rPr>
        <w:t>Opportunités ouvertes</w:t>
      </w:r>
      <w:r>
        <w:t xml:space="preserve"> — opportunités actuellement Ouvertes ou En cours, avec une note indiquant combien ont une échéance dans les 14 prochains jours.</w:t>
      </w:r>
    </w:p>
    <w:p>
      <w:pPr>
        <w:spacing w:after="60"/>
        <w:ind w:left="432" w:hanging="432"/>
      </w:pPr>
      <w:r>
        <w:rPr>
          <w:b/>
        </w:rPr>
        <w:t>5.</w:t>
        <w:tab/>
      </w:r>
      <w:r>
        <w:rPr>
          <w:b/>
        </w:rPr>
        <w:t>Événements d'audit</w:t>
      </w:r>
      <w:r>
        <w:t xml:space="preserve"> — un décompte des entrées les plus récentes du journal d'audit chargées (cela reflète uniquement le dernier lot affiché sur le Tableau de bord, et non un total cumulé de tous les événements d'audit jamais enregistrés — pour un décompte complet, utilisez la page Journaux d'audit elle-même, Section 3.3).</w:t>
      </w:r>
    </w:p>
    <w:p>
      <w:pPr>
        <w:spacing w:after="120"/>
      </w:pPr>
      <w:r>
        <w:rPr>
          <w:b/>
        </w:rPr>
        <w:t>Panneau Activité récente</w:t>
      </w:r>
      <w:r>
        <w:t xml:space="preserve"> — les 10 entrées les plus récentes du journal d'audit, chacune affichant l'horodatage, une étiquette d'action codée par couleur (par exemple, bleu pour connexion/déconnexion, vert pour la création d'un enregistrement, orange pour les modifications, rouge pour les suppressions), l'utilisateur qui l'a effectuée, et l'enregistrement concerné le cas échéant. Cliquez sur </w:t>
      </w:r>
      <w:r>
        <w:rPr>
          <w:b/>
        </w:rPr>
        <w:t>Tout voir →</w:t>
      </w:r>
      <w:r>
        <w:t xml:space="preserve"> pour ouvrir la page complète des Journaux d'audit.</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Tableau de bord montrant les cinq cartes statistiques et le panneau Activité récente</w:t>
      </w:r>
    </w:p>
    <w:p>
      <w:pPr>
        <w:pStyle w:val="Heading2"/>
      </w:pPr>
      <w:r>
        <w:t>2.5 Notifications</w:t>
      </w:r>
    </w:p>
    <w:p>
      <w:pPr>
        <w:spacing w:after="120"/>
      </w:pPr>
      <w:r>
        <w:t xml:space="preserve">L'icône en forme de cloche dans l'en-tête supérieur affiche un badge rouge avec votre nombre de notifications non lues (affichant « 9+ » au-delà de neuf). Cliquez sur la cloche pour ouvrir un menu déroulant présentant vos notifications les plus récentes, chacune avec un titre, un texte de détail facultatif et un horodatage ; les non lues sont mises en évidence. Cliquez sur une notification pour la marquer comme lue et, si elle concerne un enregistrement précis, y accéder directement. Cliquez sur </w:t>
      </w:r>
      <w:r>
        <w:rPr>
          <w:b/>
        </w:rPr>
        <w:t>Tout marquer comme lu</w:t>
      </w:r>
      <w:r>
        <w:t xml:space="preserve"> pour effacer toute la liste d'un coup.</w:t>
      </w:r>
    </w:p>
    <w:p>
      <w:pPr>
        <w:spacing w:before="80" w:after="160"/>
        <w:ind w:left="504"/>
        <w:shd w:fill="EEF3FA"/>
        <w:pBdr>
          <w:left w:val="single" w:sz="18" w:space="8" w:color="2E5F8A"/>
        </w:pBdr>
      </w:pPr>
      <w:r>
        <w:rPr>
          <w:b/>
          <w:i/>
        </w:rPr>
        <w:t>Remarque</w:t>
      </w:r>
      <w:r>
        <w:rPr>
          <w:i/>
        </w:rPr>
        <w:t xml:space="preserve"> : dans la version actuelle de l'interface, le titre « Notifications » et le lien « Tout marquer comme lu » de ce menu déroulant sont écrits directement en anglais dans le code de la page plutôt que gérés par le système de traduction — ils ne changent donc pas lorsque vous basculez la langue de l'interface en français. Il s'agit d'une particularité connue de l'interface actuelle, pas d'une erreur de votre part.</w:t>
      </w:r>
    </w:p>
    <w:p>
      <w:pPr>
        <w:spacing w:after="120"/>
      </w:pPr>
      <w:r>
        <w:t xml:space="preserve">Les notifications sont générées automatiquement par la plateforme pour des événements tels qu'une nouvelle correspondance d'expert à score élevé, de nouvelles opportunités détectées, et des rappels de tâches/réunions/jalons/échéances à venir. Il n'existe aucun paramètre dans l'application permettant à un administrateur de configurer *quels* événements génèrent une notification, ni de contrôler la synthèse quotidienne facultative par e-mail — il s'agit d'une étape de configuration unique effectuée en dehors de l'application par la personne qui déploie la plateforme (voir la remarque </w:t>
      </w:r>
      <w:r>
        <w:rPr>
          <w:b/>
          <w:i/>
          <w:color w:val="B54A00"/>
        </w:rPr>
        <w:t>[À CONFIRMER]</w:t>
      </w:r>
      <w:r>
        <w:t xml:space="preserve"> à la Section 6). Cette cloche sert uniquement à consulter et à traiter les notifications déjà reçues.</w:t>
      </w:r>
    </w:p>
    <w:p>
      <w:pPr>
        <w:spacing w:before="120" w:after="200"/>
        <w:pBdr>
          <w:bottom w:val="single" w:sz="8" w:space="1" w:color="9DC3E6"/>
        </w:pBdr>
      </w:pPr>
    </w:p>
    <w:p>
      <w:pPr>
        <w:pStyle w:val="Heading1"/>
      </w:pPr>
      <w:r>
        <w:t>3. Fonctions de l'administrateur</w:t>
      </w:r>
    </w:p>
    <w:p>
      <w:pPr>
        <w:pStyle w:val="Heading2"/>
      </w:pPr>
      <w:r>
        <w:t>3.1 Gestion des utilisateurs</w:t>
      </w:r>
    </w:p>
    <w:p>
      <w:pPr>
        <w:spacing w:after="120"/>
      </w:pPr>
      <w:r>
        <w:rPr>
          <w:b/>
        </w:rPr>
        <w:t>Ce que cela fait</w:t>
      </w:r>
      <w:r>
        <w:t xml:space="preserve"> : permet à un administrateur d'inviter de nouveaux comptes, de modifier le rôle d'un utilisateur, et d'activer, désactiver ou supprimer définitivement des comptes.</w:t>
      </w:r>
    </w:p>
    <w:p>
      <w:pPr>
        <w:spacing w:after="120"/>
      </w:pPr>
      <w:r>
        <w:rPr>
          <w:b/>
        </w:rPr>
        <w:t>Quand l'utiliser</w:t>
      </w:r>
      <w:r>
        <w:t xml:space="preserve"> : chaque fois qu'un membre du personnel rejoint l'organisation, la quitte, ou doit voir son niveau d'accès modifié, ou pour examiner qui dispose actuellement d'un accès.</w:t>
      </w:r>
    </w:p>
    <w:p>
      <w:pPr>
        <w:spacing w:after="120"/>
      </w:pPr>
      <w:r>
        <w:rPr>
          <w:b/>
        </w:rPr>
        <w:t>Prérequis</w:t>
      </w:r>
      <w:r>
        <w:t xml:space="preserve"> : rôle Administrateur. Ouvrez </w:t>
      </w:r>
      <w:r>
        <w:rPr>
          <w:b/>
        </w:rPr>
        <w:t>Utilisateurs</w:t>
      </w:r>
      <w:r>
        <w:t xml:space="preserve"> dans le groupe Administration de la barre latérale.</w:t>
      </w:r>
    </w:p>
    <w:p>
      <w:pPr>
        <w:spacing w:after="120"/>
      </w:pPr>
      <w:r>
        <w:t xml:space="preserve">La page Utilisateurs répertorie tous les comptes avec les colonnes </w:t>
      </w:r>
      <w:r>
        <w:rPr>
          <w:b/>
        </w:rPr>
        <w:t>Utilisateur</w:t>
      </w:r>
      <w:r>
        <w:t xml:space="preserve"> (nom et e-mail), </w:t>
      </w:r>
      <w:r>
        <w:rPr>
          <w:b/>
        </w:rPr>
        <w:t>Rôle</w:t>
      </w:r>
      <w:r>
        <w:t xml:space="preserve">, </w:t>
      </w:r>
      <w:r>
        <w:rPr>
          <w:b/>
        </w:rPr>
        <w:t>Statut</w:t>
      </w:r>
      <w:r>
        <w:t xml:space="preserve">, date de </w:t>
      </w:r>
      <w:r>
        <w:rPr>
          <w:b/>
        </w:rPr>
        <w:t>Création</w:t>
      </w:r>
      <w:r>
        <w:t xml:space="preserve"> et </w:t>
      </w:r>
      <w:r>
        <w:rPr>
          <w:b/>
        </w:rPr>
        <w:t>Actions</w:t>
      </w:r>
      <w:r>
        <w:t>. Une bannière en haut de page affiche en permanence le nombre actuel de comptes administrateurs.</w:t>
      </w:r>
    </w:p>
    <w:p>
      <w:pPr>
        <w:pStyle w:val="Heading3"/>
      </w:pPr>
      <w:r>
        <w:t>3.1.1 Inviter un nouvel utilisateur</w:t>
      </w:r>
    </w:p>
    <w:p>
      <w:pPr>
        <w:spacing w:after="60"/>
        <w:ind w:left="432" w:hanging="432"/>
      </w:pPr>
      <w:r>
        <w:rPr>
          <w:b/>
        </w:rPr>
        <w:t>1.</w:t>
        <w:tab/>
      </w:r>
      <w:r>
        <w:t xml:space="preserve">Cliquez sur </w:t>
      </w:r>
      <w:r>
        <w:rPr>
          <w:b/>
        </w:rPr>
        <w:t>+ Inviter un utilisateur</w:t>
      </w:r>
      <w:r>
        <w:t>.</w:t>
      </w:r>
    </w:p>
    <w:p>
      <w:pPr>
        <w:spacing w:after="60"/>
        <w:ind w:left="432" w:hanging="432"/>
      </w:pPr>
      <w:r>
        <w:rPr>
          <w:b/>
        </w:rPr>
        <w:t>2.</w:t>
        <w:tab/>
      </w:r>
      <w:r>
        <w:t xml:space="preserve">Dans la boîte de dialogue </w:t>
      </w:r>
      <w:r>
        <w:rPr>
          <w:b/>
        </w:rPr>
        <w:t>Ajouter un nouvel utilisateur</w:t>
      </w:r>
      <w:r>
        <w:t xml:space="preserve">, saisissez le </w:t>
      </w:r>
      <w:r>
        <w:rPr>
          <w:b/>
        </w:rPr>
        <w:t>Nom complet</w:t>
      </w:r>
      <w:r>
        <w:t xml:space="preserve"> de la personne (facultatif) et son </w:t>
      </w:r>
      <w:r>
        <w:rPr>
          <w:b/>
        </w:rPr>
        <w:t>Adresse e-mail</w:t>
      </w:r>
      <w:r>
        <w:t xml:space="preserve"> (obligatoire).</w:t>
      </w:r>
    </w:p>
    <w:p>
      <w:pPr>
        <w:spacing w:after="60"/>
        <w:ind w:left="432" w:hanging="432"/>
      </w:pPr>
      <w:r>
        <w:rPr>
          <w:b/>
        </w:rPr>
        <w:t>3.</w:t>
        <w:tab/>
      </w:r>
      <w:r>
        <w:t xml:space="preserve">Choisissez un </w:t>
      </w:r>
      <w:r>
        <w:rPr>
          <w:b/>
        </w:rPr>
        <w:t>Rôle</w:t>
      </w:r>
      <w:r>
        <w:t xml:space="preserve"> : </w:t>
      </w:r>
      <w:r>
        <w:rPr>
          <w:b/>
        </w:rPr>
        <w:t>Lecteur</w:t>
      </w:r>
      <w:r>
        <w:t xml:space="preserve"> (par défaut) ou </w:t>
      </w:r>
      <w:r>
        <w:rPr>
          <w:b/>
        </w:rPr>
        <w:t>Administrateur</w:t>
      </w:r>
      <w:r>
        <w:t>.</w:t>
      </w:r>
    </w:p>
    <w:p>
      <w:pPr>
        <w:spacing w:after="60"/>
        <w:ind w:left="432" w:hanging="432"/>
      </w:pPr>
      <w:r>
        <w:rPr>
          <w:b/>
        </w:rPr>
        <w:t>4.</w:t>
        <w:tab/>
      </w:r>
      <w:r>
        <w:t xml:space="preserve">Cliquez sur </w:t>
      </w:r>
      <w:r>
        <w:rPr>
          <w:b/>
        </w:rPr>
        <w:t>Créer le compte</w:t>
      </w:r>
      <w:r>
        <w:t>.</w:t>
      </w:r>
    </w:p>
    <w:p>
      <w:pPr>
        <w:spacing w:after="120"/>
      </w:pPr>
      <w:r>
        <w:rPr>
          <w:b/>
        </w:rPr>
        <w:t>Résultat attendu</w:t>
      </w:r>
      <w:r>
        <w:t xml:space="preserve"> : la boîte de dialogue affiche un écran de confirmation « Compte créé » montrant l'e-mail du nouvel utilisateur et un </w:t>
      </w:r>
      <w:r>
        <w:rPr>
          <w:b/>
        </w:rPr>
        <w:t>mot de passe temporaire généré par le système</w:t>
      </w:r>
      <w:r>
        <w:t xml:space="preserve">, avec un bouton de </w:t>
      </w:r>
      <w:r>
        <w:rPr>
          <w:b/>
        </w:rPr>
        <w:t>copie dans le presse-papiers</w:t>
      </w:r>
      <w:r>
        <w:t xml:space="preserve">. Cliquez sur </w:t>
      </w:r>
      <w:r>
        <w:rPr>
          <w:b/>
        </w:rPr>
        <w:t>Terminé</w:t>
      </w:r>
      <w:r>
        <w:t xml:space="preserve"> pour fermer.</w:t>
      </w:r>
    </w:p>
    <w:p>
      <w:pPr>
        <w:spacing w:before="80" w:after="160"/>
        <w:ind w:left="504"/>
        <w:shd w:fill="EEF3FA"/>
        <w:pBdr>
          <w:left w:val="single" w:sz="18" w:space="8" w:color="2E5F8A"/>
        </w:pBdr>
      </w:pPr>
      <w:r>
        <w:rPr>
          <w:b/>
          <w:i/>
        </w:rPr>
        <w:t>Important</w:t>
      </w:r>
      <w:r>
        <w:rPr>
          <w:i/>
        </w:rPr>
        <w:t xml:space="preserve"> : la plateforme n'envoie </w:t>
      </w:r>
      <w:r>
        <w:rPr>
          <w:b/>
          <w:i/>
        </w:rPr>
        <w:t>pas</w:t>
      </w:r>
      <w:r>
        <w:rPr>
          <w:i/>
        </w:rPr>
        <w:t xml:space="preserve"> automatiquement ces identifiants au nouvel utilisateur par e-mail, et le compte est actif immédiatement, sans étape de confirmation par e-mail. Vous devez copier l'e-mail et le mot de passe temporaire puis les transmettre vous-même au nouvel utilisateur (par exemple, via un message sécurisé). Indiquez-lui qu'il peut modifier son mot de passe à tout moment ensuite en utilisant </w:t>
      </w:r>
      <w:r>
        <w:rPr>
          <w:b/>
          <w:i/>
        </w:rPr>
        <w:t>Mot de passe oublié ?</w:t>
      </w:r>
      <w:r>
        <w:rPr>
          <w:i/>
        </w:rPr>
        <w:t xml:space="preserve"> sur la page de connexion.</w:t>
      </w:r>
    </w:p>
    <w:p>
      <w:pPr>
        <w:pStyle w:val="Heading3"/>
      </w:pPr>
      <w:r>
        <w:t>3.1.2 Modifier le rôle d'un utilisateur</w:t>
      </w:r>
    </w:p>
    <w:p>
      <w:pPr>
        <w:spacing w:after="60"/>
        <w:ind w:left="432" w:hanging="432"/>
      </w:pPr>
      <w:r>
        <w:rPr>
          <w:b/>
        </w:rPr>
        <w:t>1.</w:t>
        <w:tab/>
      </w:r>
      <w:r>
        <w:t>Sur la page Utilisateurs, repérez la ligne de la personne concernée.</w:t>
      </w:r>
    </w:p>
    <w:p>
      <w:pPr>
        <w:spacing w:after="60"/>
        <w:ind w:left="432" w:hanging="432"/>
      </w:pPr>
      <w:r>
        <w:rPr>
          <w:b/>
        </w:rPr>
        <w:t>2.</w:t>
        <w:tab/>
      </w:r>
      <w:r>
        <w:t xml:space="preserve">Dans la colonne </w:t>
      </w:r>
      <w:r>
        <w:rPr>
          <w:b/>
        </w:rPr>
        <w:t>Rôle</w:t>
      </w:r>
      <w:r>
        <w:t xml:space="preserve">, choisissez </w:t>
      </w:r>
      <w:r>
        <w:rPr>
          <w:b/>
        </w:rPr>
        <w:t>Lecteur</w:t>
      </w:r>
      <w:r>
        <w:t xml:space="preserve"> ou </w:t>
      </w:r>
      <w:r>
        <w:rPr>
          <w:b/>
        </w:rPr>
        <w:t>Administrateur</w:t>
      </w:r>
      <w:r>
        <w:t xml:space="preserve"> dans le menu déroulant.</w:t>
      </w:r>
    </w:p>
    <w:p>
      <w:pPr>
        <w:spacing w:after="120"/>
      </w:pPr>
      <w:r>
        <w:rPr>
          <w:b/>
        </w:rPr>
        <w:t>Résultat attendu</w:t>
      </w:r>
      <w:r>
        <w:t xml:space="preserve"> : le changement est enregistré immédiatement (il n'y a ni bouton Enregistrer séparé ni confirmation demandée) et un bref message de confirmation s'affiche (« *e-mail* est maintenant *rôle*. »). Le changement est consigné dans le Journal d'audit.</w:t>
      </w:r>
    </w:p>
    <w:p>
      <w:pPr>
        <w:spacing w:before="80" w:after="160"/>
        <w:ind w:left="504"/>
        <w:shd w:fill="EEF3FA"/>
        <w:pBdr>
          <w:left w:val="single" w:sz="18" w:space="8" w:color="2E5F8A"/>
        </w:pBdr>
      </w:pPr>
      <w:r>
        <w:rPr>
          <w:b/>
          <w:i/>
        </w:rPr>
        <w:t>Remarque</w:t>
      </w:r>
      <w:r>
        <w:rPr>
          <w:i/>
        </w:rPr>
        <w:t xml:space="preserve"> : vous ne pouvez pas modifier votre propre rôle depuis cet écran — le menu déroulant sur votre propre ligne est désactivé, avec l'infobulle « Vous ne pouvez pas modifier votre propre rôle ». Cela évite qu'un administrateur ne se verrouille accidentellement lui-même hors du système.</w:t>
      </w:r>
    </w:p>
    <w:p>
      <w:pPr>
        <w:pStyle w:val="Heading3"/>
      </w:pPr>
      <w:r>
        <w:t>3.1.3 Désactiver ou réactiver un utilisateur</w:t>
      </w:r>
    </w:p>
    <w:p>
      <w:pPr>
        <w:spacing w:after="60"/>
        <w:ind w:left="432" w:hanging="432"/>
      </w:pPr>
      <w:r>
        <w:rPr>
          <w:b/>
        </w:rPr>
        <w:t>1.</w:t>
        <w:tab/>
      </w:r>
      <w:r>
        <w:t>Sur la page Utilisateurs, repérez la ligne de la personne concernée.</w:t>
      </w:r>
    </w:p>
    <w:p>
      <w:pPr>
        <w:spacing w:after="60"/>
        <w:ind w:left="432" w:hanging="432"/>
      </w:pPr>
      <w:r>
        <w:rPr>
          <w:b/>
        </w:rPr>
        <w:t>2.</w:t>
        <w:tab/>
      </w:r>
      <w:r>
        <w:t xml:space="preserve">Cliquez sur </w:t>
      </w:r>
      <w:r>
        <w:rPr>
          <w:b/>
        </w:rPr>
        <w:t>Désactiver</w:t>
      </w:r>
      <w:r>
        <w:t xml:space="preserve"> (si le compte est actuellement actif) ou </w:t>
      </w:r>
      <w:r>
        <w:rPr>
          <w:b/>
        </w:rPr>
        <w:t>Activer</w:t>
      </w:r>
      <w:r>
        <w:t xml:space="preserve"> (s'il est actuellement inactif) dans la colonne Actions.</w:t>
      </w:r>
    </w:p>
    <w:p>
      <w:pPr>
        <w:spacing w:after="120"/>
      </w:pPr>
      <w:r>
        <w:rPr>
          <w:b/>
        </w:rPr>
        <w:t>Résultat attendu</w:t>
      </w:r>
      <w:r>
        <w:t xml:space="preserve"> : le changement s'applique immédiatement sans confirmation demandée, et est consigné dans le Journal d'audit. </w:t>
      </w:r>
      <w:r>
        <w:rPr>
          <w:b/>
          <w:i/>
          <w:color w:val="B54A00"/>
        </w:rPr>
        <w:t>[À CONFIRMER : il n'a pas été possible de confirmer, à partir du seul code de l'interface, si la désactivation d'un utilisateur l'empêche réellement de se connecter, ou si elle se contente de le retirer des décomptes d'utilisateurs actifs et des affichages du vivier/de l'équipe. Si votre organisation compte sur Désactiver comme mesure de sécurité pour bloquer un accès, vérifiez ce point explicitement avec votre administrateur technique avant de vous y fier.]</w:t>
      </w:r>
    </w:p>
    <w:p>
      <w:pPr>
        <w:pStyle w:val="Heading3"/>
      </w:pPr>
      <w:r>
        <w:t>3.1.4 Supprimer un utilisateur</w:t>
      </w:r>
    </w:p>
    <w:p>
      <w:pPr>
        <w:spacing w:after="120"/>
      </w:pPr>
      <w:r>
        <w:t>La suppression est définitive et ne peut pas être annulée — utilisez plutôt Désactiver (3.1.3) si vous pourriez avoir besoin de rétablir l'accès plus tard.</w:t>
      </w:r>
    </w:p>
    <w:p>
      <w:pPr>
        <w:spacing w:after="60"/>
        <w:ind w:left="432" w:hanging="432"/>
      </w:pPr>
      <w:r>
        <w:rPr>
          <w:b/>
        </w:rPr>
        <w:t>1.</w:t>
        <w:tab/>
      </w:r>
      <w:r>
        <w:t xml:space="preserve">Sur la page Utilisateurs, repérez la ligne de la personne concernée et cliquez sur </w:t>
      </w:r>
      <w:r>
        <w:rPr>
          <w:b/>
        </w:rPr>
        <w:t>Supprimer</w:t>
      </w:r>
      <w:r>
        <w:t>.</w:t>
      </w:r>
    </w:p>
    <w:p>
      <w:pPr>
        <w:spacing w:after="60"/>
        <w:ind w:left="432" w:hanging="432"/>
      </w:pPr>
      <w:r>
        <w:rPr>
          <w:b/>
        </w:rPr>
        <w:t>2.</w:t>
        <w:tab/>
      </w:r>
      <w:r>
        <w:t xml:space="preserve">Une boîte de dialogue de confirmation intitulée </w:t>
      </w:r>
      <w:r>
        <w:rPr>
          <w:b/>
        </w:rPr>
        <w:t>Supprimer l'utilisateur ?</w:t>
      </w:r>
      <w:r>
        <w:t xml:space="preserve"> apparaît, indiquant le nom et l'e-mail du compte ainsi qu'un avertissement précisant que l'action est irréversible.</w:t>
      </w:r>
    </w:p>
    <w:p>
      <w:pPr>
        <w:spacing w:after="60"/>
        <w:ind w:left="432" w:hanging="432"/>
      </w:pPr>
      <w:r>
        <w:rPr>
          <w:b/>
        </w:rPr>
        <w:t>3.</w:t>
        <w:tab/>
      </w:r>
      <w:r>
        <w:t xml:space="preserve">Cliquez sur </w:t>
      </w:r>
      <w:r>
        <w:rPr>
          <w:b/>
        </w:rPr>
        <w:t>Supprimer définitivement</w:t>
      </w:r>
      <w:r>
        <w:t xml:space="preserve"> pour confirmer, ou </w:t>
      </w:r>
      <w:r>
        <w:rPr>
          <w:b/>
        </w:rPr>
        <w:t>Annuler</w:t>
      </w:r>
      <w:r>
        <w:t xml:space="preserve"> pour revenir en arrière.</w:t>
      </w:r>
    </w:p>
    <w:p>
      <w:pPr>
        <w:spacing w:after="120"/>
      </w:pPr>
      <w:r>
        <w:rPr>
          <w:b/>
        </w:rPr>
        <w:t>Résultat attendu</w:t>
      </w:r>
      <w:r>
        <w:t xml:space="preserve"> : le compte, son affectation de rôle et son profil sont supprimés définitivement. Vous ne pouvez pas supprimer votre propre compte — le bouton Supprimer est désactivé sur votre propre ligne, avec l'infobulle « Vous ne pouvez pas supprimer votre propre compte ».</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page Utilisateurs avec la boîte de dialogue Inviter un utilisateur ouverte et l'écran de confirmation Compte créé</w:t>
      </w:r>
    </w:p>
    <w:p>
      <w:pPr>
        <w:spacing w:before="120" w:after="200"/>
        <w:pBdr>
          <w:bottom w:val="single" w:sz="8" w:space="1" w:color="9DC3E6"/>
        </w:pBdr>
      </w:pPr>
    </w:p>
    <w:p>
      <w:pPr>
        <w:pStyle w:val="Heading2"/>
      </w:pPr>
      <w:r>
        <w:t>3.2 Rôles &amp; permissions</w:t>
      </w:r>
    </w:p>
    <w:p>
      <w:pPr>
        <w:spacing w:after="120"/>
      </w:pPr>
      <w:r>
        <w:rPr>
          <w:b/>
        </w:rPr>
        <w:t>Ce que cela fait</w:t>
      </w:r>
      <w:r>
        <w:t xml:space="preserve"> : présente côte à côte les deux rôles de la plateforme (Administrateur, Lecteur) et permet d'ajuster finement les permissions accordées au rôle Lecteur.</w:t>
      </w:r>
    </w:p>
    <w:p>
      <w:pPr>
        <w:spacing w:after="120"/>
      </w:pPr>
      <w:r>
        <w:rPr>
          <w:b/>
        </w:rPr>
        <w:t>Quand l'utiliser</w:t>
      </w:r>
      <w:r>
        <w:t xml:space="preserve"> : si vous devez accorder aux Lecteurs l'accès à une capacité précise qu'ils n'ont pas actuellement (par exemple, leur permettre de télécharger les CV des experts) sans les promouvoir au rôle Administrateur.</w:t>
      </w:r>
    </w:p>
    <w:p>
      <w:pPr>
        <w:spacing w:after="120"/>
      </w:pPr>
      <w:r>
        <w:rPr>
          <w:b/>
        </w:rPr>
        <w:t>Prérequis</w:t>
      </w:r>
      <w:r>
        <w:t xml:space="preserve"> : rôle Administrateur. Ouvrez </w:t>
      </w:r>
      <w:r>
        <w:rPr>
          <w:b/>
        </w:rPr>
        <w:t>Rôles &amp; permissions</w:t>
      </w:r>
      <w:r>
        <w:t xml:space="preserve"> dans le groupe Administration.</w:t>
      </w:r>
    </w:p>
    <w:p>
      <w:pPr>
        <w:spacing w:after="60"/>
        <w:ind w:left="432" w:hanging="432"/>
      </w:pPr>
      <w:r>
        <w:rPr>
          <w:b/>
        </w:rPr>
        <w:t>1.</w:t>
        <w:tab/>
      </w:r>
      <w:r>
        <w:t xml:space="preserve">Ouvrez la page </w:t>
      </w:r>
      <w:r>
        <w:rPr>
          <w:b/>
        </w:rPr>
        <w:t>Rôles &amp; permissions</w:t>
      </w:r>
      <w:r>
        <w:t xml:space="preserve">. Deux cartes s'affichent : </w:t>
      </w:r>
      <w:r>
        <w:rPr>
          <w:b/>
        </w:rPr>
        <w:t>Admin</w:t>
      </w:r>
      <w:r>
        <w:t xml:space="preserve"> et </w:t>
      </w:r>
      <w:r>
        <w:rPr>
          <w:b/>
        </w:rPr>
        <w:t>Lecteur</w:t>
      </w:r>
      <w:r>
        <w:t>.</w:t>
      </w:r>
    </w:p>
    <w:p>
      <w:pPr>
        <w:spacing w:after="60"/>
        <w:ind w:left="432" w:hanging="432"/>
      </w:pPr>
      <w:r>
        <w:rPr>
          <w:b/>
        </w:rPr>
        <w:t>2.</w:t>
        <w:tab/>
      </w:r>
      <w:r>
        <w:t xml:space="preserve">Les cases à cocher de la carte Admin sont affichées à titre de référence uniquement et ne peuvent pas être modifiées — l'Administrateur dispose toujours d'un accès complet, marqué </w:t>
      </w:r>
      <w:r>
        <w:rPr>
          <w:b/>
        </w:rPr>
        <w:t>Accès complet</w:t>
      </w:r>
      <w:r>
        <w:t>.</w:t>
      </w:r>
    </w:p>
    <w:p>
      <w:pPr>
        <w:spacing w:after="60"/>
        <w:ind w:left="432" w:hanging="432"/>
      </w:pPr>
      <w:r>
        <w:rPr>
          <w:b/>
        </w:rPr>
        <w:t>3.</w:t>
        <w:tab/>
      </w:r>
      <w:r>
        <w:t xml:space="preserve">Sur la carte </w:t>
      </w:r>
      <w:r>
        <w:rPr>
          <w:b/>
        </w:rPr>
        <w:t>Lecteur</w:t>
      </w:r>
      <w:r>
        <w:t xml:space="preserve">, cochez ou décochez chaque permission individuelle (par exemple, </w:t>
      </w:r>
      <w:r>
        <w:rPr>
          <w:rFonts w:ascii="Consolas" w:hAnsi="Consolas"/>
          <w:color w:val="C02626"/>
          <w:sz w:val="20"/>
        </w:rPr>
        <w:t>experts:read</w:t>
      </w:r>
      <w:r>
        <w:t xml:space="preserve">, </w:t>
      </w:r>
      <w:r>
        <w:rPr>
          <w:rFonts w:ascii="Consolas" w:hAnsi="Consolas"/>
          <w:color w:val="C02626"/>
          <w:sz w:val="20"/>
        </w:rPr>
        <w:t>experts:write</w:t>
      </w:r>
      <w:r>
        <w:t xml:space="preserve">, </w:t>
      </w:r>
      <w:r>
        <w:rPr>
          <w:rFonts w:ascii="Consolas" w:hAnsi="Consolas"/>
          <w:color w:val="C02626"/>
          <w:sz w:val="20"/>
        </w:rPr>
        <w:t>experts:delete</w:t>
      </w:r>
      <w:r>
        <w:t xml:space="preserve">, </w:t>
      </w:r>
      <w:r>
        <w:rPr>
          <w:rFonts w:ascii="Consolas" w:hAnsi="Consolas"/>
          <w:color w:val="C02626"/>
          <w:sz w:val="20"/>
        </w:rPr>
        <w:t>experts:activate</w:t>
      </w:r>
      <w:r>
        <w:t xml:space="preserve">, </w:t>
      </w:r>
      <w:r>
        <w:rPr>
          <w:rFonts w:ascii="Consolas" w:hAnsi="Consolas"/>
          <w:color w:val="C02626"/>
          <w:sz w:val="20"/>
        </w:rPr>
        <w:t>users:read</w:t>
      </w:r>
      <w:r>
        <w:t xml:space="preserve">, </w:t>
      </w:r>
      <w:r>
        <w:rPr>
          <w:rFonts w:ascii="Consolas" w:hAnsi="Consolas"/>
          <w:color w:val="C02626"/>
          <w:sz w:val="20"/>
        </w:rPr>
        <w:t>users:write</w:t>
      </w:r>
      <w:r>
        <w:t xml:space="preserve">, </w:t>
      </w:r>
      <w:r>
        <w:rPr>
          <w:rFonts w:ascii="Consolas" w:hAnsi="Consolas"/>
          <w:color w:val="C02626"/>
          <w:sz w:val="20"/>
        </w:rPr>
        <w:t>users:activate</w:t>
      </w:r>
      <w:r>
        <w:t xml:space="preserve">, </w:t>
      </w:r>
      <w:r>
        <w:rPr>
          <w:rFonts w:ascii="Consolas" w:hAnsi="Consolas"/>
          <w:color w:val="C02626"/>
          <w:sz w:val="20"/>
        </w:rPr>
        <w:t>roles:manage</w:t>
      </w:r>
      <w:r>
        <w:t xml:space="preserve">, </w:t>
      </w:r>
      <w:r>
        <w:rPr>
          <w:rFonts w:ascii="Consolas" w:hAnsi="Consolas"/>
          <w:color w:val="C02626"/>
          <w:sz w:val="20"/>
        </w:rPr>
        <w:t>permissions:manage</w:t>
      </w:r>
      <w:r>
        <w:t xml:space="preserve">, </w:t>
      </w:r>
      <w:r>
        <w:rPr>
          <w:rFonts w:ascii="Consolas" w:hAnsi="Consolas"/>
          <w:color w:val="C02626"/>
          <w:sz w:val="20"/>
        </w:rPr>
        <w:t>audit:read</w:t>
      </w:r>
      <w:r>
        <w:t xml:space="preserve">, </w:t>
      </w:r>
      <w:r>
        <w:rPr>
          <w:rFonts w:ascii="Consolas" w:hAnsi="Consolas"/>
          <w:color w:val="C02626"/>
          <w:sz w:val="20"/>
        </w:rPr>
        <w:t>cvs:download</w:t>
      </w:r>
      <w:r>
        <w:t xml:space="preserve"> — chacune accompagnée d'une description en langage clair). Par défaut, le Lecteur ne dispose que de « Voir les profils d'experts et le vivier » (</w:t>
      </w:r>
      <w:r>
        <w:rPr>
          <w:rFonts w:ascii="Consolas" w:hAnsi="Consolas"/>
          <w:color w:val="C02626"/>
          <w:sz w:val="20"/>
        </w:rPr>
        <w:t>experts:read</w:t>
      </w:r>
      <w:r>
        <w:t>) et « Télécharger les documents CV des experts » (</w:t>
      </w:r>
      <w:r>
        <w:rPr>
          <w:rFonts w:ascii="Consolas" w:hAnsi="Consolas"/>
          <w:color w:val="C02626"/>
          <w:sz w:val="20"/>
        </w:rPr>
        <w:t>cvs:download</w:t>
      </w:r>
      <w:r>
        <w:t>).</w:t>
      </w:r>
    </w:p>
    <w:p>
      <w:pPr>
        <w:spacing w:after="60"/>
        <w:ind w:left="432" w:hanging="432"/>
      </w:pPr>
      <w:r>
        <w:rPr>
          <w:b/>
        </w:rPr>
        <w:t>4.</w:t>
        <w:tab/>
      </w:r>
      <w:r>
        <w:t xml:space="preserve">Cliquez sur </w:t>
      </w:r>
      <w:r>
        <w:rPr>
          <w:b/>
        </w:rPr>
        <w:t>Enregistrer les modifications</w:t>
      </w:r>
      <w:r>
        <w:t xml:space="preserve"> sur la carte Lecteur.</w:t>
      </w:r>
    </w:p>
    <w:p>
      <w:pPr>
        <w:spacing w:after="120"/>
      </w:pPr>
      <w:r>
        <w:rPr>
          <w:b/>
        </w:rPr>
        <w:t>Résultat attendu</w:t>
      </w:r>
      <w:r>
        <w:t xml:space="preserve"> : une brève confirmation « Enregistré ✓ » s'affiche à côté du bouton, et le changement est consigné dans le Journal d'audit. Les modifications s'appliquent immédiatement à tous les comptes Lecteur.</w:t>
      </w:r>
    </w:p>
    <w:p>
      <w:pPr>
        <w:spacing w:before="80" w:after="160"/>
        <w:ind w:left="504"/>
        <w:shd w:fill="EEF3FA"/>
        <w:pBdr>
          <w:left w:val="single" w:sz="18" w:space="8" w:color="2E5F8A"/>
        </w:pBdr>
      </w:pPr>
      <w:r>
        <w:rPr>
          <w:b/>
          <w:i/>
        </w:rPr>
        <w:t>Réserve importante</w:t>
      </w:r>
      <w:r>
        <w:rPr>
          <w:i/>
        </w:rPr>
        <w:t xml:space="preserve"> : </w:t>
      </w:r>
      <w:r>
        <w:rPr>
          <w:b/>
          <w:i/>
          <w:color w:val="B54A00"/>
        </w:rPr>
        <w:t>[À CONFIRMER]</w:t>
      </w:r>
      <w:r>
        <w:rPr>
          <w:i/>
        </w:rPr>
        <w:t xml:space="preserve"> cette recherche a pu confirmer que l'écran Rôles &amp; permissions enregistre correctement ces permissions détaillées en base de données, mais n'a </w:t>
      </w:r>
      <w:r>
        <w:rPr>
          <w:b/>
          <w:i/>
        </w:rPr>
        <w:t>pas</w:t>
      </w:r>
      <w:r>
        <w:rPr>
          <w:i/>
        </w:rPr>
        <w:t xml:space="preserve"> pu confirmer que chaque page d'administration les vérifie effectivement avant d'afficher une action (par exemple, si décocher </w:t>
      </w:r>
      <w:r>
        <w:rPr>
          <w:rFonts w:ascii="Consolas" w:hAnsi="Consolas"/>
          <w:i/>
          <w:color w:val="C02626"/>
          <w:sz w:val="20"/>
        </w:rPr>
        <w:t>experts:delete</w:t>
      </w:r>
      <w:r>
        <w:rPr>
          <w:i/>
        </w:rPr>
        <w:t xml:space="preserve"> masque réellement le bouton Supprimer pour les Lecteurs sur la page Experts, sachant que les Lecteurs ne peuvent de toute façon accéder à aucune page d'administration comme Experts, sous l'effet de la restriction générale Admin/Lecteur décrite en Section 2.2). Considérez cet écran comme configurant un *enregistrement* de permission, et vérifiez auprès de votre administrateur technique si une partie de l'application applique effectivement ce contrôle au-delà de la vérification générale Admin/Lecteur au niveau des pages.</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page Rôles &amp; permissions montrant les cartes Admin et Lecteur</w:t>
      </w:r>
    </w:p>
    <w:p>
      <w:pPr>
        <w:spacing w:before="120" w:after="200"/>
        <w:pBdr>
          <w:bottom w:val="single" w:sz="8" w:space="1" w:color="9DC3E6"/>
        </w:pBdr>
      </w:pPr>
    </w:p>
    <w:p>
      <w:pPr>
        <w:pStyle w:val="Heading2"/>
      </w:pPr>
      <w:r>
        <w:t>3.3 Journaux d'audit</w:t>
      </w:r>
    </w:p>
    <w:p>
      <w:pPr>
        <w:spacing w:after="120"/>
      </w:pPr>
      <w:r>
        <w:rPr>
          <w:b/>
        </w:rPr>
        <w:t>Ce que cela fait</w:t>
      </w:r>
      <w:r>
        <w:t xml:space="preserve"> : affiche un historique complet et filtrable des événements liés à la sécurité et aux modifications de données à travers la plateforme — connexions/déconnexions, création/modification/suppression d'enregistrements, changements de rôle, activations, et plus encore.</w:t>
      </w:r>
    </w:p>
    <w:p>
      <w:pPr>
        <w:spacing w:after="120"/>
      </w:pPr>
      <w:r>
        <w:rPr>
          <w:b/>
        </w:rPr>
        <w:t>Quand l'utiliser</w:t>
      </w:r>
      <w:r>
        <w:t xml:space="preserve"> : pour déterminer qui a effectué une modification précise, quand, et à quoi ressemblait l'enregistrement avant et après ; pour une revue de sécurité générale.</w:t>
      </w:r>
    </w:p>
    <w:p>
      <w:pPr>
        <w:spacing w:after="120"/>
      </w:pPr>
      <w:r>
        <w:rPr>
          <w:b/>
        </w:rPr>
        <w:t>Prérequis</w:t>
      </w:r>
      <w:r>
        <w:t xml:space="preserve"> : rôle Administrateur. Ouvrez </w:t>
      </w:r>
      <w:r>
        <w:rPr>
          <w:b/>
        </w:rPr>
        <w:t>Journaux d'audit</w:t>
      </w:r>
      <w:r>
        <w:t xml:space="preserve"> dans le groupe Administration.</w:t>
      </w:r>
    </w:p>
    <w:p>
      <w:pPr>
        <w:spacing w:after="60"/>
        <w:ind w:left="432" w:hanging="432"/>
      </w:pPr>
      <w:r>
        <w:rPr>
          <w:b/>
        </w:rPr>
        <w:t>1.</w:t>
        <w:tab/>
      </w:r>
      <w:r>
        <w:t xml:space="preserve">Ouvrez </w:t>
      </w:r>
      <w:r>
        <w:rPr>
          <w:b/>
        </w:rPr>
        <w:t>Journaux d'audit</w:t>
      </w:r>
      <w:r>
        <w:t>.</w:t>
      </w:r>
    </w:p>
    <w:p>
      <w:pPr>
        <w:spacing w:after="60"/>
        <w:ind w:left="432" w:hanging="432"/>
      </w:pPr>
      <w:r>
        <w:rPr>
          <w:b/>
        </w:rPr>
        <w:t>2.</w:t>
        <w:tab/>
      </w:r>
      <w:r>
        <w:t xml:space="preserve">Filtrez éventuellement à l'aide des contrôles en haut de page : </w:t>
      </w:r>
      <w:r>
        <w:rPr>
          <w:b/>
        </w:rPr>
        <w:t>Action</w:t>
      </w:r>
      <w:r>
        <w:t xml:space="preserve"> (par ex. LOGIN, CREATE, UPDATE, DELETE, ASSIGN_ROLE, et d'autres), </w:t>
      </w:r>
      <w:r>
        <w:rPr>
          <w:b/>
        </w:rPr>
        <w:t>Type d'entité</w:t>
      </w:r>
      <w:r>
        <w:t xml:space="preserve">, et une recherche libre par </w:t>
      </w:r>
      <w:r>
        <w:rPr>
          <w:b/>
        </w:rPr>
        <w:t>e-mail utilisateur</w:t>
      </w:r>
      <w:r>
        <w:t>.</w:t>
      </w:r>
    </w:p>
    <w:p>
      <w:pPr>
        <w:spacing w:after="60"/>
        <w:ind w:left="432" w:hanging="432"/>
      </w:pPr>
      <w:r>
        <w:rPr>
          <w:b/>
        </w:rPr>
        <w:t>3.</w:t>
        <w:tab/>
      </w:r>
      <w:r>
        <w:t xml:space="preserve">Cliquez sur </w:t>
      </w:r>
      <w:r>
        <w:rPr>
          <w:b/>
        </w:rPr>
        <w:t>Appliquer</w:t>
      </w:r>
      <w:r>
        <w:t xml:space="preserve"> pour exécuter le filtre, ou sur </w:t>
      </w:r>
      <w:r>
        <w:rPr>
          <w:b/>
        </w:rPr>
        <w:t>Réinitialiser</w:t>
      </w:r>
      <w:r>
        <w:t xml:space="preserve"> pour l'effacer.</w:t>
      </w:r>
    </w:p>
    <w:p>
      <w:pPr>
        <w:spacing w:after="60"/>
        <w:ind w:left="432" w:hanging="432"/>
      </w:pPr>
      <w:r>
        <w:rPr>
          <w:b/>
        </w:rPr>
        <w:t>4.</w:t>
        <w:tab/>
      </w:r>
      <w:r>
        <w:t xml:space="preserve">Pour voir exactement ce qui a changé sur une entrée donnée, cliquez sur </w:t>
      </w:r>
      <w:r>
        <w:rPr>
          <w:b/>
        </w:rPr>
        <w:t>voir</w:t>
      </w:r>
      <w:r>
        <w:t xml:space="preserve"> dans sa colonne Détails (présent uniquement sur les lignes ayant enregistré un instantané avant/après). Cela déploie un panneau intégré affichant les </w:t>
      </w:r>
      <w:r>
        <w:rPr>
          <w:b/>
        </w:rPr>
        <w:t>valeurs précédentes</w:t>
      </w:r>
      <w:r>
        <w:t xml:space="preserve"> et les </w:t>
      </w:r>
      <w:r>
        <w:rPr>
          <w:b/>
        </w:rPr>
        <w:t>nouvelles valeurs</w:t>
      </w:r>
      <w:r>
        <w:t xml:space="preserve"> côte à côte, sous une forme lisible.</w:t>
      </w:r>
    </w:p>
    <w:p>
      <w:pPr>
        <w:spacing w:after="60"/>
        <w:ind w:left="432" w:hanging="432"/>
      </w:pPr>
      <w:r>
        <w:rPr>
          <w:b/>
        </w:rPr>
        <w:t>5.</w:t>
        <w:tab/>
      </w:r>
      <w:r>
        <w:t xml:space="preserve">Utilisez </w:t>
      </w:r>
      <w:r>
        <w:rPr>
          <w:b/>
        </w:rPr>
        <w:t>← Précédent</w:t>
      </w:r>
      <w:r>
        <w:t xml:space="preserve"> / </w:t>
      </w:r>
      <w:r>
        <w:rPr>
          <w:b/>
        </w:rPr>
        <w:t>Suivant →</w:t>
      </w:r>
      <w:r>
        <w:t xml:space="preserve"> en bas de page pour parcourir les résultats (50 par page).</w:t>
      </w:r>
    </w:p>
    <w:p>
      <w:pPr>
        <w:spacing w:after="120"/>
      </w:pPr>
      <w:r>
        <w:rPr>
          <w:b/>
        </w:rPr>
        <w:t>Résultat attendu</w:t>
      </w:r>
      <w:r>
        <w:t xml:space="preserve"> : une piste d'audit chronologique et filtrable dans laquelle vous pouvez explorer chaque événement.</w:t>
      </w:r>
    </w:p>
    <w:p>
      <w:pPr>
        <w:spacing w:before="80" w:after="160"/>
        <w:ind w:left="504"/>
        <w:shd w:fill="EEF3FA"/>
        <w:pBdr>
          <w:left w:val="single" w:sz="18" w:space="8" w:color="2E5F8A"/>
        </w:pBdr>
      </w:pPr>
      <w:r>
        <w:rPr>
          <w:b/>
          <w:i/>
        </w:rPr>
        <w:t>Limite connue</w:t>
      </w:r>
      <w:r>
        <w:rPr>
          <w:i/>
        </w:rPr>
        <w:t xml:space="preserve"> : le filtre </w:t>
      </w:r>
      <w:r>
        <w:rPr>
          <w:b/>
          <w:i/>
        </w:rPr>
        <w:t>Type d'entité</w:t>
      </w:r>
      <w:r>
        <w:rPr>
          <w:i/>
        </w:rPr>
        <w:t xml:space="preserve"> ne propose actuellement que Session, Utilisateur, Expert et Rôle — alors que de nombreux autres types d'enregistrements (webhooks, opportunités, contrats, et d'autres encore) sont également journalisés. Si vous ne trouvez pas ce que vous cherchez avec le filtre Type d'entité, effacez-le et appuyez-vous plutôt sur le filtre Action et/ou la recherche par e-mail utilisateur, ou parcourez la liste sans ce filtre.</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page Journaux d'audit avec un panneau développé Valeurs précédentes / Nouvelles valeurs</w:t>
      </w:r>
    </w:p>
    <w:p>
      <w:pPr>
        <w:spacing w:before="120" w:after="200"/>
        <w:pBdr>
          <w:bottom w:val="single" w:sz="8" w:space="1" w:color="9DC3E6"/>
        </w:pBdr>
      </w:pPr>
    </w:p>
    <w:p>
      <w:pPr>
        <w:pStyle w:val="Heading2"/>
      </w:pPr>
      <w:r>
        <w:t>3.4 Gestion du vivier d'experts</w:t>
      </w:r>
    </w:p>
    <w:p>
      <w:pPr>
        <w:spacing w:after="120"/>
      </w:pPr>
      <w:r>
        <w:rPr>
          <w:b/>
        </w:rPr>
        <w:t>Ce que cela fait</w:t>
      </w:r>
      <w:r>
        <w:t xml:space="preserve"> : créer, modifier, activer/désactiver et supprimer des fiches dans la base de données d'experts — le « vivier » central sur lequel s'appuient les correspondances et les rapports du reste de la plateforme.</w:t>
      </w:r>
    </w:p>
    <w:p>
      <w:pPr>
        <w:spacing w:after="120"/>
      </w:pPr>
      <w:r>
        <w:rPr>
          <w:b/>
        </w:rPr>
        <w:t>Quand l'utiliser</w:t>
      </w:r>
      <w:r>
        <w:t xml:space="preserve"> : pour intégrer un nouvel expert (y compris via la saisie assistée par IA à partir d'un CV), maintenir les profils à jour, ou supprimer une fiche.</w:t>
      </w:r>
    </w:p>
    <w:p>
      <w:pPr>
        <w:spacing w:after="120"/>
      </w:pPr>
      <w:r>
        <w:rPr>
          <w:b/>
        </w:rPr>
        <w:t>Prérequis</w:t>
      </w:r>
      <w:r>
        <w:t xml:space="preserve"> : rôle Administrateur. Ouvrez </w:t>
      </w:r>
      <w:r>
        <w:rPr>
          <w:b/>
        </w:rPr>
        <w:t>Experts</w:t>
      </w:r>
      <w:r>
        <w:t xml:space="preserve"> dans le groupe Vivier (ou utilisez le raccourci d'ajout rapide </w:t>
      </w:r>
      <w:r>
        <w:rPr>
          <w:b/>
        </w:rPr>
        <w:t>+ Expert</w:t>
      </w:r>
      <w:r>
        <w:t>).</w:t>
      </w:r>
    </w:p>
    <w:p>
      <w:pPr>
        <w:spacing w:after="120"/>
      </w:pPr>
      <w:r>
        <w:t xml:space="preserve">La page Experts répertorie chaque expert avec les colonnes </w:t>
      </w:r>
      <w:r>
        <w:rPr>
          <w:b/>
        </w:rPr>
        <w:t>Nom, Titre, Affiliation, Séniorité, Statut</w:t>
      </w:r>
      <w:r>
        <w:t xml:space="preserve"> et </w:t>
      </w:r>
      <w:r>
        <w:rPr>
          <w:b/>
        </w:rPr>
        <w:t>Actions</w:t>
      </w:r>
      <w:r>
        <w:t xml:space="preserve">. Au-dessus du tableau : un champ de recherche libre, un filtre </w:t>
      </w:r>
      <w:r>
        <w:rPr>
          <w:b/>
        </w:rPr>
        <w:t>Statut</w:t>
      </w:r>
      <w:r>
        <w:t xml:space="preserve"> (Tous / Actifs uniquement / Inactifs uniquement), et un filtre </w:t>
      </w:r>
      <w:r>
        <w:rPr>
          <w:b/>
        </w:rPr>
        <w:t>Affiliation</w:t>
      </w:r>
      <w:r>
        <w:t xml:space="preserve"> (Tous / Interne (Core) / Partenaire).</w:t>
      </w:r>
    </w:p>
    <w:p>
      <w:pPr>
        <w:spacing w:before="80" w:after="160"/>
        <w:ind w:left="504"/>
        <w:shd w:fill="EEF3FA"/>
        <w:pBdr>
          <w:left w:val="single" w:sz="18" w:space="8" w:color="2E5F8A"/>
        </w:pBdr>
      </w:pPr>
      <w:r>
        <w:rPr>
          <w:b/>
          <w:i/>
        </w:rPr>
        <w:t>Remarque</w:t>
      </w:r>
      <w:r>
        <w:rPr>
          <w:i/>
        </w:rPr>
        <w:t xml:space="preserve"> : cette liste d'administration ne filtre que par statut, affiliation et recherche libre. Des filtres plus riches — par secteur, pays, langue, bailleur ou disponibilité — existent sur la vue *publique* du vivier (Section 3.5), pas ici.</w:t>
      </w:r>
    </w:p>
    <w:p>
      <w:pPr>
        <w:pStyle w:val="Heading3"/>
      </w:pPr>
      <w:r>
        <w:t>3.4.1 Ajouter un nouvel expert (avec saisie assistée par IA à partir d'un CV)</w:t>
      </w:r>
    </w:p>
    <w:p>
      <w:pPr>
        <w:spacing w:after="60"/>
        <w:ind w:left="432" w:hanging="432"/>
      </w:pPr>
      <w:r>
        <w:rPr>
          <w:b/>
        </w:rPr>
        <w:t>1.</w:t>
        <w:tab/>
      </w:r>
      <w:r>
        <w:t xml:space="preserve">Cliquez sur </w:t>
      </w:r>
      <w:r>
        <w:rPr>
          <w:b/>
        </w:rPr>
        <w:t>+ Add Expert</w:t>
      </w:r>
      <w:r>
        <w:t xml:space="preserve"> (« Ajouter un expert »).</w:t>
      </w:r>
    </w:p>
    <w:p>
      <w:pPr>
        <w:spacing w:after="60"/>
        <w:ind w:left="432" w:hanging="432"/>
      </w:pPr>
      <w:r>
        <w:rPr>
          <w:b/>
        </w:rPr>
        <w:t>2.</w:t>
        <w:tab/>
      </w:r>
      <w:r>
        <w:t xml:space="preserve">Utilisez éventuellement d'abord le panneau de saisie assistée par IA en haut du formulaire : glissez un fichier CV sur la zone de dépôt (ou cliquez dessus pour parcourir vos fichiers), puis cliquez sur </w:t>
      </w:r>
      <w:r>
        <w:rPr>
          <w:b/>
        </w:rPr>
        <w:t>Analyser le CV avec l'IA</w:t>
      </w:r>
      <w:r>
        <w:t>. Les types de fichiers acceptés sont PDF, DOCX, DOC et TXT, jusqu'à 10 Mo.</w:t>
      </w:r>
    </w:p>
    <w:p>
      <w:pPr>
        <w:spacing w:after="60"/>
        <w:ind w:left="432" w:hanging="432"/>
      </w:pPr>
      <w:r>
        <w:rPr>
          <w:b/>
        </w:rPr>
        <w:t>3.</w:t>
        <w:tab/>
      </w:r>
      <w:r>
        <w:t>Vérifiez les champs pré-remplis par l'IA (nom, titre, affiliation, séniorité, e-mail, téléphone, biographie, années d'expérience, et une correspondance de secteur au meilleur effort) — le message de succès rappelle explicitement de vérifier et corriger chaque champ avant d'enregistrer. Les langues ou pays éventuellement détectés par l'IA sont affichés en texte de référence en lecture seule uniquement ; ils ne sont écrits dans aucun champ du formulaire (le formulaire ne comporte aujourd'hui aucun champ pour les langues/géographies — voir la remarque ci-dessous).</w:t>
      </w:r>
    </w:p>
    <w:p>
      <w:pPr>
        <w:spacing w:after="60"/>
        <w:ind w:left="432" w:hanging="432"/>
      </w:pPr>
      <w:r>
        <w:rPr>
          <w:b/>
        </w:rPr>
        <w:t>4.</w:t>
        <w:tab/>
      </w:r>
      <w:r>
        <w:t xml:space="preserve">Complétez ou corrigez les champs du formulaire : </w:t>
      </w:r>
      <w:r>
        <w:rPr>
          <w:b/>
        </w:rPr>
        <w:t>Prénom</w:t>
      </w:r>
      <w:r>
        <w:t xml:space="preserve">, </w:t>
      </w:r>
      <w:r>
        <w:rPr>
          <w:b/>
        </w:rPr>
        <w:t>Nom</w:t>
      </w:r>
      <w:r>
        <w:t xml:space="preserve">, </w:t>
      </w:r>
      <w:r>
        <w:rPr>
          <w:b/>
        </w:rPr>
        <w:t>Nom complet</w:t>
      </w:r>
      <w:r>
        <w:t xml:space="preserve">* (obligatoire — le seul champ réellement requis avec l'Affiliation), </w:t>
      </w:r>
      <w:r>
        <w:rPr>
          <w:b/>
        </w:rPr>
        <w:t>Titre du poste</w:t>
      </w:r>
      <w:r>
        <w:t xml:space="preserve">, </w:t>
      </w:r>
      <w:r>
        <w:rPr>
          <w:b/>
        </w:rPr>
        <w:t>Affiliation</w:t>
      </w:r>
      <w:r>
        <w:t xml:space="preserve">* (Interne (Core) ou Partenaire, obligatoire), </w:t>
      </w:r>
      <w:r>
        <w:rPr>
          <w:b/>
        </w:rPr>
        <w:t>Organisation</w:t>
      </w:r>
      <w:r>
        <w:t xml:space="preserve"> (pertinent lorsque l'Affiliation est Partenaire), </w:t>
      </w:r>
      <w:r>
        <w:rPr>
          <w:b/>
        </w:rPr>
        <w:t>Niveau de séniorité</w:t>
      </w:r>
      <w:r>
        <w:t xml:space="preserve">, </w:t>
      </w:r>
      <w:r>
        <w:rPr>
          <w:b/>
        </w:rPr>
        <w:t>Années d'expérience</w:t>
      </w:r>
      <w:r>
        <w:t xml:space="preserve">, </w:t>
      </w:r>
      <w:r>
        <w:rPr>
          <w:b/>
        </w:rPr>
        <w:t>Adresse e-mail</w:t>
      </w:r>
      <w:r>
        <w:t xml:space="preserve">, </w:t>
      </w:r>
      <w:r>
        <w:rPr>
          <w:b/>
        </w:rPr>
        <w:t>Téléphone</w:t>
      </w:r>
      <w:r>
        <w:t xml:space="preserve">, </w:t>
      </w:r>
      <w:r>
        <w:rPr>
          <w:b/>
        </w:rPr>
        <w:t>Statut de disponibilité</w:t>
      </w:r>
      <w:r>
        <w:t xml:space="preserve">, une case </w:t>
      </w:r>
      <w:r>
        <w:rPr>
          <w:b/>
        </w:rPr>
        <w:t>Actif dans le vivier</w:t>
      </w:r>
      <w:r>
        <w:t xml:space="preserve">, et une </w:t>
      </w:r>
      <w:r>
        <w:rPr>
          <w:b/>
        </w:rPr>
        <w:t>Biographie</w:t>
      </w:r>
      <w:r>
        <w:t>.</w:t>
      </w:r>
    </w:p>
    <w:p>
      <w:pPr>
        <w:spacing w:after="60"/>
        <w:ind w:left="432" w:hanging="432"/>
      </w:pPr>
      <w:r>
        <w:rPr>
          <w:b/>
        </w:rPr>
        <w:t>5.</w:t>
        <w:tab/>
      </w:r>
      <w:r>
        <w:t xml:space="preserve">Sous </w:t>
      </w:r>
      <w:r>
        <w:rPr>
          <w:b/>
        </w:rPr>
        <w:t>Domaines d'expertise</w:t>
      </w:r>
      <w:r>
        <w:t xml:space="preserve">, choisissez un </w:t>
      </w:r>
      <w:r>
        <w:rPr>
          <w:b/>
        </w:rPr>
        <w:t>secteur principal</w:t>
      </w:r>
      <w:r>
        <w:t xml:space="preserve"> et un nombre quelconque de </w:t>
      </w:r>
      <w:r>
        <w:rPr>
          <w:b/>
        </w:rPr>
        <w:t>secteurs secondaires</w:t>
      </w:r>
      <w:r>
        <w:t>.</w:t>
      </w:r>
    </w:p>
    <w:p>
      <w:pPr>
        <w:spacing w:after="60"/>
        <w:ind w:left="432" w:hanging="432"/>
      </w:pPr>
      <w:r>
        <w:rPr>
          <w:b/>
        </w:rPr>
        <w:t>6.</w:t>
        <w:tab/>
      </w:r>
      <w:r>
        <w:t xml:space="preserve">Si vous souhaitez joindre le document CV réel de l'expert (distinct du fichier d'analyse IA de l'étape 2), utilisez la zone de dépôt </w:t>
      </w:r>
      <w:r>
        <w:rPr>
          <w:b/>
        </w:rPr>
        <w:t>Document CV</w:t>
      </w:r>
      <w:r>
        <w:t xml:space="preserve"> — PDF uniquement, jusqu'à 10 Mo.</w:t>
      </w:r>
    </w:p>
    <w:p>
      <w:pPr>
        <w:spacing w:after="60"/>
        <w:ind w:left="432" w:hanging="432"/>
      </w:pPr>
      <w:r>
        <w:rPr>
          <w:b/>
        </w:rPr>
        <w:t>7.</w:t>
        <w:tab/>
      </w:r>
      <w:r>
        <w:t xml:space="preserve">Cliquez sur </w:t>
      </w:r>
      <w:r>
        <w:rPr>
          <w:b/>
        </w:rPr>
        <w:t>Save Expert</w:t>
      </w:r>
      <w:r>
        <w:t xml:space="preserve"> (« Enregistrer l'expert »).</w:t>
      </w:r>
    </w:p>
    <w:p>
      <w:pPr>
        <w:spacing w:after="120"/>
      </w:pPr>
      <w:r>
        <w:rPr>
          <w:b/>
        </w:rPr>
        <w:t>Résultat attendu</w:t>
      </w:r>
      <w:r>
        <w:t xml:space="preserve"> : un message de confirmation s'affiche, le nouvel expert apparaît dans la liste, et le changement est consigné dans le Journal d'audit.</w:t>
      </w:r>
    </w:p>
    <w:p>
      <w:pPr>
        <w:spacing w:before="80" w:after="160"/>
        <w:ind w:left="504"/>
        <w:shd w:fill="EEF3FA"/>
        <w:pBdr>
          <w:left w:val="single" w:sz="18" w:space="8" w:color="2E5F8A"/>
        </w:pBdr>
      </w:pPr>
      <w:r>
        <w:rPr>
          <w:b/>
          <w:i/>
        </w:rPr>
        <w:t>Limite connue</w:t>
      </w:r>
      <w:r>
        <w:rPr>
          <w:i/>
        </w:rPr>
        <w:t xml:space="preserve"> : bien que la base de données sous-jacente prenne en charge l'enregistrement des langues, de l'expérience géographique, de l'expérience auprès des bailleurs, des types d'activités/de livrables et du parcours de formation/certifications d'un expert, </w:t>
      </w:r>
      <w:r>
        <w:rPr>
          <w:b/>
          <w:i/>
        </w:rPr>
        <w:t>ce formulaire n'expose actuellement aucun champ pour ces éléments</w:t>
      </w:r>
      <w:r>
        <w:rPr>
          <w:i/>
        </w:rPr>
        <w:t xml:space="preserve"> — seuls les secteurs sont modifiables ici. Si votre organisation a besoin de maintenir ces données, vérifiez auprès de votre administrateur technique comment (ou si) cela est actuellement possible </w:t>
      </w:r>
      <w:r>
        <w:rPr>
          <w:b/>
          <w:i/>
          <w:color w:val="B54A00"/>
        </w:rPr>
        <w:t>[À CONFIRMER]</w:t>
      </w:r>
      <w:r>
        <w:rPr>
          <w:i/>
        </w:rPr>
        <w:t>.</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fenêtre Ajouter un expert montrant la zone de dépôt du CV et les champs du formulaire</w:t>
      </w:r>
    </w:p>
    <w:p>
      <w:pPr>
        <w:pStyle w:val="Heading3"/>
      </w:pPr>
      <w:r>
        <w:t>3.4.2 Modifier un expert existant</w:t>
      </w:r>
    </w:p>
    <w:p>
      <w:pPr>
        <w:spacing w:after="60"/>
        <w:ind w:left="432" w:hanging="432"/>
      </w:pPr>
      <w:r>
        <w:rPr>
          <w:b/>
        </w:rPr>
        <w:t>1.</w:t>
        <w:tab/>
      </w:r>
      <w:r>
        <w:t xml:space="preserve">Sur la page Experts, cliquez sur </w:t>
      </w:r>
      <w:r>
        <w:rPr>
          <w:b/>
        </w:rPr>
        <w:t>Modifier</w:t>
      </w:r>
      <w:r>
        <w:t xml:space="preserve"> sur la ligne de l'expert concerné.</w:t>
      </w:r>
    </w:p>
    <w:p>
      <w:pPr>
        <w:spacing w:after="60"/>
        <w:ind w:left="432" w:hanging="432"/>
      </w:pPr>
      <w:r>
        <w:rPr>
          <w:b/>
        </w:rPr>
        <w:t>2.</w:t>
        <w:tab/>
      </w:r>
      <w:r>
        <w:t>Mettez à jour les champs nécessaires. (Le panneau de saisie IA à partir d'un CV n'est pas affiché en mode modification — il est réservé aux nouvelles fiches.)</w:t>
      </w:r>
    </w:p>
    <w:p>
      <w:pPr>
        <w:spacing w:after="60"/>
        <w:ind w:left="432" w:hanging="432"/>
      </w:pPr>
      <w:r>
        <w:rPr>
          <w:b/>
        </w:rPr>
        <w:t>3.</w:t>
        <w:tab/>
      </w:r>
      <w:r>
        <w:t xml:space="preserve">Pour remplacer le CV joint, utilisez </w:t>
      </w:r>
      <w:r>
        <w:rPr>
          <w:b/>
        </w:rPr>
        <w:t>Remplacer</w:t>
      </w:r>
      <w:r>
        <w:t xml:space="preserve"> à côté de l'indication « CV joint » existante, ou cliquez sur </w:t>
      </w:r>
      <w:r>
        <w:rPr>
          <w:b/>
        </w:rPr>
        <w:t>Voir</w:t>
      </w:r>
      <w:r>
        <w:t xml:space="preserve"> pour ouvrir le CV actuel dans un nouvel onglet.</w:t>
      </w:r>
    </w:p>
    <w:p>
      <w:pPr>
        <w:spacing w:after="60"/>
        <w:ind w:left="432" w:hanging="432"/>
      </w:pPr>
      <w:r>
        <w:rPr>
          <w:b/>
        </w:rPr>
        <w:t>4.</w:t>
        <w:tab/>
      </w:r>
      <w:r>
        <w:t xml:space="preserve">Cliquez sur </w:t>
      </w:r>
      <w:r>
        <w:rPr>
          <w:b/>
        </w:rPr>
        <w:t>Save Expert</w:t>
      </w:r>
      <w:r>
        <w:t xml:space="preserve"> (« Enregistrer l'expert »).</w:t>
      </w:r>
    </w:p>
    <w:p>
      <w:pPr>
        <w:pStyle w:val="Heading3"/>
      </w:pPr>
      <w:r>
        <w:t>3.4.3 Activer ou désactiver un expert</w:t>
      </w:r>
    </w:p>
    <w:p>
      <w:pPr>
        <w:spacing w:after="120"/>
      </w:pPr>
      <w:r>
        <w:t xml:space="preserve">Cliquez sur </w:t>
      </w:r>
      <w:r>
        <w:rPr>
          <w:b/>
        </w:rPr>
        <w:t>Désactiver</w:t>
      </w:r>
      <w:r>
        <w:t xml:space="preserve"> ou </w:t>
      </w:r>
      <w:r>
        <w:rPr>
          <w:b/>
        </w:rPr>
        <w:t>Activer</w:t>
      </w:r>
      <w:r>
        <w:t xml:space="preserve"> sur la ligne de l'expert concerné. Cela s'applique immédiatement sans confirmation demandée, et est consigné dans le Journal d'audit. Les experts désactivés sont exclus du décompte « Experts actifs » du Tableau de bord et peuvent être exclus par filtre sur le vivier public.</w:t>
      </w:r>
    </w:p>
    <w:p>
      <w:pPr>
        <w:pStyle w:val="Heading3"/>
      </w:pPr>
      <w:r>
        <w:t>3.4.4 Supprimer un expert</w:t>
      </w:r>
    </w:p>
    <w:p>
      <w:pPr>
        <w:spacing w:after="60"/>
        <w:ind w:left="432" w:hanging="432"/>
      </w:pPr>
      <w:r>
        <w:rPr>
          <w:b/>
        </w:rPr>
        <w:t>1.</w:t>
        <w:tab/>
      </w:r>
      <w:r>
        <w:t xml:space="preserve">Cliquez sur </w:t>
      </w:r>
      <w:r>
        <w:rPr>
          <w:b/>
        </w:rPr>
        <w:t>Supprimer</w:t>
      </w:r>
      <w:r>
        <w:t xml:space="preserve"> sur la ligne de l'expert concerné.</w:t>
      </w:r>
    </w:p>
    <w:p>
      <w:pPr>
        <w:spacing w:after="60"/>
        <w:ind w:left="432" w:hanging="432"/>
      </w:pPr>
      <w:r>
        <w:rPr>
          <w:b/>
        </w:rPr>
        <w:t>2.</w:t>
        <w:tab/>
      </w:r>
      <w:r>
        <w:t xml:space="preserve">Dans la boîte de dialogue de confirmation </w:t>
      </w:r>
      <w:r>
        <w:rPr>
          <w:b/>
        </w:rPr>
        <w:t>Delete Expert ?</w:t>
      </w:r>
      <w:r>
        <w:t xml:space="preserve"> (« Supprimer l'expert ? »), prenez connaissance de l'avertissement indiquant que cela supprime définitivement la fiche et toutes les données associées.</w:t>
      </w:r>
    </w:p>
    <w:p>
      <w:pPr>
        <w:spacing w:after="60"/>
        <w:ind w:left="432" w:hanging="432"/>
      </w:pPr>
      <w:r>
        <w:rPr>
          <w:b/>
        </w:rPr>
        <w:t>3.</w:t>
        <w:tab/>
      </w:r>
      <w:r>
        <w:t xml:space="preserve">Cliquez sur </w:t>
      </w:r>
      <w:r>
        <w:rPr>
          <w:b/>
        </w:rPr>
        <w:t>Supprimer définitivement</w:t>
      </w:r>
      <w:r>
        <w:t xml:space="preserve"> pour confirmer, ou </w:t>
      </w:r>
      <w:r>
        <w:rPr>
          <w:b/>
        </w:rPr>
        <w:t>Annuler</w:t>
      </w:r>
      <w:r>
        <w:t xml:space="preserve"> pour revenir en arrière.</w:t>
      </w:r>
    </w:p>
    <w:p>
      <w:pPr>
        <w:spacing w:after="120"/>
      </w:pPr>
      <w:r>
        <w:rPr>
          <w:b/>
        </w:rPr>
        <w:t>Résultat attendu</w:t>
      </w:r>
      <w:r>
        <w:t xml:space="preserve"> : la fiche de l'expert et toutes les données liées (secteurs, langues, géographies, bailleurs, activités, adéquation aux rôles, formation) sont supprimées définitivement.</w:t>
      </w:r>
    </w:p>
    <w:p>
      <w:pPr>
        <w:spacing w:before="120" w:after="200"/>
        <w:pBdr>
          <w:bottom w:val="single" w:sz="8" w:space="1" w:color="9DC3E6"/>
        </w:pBdr>
      </w:pPr>
    </w:p>
    <w:p>
      <w:pPr>
        <w:pStyle w:val="Heading2"/>
      </w:pPr>
      <w:r>
        <w:t>3.5 La vue publique du vivier (pour information)</w:t>
      </w:r>
    </w:p>
    <w:p>
      <w:pPr>
        <w:spacing w:after="120"/>
      </w:pPr>
      <w:r>
        <w:t xml:space="preserve">Cette page (accessible via </w:t>
      </w:r>
      <w:r>
        <w:rPr>
          <w:b/>
        </w:rPr>
        <w:t>← Retour au fichier d'experts</w:t>
      </w:r>
      <w:r>
        <w:t>) est celle qu'utilisent généralement le personnel non-administrateur et les visiteurs externes pour consulter le vivier. Les administrateurs doivent savoir qu'elle existe et en quoi elle diffère de la page Experts de l'administration :</w:t>
      </w:r>
    </w:p>
    <w:p>
      <w:pPr>
        <w:pStyle w:val="ListBullet"/>
      </w:pPr>
      <w:r>
        <w:t xml:space="preserve">Elle propose une recherche libre ainsi qu'un panneau </w:t>
      </w:r>
      <w:r>
        <w:rPr>
          <w:b/>
        </w:rPr>
        <w:t>Filtres</w:t>
      </w:r>
      <w:r>
        <w:t xml:space="preserve"> avec les filtres </w:t>
      </w:r>
      <w:r>
        <w:rPr>
          <w:b/>
        </w:rPr>
        <w:t>Affiliation, Niveau, Secteur, Pays, Langue, Bailleur, Type de mission</w:t>
      </w:r>
      <w:r>
        <w:t xml:space="preserve"> et </w:t>
      </w:r>
      <w:r>
        <w:rPr>
          <w:b/>
        </w:rPr>
        <w:t>Disponibilité</w:t>
      </w:r>
      <w:r>
        <w:t xml:space="preserve"> — un ensemble de filtres plus riche que la page liste d'administration.</w:t>
      </w:r>
    </w:p>
    <w:p>
      <w:pPr>
        <w:pStyle w:val="ListBullet"/>
      </w:pPr>
      <w:r>
        <w:t>Les résultats s'affichent sous forme de grille de cartes avec une légende de disponibilité codée par couleur.</w:t>
      </w:r>
    </w:p>
    <w:p>
      <w:pPr>
        <w:pStyle w:val="ListBullet"/>
      </w:pPr>
      <w:r>
        <w:t xml:space="preserve">Si vous êtes connecté en tant qu'Administrateur, un lien </w:t>
      </w:r>
      <w:r>
        <w:rPr>
          <w:b/>
        </w:rPr>
        <w:t>Admin Panel</w:t>
      </w:r>
      <w:r>
        <w:t xml:space="preserve"> et un bouton </w:t>
      </w:r>
      <w:r>
        <w:rPr>
          <w:b/>
        </w:rPr>
        <w:t>Déconnexion</w:t>
      </w:r>
      <w:r>
        <w:t xml:space="preserve"> apparaissent dans l'en-tête ; les autres visiteurs ne voient ni l'un ni l'autre.</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vue publique du vivier avec le panneau Filtres ouvert</w:t>
      </w:r>
    </w:p>
    <w:p>
      <w:pPr>
        <w:spacing w:before="120" w:after="200"/>
        <w:pBdr>
          <w:bottom w:val="single" w:sz="8" w:space="1" w:color="9DC3E6"/>
        </w:pBdr>
      </w:pPr>
    </w:p>
    <w:p>
      <w:pPr>
        <w:pStyle w:val="Heading2"/>
      </w:pPr>
      <w:r>
        <w:t>3.6 Veille et gestion des opportunités</w:t>
      </w:r>
    </w:p>
    <w:p>
      <w:pPr>
        <w:spacing w:after="120"/>
      </w:pPr>
      <w:r>
        <w:rPr>
          <w:b/>
        </w:rPr>
        <w:t>Ce que cela fait</w:t>
      </w:r>
      <w:r>
        <w:t xml:space="preserve"> : il s'agit du plus grand module de la plateforme — capturer les appels d'offres des bailleurs (opportunités), les noter, faire correspondre des experts à leurs exigences, constituer une équipe de proposition, générer les documents de proposition et un budget financier, exécuter une recommandation Go/No-Go, et produire un Rapport Final Combiné.</w:t>
      </w:r>
    </w:p>
    <w:p>
      <w:pPr>
        <w:spacing w:after="120"/>
      </w:pPr>
      <w:r>
        <w:rPr>
          <w:b/>
        </w:rPr>
        <w:t>Quand l'utiliser</w:t>
      </w:r>
      <w:r>
        <w:t xml:space="preserve"> : dès que votre organisation prend connaissance d'un appel d'offres jusqu'à la soumission.</w:t>
      </w:r>
    </w:p>
    <w:p>
      <w:pPr>
        <w:spacing w:after="120"/>
      </w:pPr>
      <w:r>
        <w:rPr>
          <w:b/>
        </w:rPr>
        <w:t>Prérequis</w:t>
      </w:r>
      <w:r>
        <w:t xml:space="preserve"> : rôle Administrateur. Ouvrez </w:t>
      </w:r>
      <w:r>
        <w:rPr>
          <w:b/>
        </w:rPr>
        <w:t>Opportunités</w:t>
      </w:r>
      <w:r>
        <w:t xml:space="preserve"> dans le groupe Opportunités (ou utilisez le raccourci d'ajout rapide </w:t>
      </w:r>
      <w:r>
        <w:rPr>
          <w:b/>
        </w:rPr>
        <w:t>+ Opportunité</w:t>
      </w:r>
      <w:r>
        <w:t>).</w:t>
      </w:r>
    </w:p>
    <w:p>
      <w:pPr>
        <w:pStyle w:val="Heading3"/>
      </w:pPr>
      <w:r>
        <w:t>3.6.1 Créer une nouvelle opportunité</w:t>
      </w:r>
    </w:p>
    <w:p>
      <w:pPr>
        <w:spacing w:after="60"/>
        <w:ind w:left="432" w:hanging="432"/>
      </w:pPr>
      <w:r>
        <w:rPr>
          <w:b/>
        </w:rPr>
        <w:t>1.</w:t>
        <w:tab/>
      </w:r>
      <w:r>
        <w:t xml:space="preserve">Cliquez sur </w:t>
      </w:r>
      <w:r>
        <w:rPr>
          <w:b/>
        </w:rPr>
        <w:t>+ New Opportunity</w:t>
      </w:r>
      <w:r>
        <w:t xml:space="preserve"> (« Nouvelle opportunité »).</w:t>
      </w:r>
    </w:p>
    <w:p>
      <w:pPr>
        <w:spacing w:after="60"/>
        <w:ind w:left="432" w:hanging="432"/>
      </w:pPr>
      <w:r>
        <w:rPr>
          <w:b/>
        </w:rPr>
        <w:t>2.</w:t>
        <w:tab/>
      </w:r>
      <w:r>
        <w:t>Choisissez l'une des trois façons de commencer :</w:t>
      </w:r>
    </w:p>
    <w:p>
      <w:pPr>
        <w:pStyle w:val="ListBullet"/>
      </w:pPr>
      <w:r>
        <w:rPr>
          <w:b/>
        </w:rPr>
        <w:t>Téléverser un fichier TDR/RFP</w:t>
      </w:r>
      <w:r>
        <w:t xml:space="preserve"> : glissez le document sur la zone de dépôt (ou cliquez pour parcourir — PDF, DOCX, DOC ou TXT, jusqu'à 10 Mo), puis cliquez sur </w:t>
      </w:r>
      <w:r>
        <w:rPr>
          <w:b/>
        </w:rPr>
        <w:t>Analyser le TDR avec l'IA</w:t>
      </w:r>
      <w:r>
        <w:t>.</w:t>
      </w:r>
    </w:p>
    <w:p>
      <w:pPr>
        <w:pStyle w:val="ListBullet"/>
      </w:pPr>
      <w:r>
        <w:rPr>
          <w:b/>
        </w:rPr>
        <w:t>Coller un texte ou un lien</w:t>
      </w:r>
      <w:r>
        <w:t xml:space="preserve"> : cliquez sur « Ou coller un avis d'appel d'offres / un lien à la place → », puis collez soit le texte de l'avis dans la zone de texte, soit une URL, et cliquez sur </w:t>
      </w:r>
      <w:r>
        <w:rPr>
          <w:b/>
        </w:rPr>
        <w:t>Analyser le texte/lien collé avec l'IA</w:t>
      </w:r>
      <w:r>
        <w:t>.</w:t>
      </w:r>
    </w:p>
    <w:p>
      <w:pPr>
        <w:pStyle w:val="ListBullet"/>
      </w:pPr>
      <w:r>
        <w:rPr>
          <w:b/>
        </w:rPr>
        <w:t>Ignorer la saisie assistée par IA</w:t>
      </w:r>
      <w:r>
        <w:t xml:space="preserve"> et remplir le formulaire manuellement.</w:t>
      </w:r>
    </w:p>
    <w:p>
      <w:pPr>
        <w:spacing w:after="60"/>
        <w:ind w:left="432" w:hanging="432"/>
      </w:pPr>
      <w:r>
        <w:rPr>
          <w:b/>
        </w:rPr>
        <w:t>3.</w:t>
        <w:tab/>
      </w:r>
      <w:r>
        <w:t xml:space="preserve">Si vous avez utilisé la saisie assistée par IA, vérifiez attentivement chaque champ extrait — le rappel à l'écran précise explicitement qu'il s'agit d'un brouillon IA, non d'une fiche définitive. Cela inclut le </w:t>
      </w:r>
      <w:r>
        <w:rPr>
          <w:b/>
        </w:rPr>
        <w:t>Score stratégique</w:t>
      </w:r>
      <w:r>
        <w:t xml:space="preserve"> (0–100) et ses cinq sous-scores ; si l'IA n'a pu lire que partiellement la source, le score est signalé </w:t>
      </w:r>
      <w:r>
        <w:rPr>
          <w:b/>
        </w:rPr>
        <w:t>À CONFIRMER</w:t>
      </w:r>
      <w:r>
        <w:t xml:space="preserve"> et doit être vérifié manuellement.</w:t>
      </w:r>
    </w:p>
    <w:p>
      <w:pPr>
        <w:spacing w:after="60"/>
        <w:ind w:left="432" w:hanging="432"/>
      </w:pPr>
      <w:r>
        <w:rPr>
          <w:b/>
        </w:rPr>
        <w:t>4.</w:t>
        <w:tab/>
      </w:r>
      <w:r>
        <w:t xml:space="preserve">Complétez le formulaire : </w:t>
      </w:r>
      <w:r>
        <w:rPr>
          <w:b/>
        </w:rPr>
        <w:t>Titre</w:t>
      </w:r>
      <w:r>
        <w:t xml:space="preserve">* et </w:t>
      </w:r>
      <w:r>
        <w:rPr>
          <w:b/>
        </w:rPr>
        <w:t>Organisation / Bailleur</w:t>
      </w:r>
      <w:r>
        <w:t xml:space="preserve">* (tous deux obligatoires), Numéro de référence/d'appel d'offres, </w:t>
      </w:r>
      <w:r>
        <w:rPr>
          <w:b/>
        </w:rPr>
        <w:t>Bailleur</w:t>
      </w:r>
      <w:r>
        <w:t xml:space="preserve"> correspondant, </w:t>
      </w:r>
      <w:r>
        <w:rPr>
          <w:b/>
        </w:rPr>
        <w:t>Client (CRM)</w:t>
      </w:r>
      <w:r>
        <w:t xml:space="preserve"> correspondant, </w:t>
      </w:r>
      <w:r>
        <w:rPr>
          <w:b/>
        </w:rPr>
        <w:t>Type</w:t>
      </w:r>
      <w:r>
        <w:t xml:space="preserve">* (RFP/EOI/RFQ/REOI), </w:t>
      </w:r>
      <w:r>
        <w:rPr>
          <w:b/>
        </w:rPr>
        <w:t>Pays principal</w:t>
      </w:r>
      <w:r>
        <w:t xml:space="preserve">, </w:t>
      </w:r>
      <w:r>
        <w:rPr>
          <w:b/>
        </w:rPr>
        <w:t>Échéance</w:t>
      </w:r>
      <w:r>
        <w:t xml:space="preserve">, </w:t>
      </w:r>
      <w:r>
        <w:rPr>
          <w:b/>
        </w:rPr>
        <w:t>Résumé</w:t>
      </w:r>
      <w:r>
        <w:t xml:space="preserve">, </w:t>
      </w:r>
      <w:r>
        <w:rPr>
          <w:b/>
        </w:rPr>
        <w:t>Secteurs</w:t>
      </w:r>
      <w:r>
        <w:t xml:space="preserve"> requis/préférés, </w:t>
      </w:r>
      <w:r>
        <w:rPr>
          <w:b/>
        </w:rPr>
        <w:t>Langues</w:t>
      </w:r>
      <w:r>
        <w:t xml:space="preserve"> requises, </w:t>
      </w:r>
      <w:r>
        <w:rPr>
          <w:b/>
        </w:rPr>
        <w:t>Couverture géographique</w:t>
      </w:r>
      <w:r>
        <w:t xml:space="preserve"> requise, </w:t>
      </w:r>
      <w:r>
        <w:rPr>
          <w:b/>
        </w:rPr>
        <w:t>Types de livrables/activités</w:t>
      </w:r>
      <w:r>
        <w:t xml:space="preserve">, un nombre quelconque de </w:t>
      </w:r>
      <w:r>
        <w:rPr>
          <w:b/>
        </w:rPr>
        <w:t>Postes demandés</w:t>
      </w:r>
      <w:r>
        <w:t xml:space="preserve"> (rôle, séniorité, secteur, quantité), et un nombre quelconque de </w:t>
      </w:r>
      <w:r>
        <w:rPr>
          <w:b/>
        </w:rPr>
        <w:t>Critères d'évaluation</w:t>
      </w:r>
      <w:r>
        <w:t>.</w:t>
      </w:r>
    </w:p>
    <w:p>
      <w:pPr>
        <w:spacing w:after="60"/>
        <w:ind w:left="432" w:hanging="432"/>
      </w:pPr>
      <w:r>
        <w:rPr>
          <w:b/>
        </w:rPr>
        <w:t>5.</w:t>
        <w:tab/>
      </w:r>
      <w:r>
        <w:t xml:space="preserve">Cliquez sur </w:t>
      </w:r>
      <w:r>
        <w:rPr>
          <w:b/>
        </w:rPr>
        <w:t>Save Opportunity</w:t>
      </w:r>
      <w:r>
        <w:t xml:space="preserve"> (« Enregistrer l'opportunité »).</w:t>
      </w:r>
    </w:p>
    <w:p>
      <w:pPr>
        <w:spacing w:after="120"/>
      </w:pPr>
      <w:r>
        <w:rPr>
          <w:b/>
        </w:rPr>
        <w:t>Résultat attendu</w:t>
      </w:r>
      <w:r>
        <w:t xml:space="preserve"> : vous êtes dirigé directement vers la fiche détaillée de la nouvelle opportunité, où se déroule le reste du travail (correspondance, équipe, documents).</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fenêtre Nouvelle opportunité montrant le panneau de téléversement du TDR et le lien vers la saisie par texte collé</w:t>
      </w:r>
    </w:p>
    <w:p>
      <w:pPr>
        <w:pStyle w:val="Heading3"/>
      </w:pPr>
      <w:r>
        <w:t>3.6.2 Scanner les sources surveillées à la recherche de nouvelles opportunités</w:t>
      </w:r>
    </w:p>
    <w:p>
      <w:pPr>
        <w:spacing w:after="120"/>
      </w:pPr>
      <w:r>
        <w:t>Cette fonction récupère automatiquement de nouveaux avis d'appel d'offres depuis les sources qui le permettent (voir la Section 3.7 pour la définition de « le permettent »).</w:t>
      </w:r>
    </w:p>
    <w:p>
      <w:pPr>
        <w:spacing w:after="60"/>
        <w:ind w:left="432" w:hanging="432"/>
      </w:pPr>
      <w:r>
        <w:rPr>
          <w:b/>
        </w:rPr>
        <w:t>1.</w:t>
        <w:tab/>
      </w:r>
      <w:r>
        <w:t xml:space="preserve">Sur la page Opportunités, cliquez sur </w:t>
      </w:r>
      <w:r>
        <w:rPr>
          <w:b/>
        </w:rPr>
        <w:t>Scanner les sources</w:t>
      </w:r>
      <w:r>
        <w:t>.</w:t>
      </w:r>
    </w:p>
    <w:p>
      <w:pPr>
        <w:spacing w:after="60"/>
        <w:ind w:left="432" w:hanging="432"/>
      </w:pPr>
      <w:r>
        <w:rPr>
          <w:b/>
        </w:rPr>
        <w:t>2.</w:t>
        <w:tab/>
      </w:r>
      <w:r>
        <w:t>Par défaut, toutes les sources éligibles sont sélectionnées (« Tout sélectionner » est cochée) ; décochez celles que vous ne souhaitez pas inclure, ou n'en sélectionnez qu'une ou quelques-unes.</w:t>
      </w:r>
    </w:p>
    <w:p>
      <w:pPr>
        <w:spacing w:after="60"/>
        <w:ind w:left="432" w:hanging="432"/>
      </w:pPr>
      <w:r>
        <w:rPr>
          <w:b/>
        </w:rPr>
        <w:t>3.</w:t>
        <w:tab/>
      </w:r>
      <w:r>
        <w:t xml:space="preserve">Cliquez sur </w:t>
      </w:r>
      <w:r>
        <w:rPr>
          <w:b/>
        </w:rPr>
        <w:t>Scanner la sélection</w:t>
      </w:r>
      <w:r>
        <w:t>.</w:t>
      </w:r>
    </w:p>
    <w:p>
      <w:pPr>
        <w:spacing w:after="120"/>
      </w:pPr>
      <w:r>
        <w:rPr>
          <w:b/>
        </w:rPr>
        <w:t>Résultat attendu</w:t>
      </w:r>
      <w:r>
        <w:t xml:space="preserve"> : les résultats s'affichent en ligne pour chaque source (nombre de nouveaux éléments, ou un statut ignoré/erreur), suivis d'un résumé indiquant combien de nouvelles opportunités ont été trouvées et leur répartition par score. Les nouvelles opportunités sont ajoutées automatiquement à la liste — celles ayant obtenu un score très faible sont classées comme archivées plutôt que d'encombrer le pipeline actif. Ce même scan s'exécute aussi automatiquement une fois par jour ; n'utilisez ce bouton que pour une vérification ponctuelle à la demande.</w:t>
      </w:r>
    </w:p>
    <w:p>
      <w:pPr>
        <w:pStyle w:val="Heading3"/>
      </w:pPr>
      <w:r>
        <w:t>3.6.3 Examiner et modifier une opportunité (onglet Vue d'ensemble)</w:t>
      </w:r>
    </w:p>
    <w:p>
      <w:pPr>
        <w:spacing w:after="120"/>
      </w:pPr>
      <w:r>
        <w:t xml:space="preserve">Ouvrez une opportunité depuis la liste pour accéder à sa fiche détaillée, qui comporte cinq onglets : </w:t>
      </w:r>
      <w:r>
        <w:rPr>
          <w:b/>
        </w:rPr>
        <w:t>Vue d'ensemble</w:t>
      </w:r>
      <w:r>
        <w:t xml:space="preserve">, </w:t>
      </w:r>
      <w:r>
        <w:rPr>
          <w:b/>
        </w:rPr>
        <w:t>Postes &amp; correspondances</w:t>
      </w:r>
      <w:r>
        <w:t xml:space="preserve">, </w:t>
      </w:r>
      <w:r>
        <w:rPr>
          <w:b/>
        </w:rPr>
        <w:t>Équipe</w:t>
      </w:r>
      <w:r>
        <w:t xml:space="preserve">, </w:t>
      </w:r>
      <w:r>
        <w:rPr>
          <w:b/>
        </w:rPr>
        <w:t>Documents</w:t>
      </w:r>
      <w:r>
        <w:t xml:space="preserve"> et </w:t>
      </w:r>
      <w:r>
        <w:rPr>
          <w:b/>
        </w:rPr>
        <w:t>Discussion</w:t>
      </w:r>
      <w:r>
        <w:t>.</w:t>
      </w:r>
    </w:p>
    <w:p>
      <w:pPr>
        <w:spacing w:after="120"/>
      </w:pPr>
      <w:r>
        <w:t xml:space="preserve">Sur </w:t>
      </w:r>
      <w:r>
        <w:rPr>
          <w:b/>
        </w:rPr>
        <w:t>Vue d'ensemble</w:t>
      </w:r>
      <w:r>
        <w:t>, vous pouvez :</w:t>
      </w:r>
    </w:p>
    <w:p>
      <w:pPr>
        <w:pStyle w:val="ListBullet"/>
      </w:pPr>
      <w:r>
        <w:t xml:space="preserve">Modifier le </w:t>
      </w:r>
      <w:r>
        <w:rPr>
          <w:b/>
        </w:rPr>
        <w:t>Statut</w:t>
      </w:r>
      <w:r>
        <w:t xml:space="preserve"> de l'opportunité à l'aide du menu déroulant en haut de page (Ouverte, En cours, Soumise, Gagnée, Perdue ou Archivée) — cela s'enregistre immédiatement, sans bouton Enregistrer séparé.</w:t>
      </w:r>
    </w:p>
    <w:p>
      <w:pPr>
        <w:pStyle w:val="ListBullet"/>
      </w:pPr>
      <w:r>
        <w:t xml:space="preserve">Modifier chaque champ saisi à la création (Titre, Référence, Organisation, Bailleur, Client, Type, Pays principal, Échéance, Résumé, Score stratégique et sa justification, Secteurs, Langues, Géographies, Types d'activités, Critères d'évaluation) et cliquer sur </w:t>
      </w:r>
      <w:r>
        <w:rPr>
          <w:b/>
        </w:rPr>
        <w:t>Enregistrer la vue d'ensemble</w:t>
      </w:r>
      <w:r>
        <w:t xml:space="preserve"> pour valider les modifications.</w:t>
      </w:r>
    </w:p>
    <w:p>
      <w:pPr>
        <w:pStyle w:val="ListBullet"/>
      </w:pPr>
      <w:r>
        <w:t>Télécharger le fichier source TDR/RFP d'origine, s'il en a été joint un.</w:t>
      </w:r>
    </w:p>
    <w:p>
      <w:pPr>
        <w:pStyle w:val="ListBullet"/>
      </w:pPr>
      <w:r>
        <w:t>Lancer l'</w:t>
      </w:r>
      <w:r>
        <w:rPr>
          <w:b/>
        </w:rPr>
        <w:t>Analyse Go/No-Go</w:t>
      </w:r>
      <w:r>
        <w:t xml:space="preserve"> : cliquez sur </w:t>
      </w:r>
      <w:r>
        <w:rPr>
          <w:b/>
        </w:rPr>
        <w:t>Run Analysis</w:t>
      </w:r>
      <w:r>
        <w:t xml:space="preserve"> (« Lancer l'analyse ») pour obtenir une recommandation GO / GO CONDITIONNEL / NO-GO avec un pourcentage de réussite estimé, une justification, et des listes de Forces/Risques. Cette analyse tient compte des candidats réellement mis en correspondance et de l'équipe constituée à ce stade — relancez-la à tout moment pour l'actualiser (chaque exécution remplace le résultat précédent ; aucun historique n'est conservé).</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onglet Vue d'ensemble d'une opportunité avec la carte Analyse Go/No-Go</w:t>
      </w:r>
    </w:p>
    <w:p>
      <w:pPr>
        <w:pStyle w:val="Heading3"/>
      </w:pPr>
      <w:r>
        <w:t>3.6.4 Mettre en correspondance des experts avec un poste</w:t>
      </w:r>
    </w:p>
    <w:p>
      <w:pPr>
        <w:spacing w:after="120"/>
      </w:pPr>
      <w:r>
        <w:t xml:space="preserve">Sur l'onglet </w:t>
      </w:r>
      <w:r>
        <w:rPr>
          <w:b/>
        </w:rPr>
        <w:t>Postes &amp; correspondances</w:t>
      </w:r>
      <w:r>
        <w:t xml:space="preserve"> :</w:t>
      </w:r>
    </w:p>
    <w:p>
      <w:pPr>
        <w:spacing w:after="60"/>
        <w:ind w:left="432" w:hanging="432"/>
      </w:pPr>
      <w:r>
        <w:rPr>
          <w:b/>
        </w:rPr>
        <w:t>1.</w:t>
        <w:tab/>
      </w:r>
      <w:r>
        <w:t xml:space="preserve">Cliquez sur </w:t>
      </w:r>
      <w:r>
        <w:rPr>
          <w:b/>
        </w:rPr>
        <w:t>+ Ajouter un poste</w:t>
      </w:r>
      <w:r>
        <w:t xml:space="preserve"> pour définir un rôle à pourvoir (titre du poste, séniorité, quantité, secteur, et un rôle de bon de commande normalisé), ou modifiez/supprimez un poste existant.</w:t>
      </w:r>
    </w:p>
    <w:p>
      <w:pPr>
        <w:spacing w:after="60"/>
        <w:ind w:left="432" w:hanging="432"/>
      </w:pPr>
      <w:r>
        <w:rPr>
          <w:b/>
        </w:rPr>
        <w:t>2.</w:t>
        <w:tab/>
      </w:r>
      <w:r>
        <w:t xml:space="preserve">Sur un poste, cliquez sur </w:t>
      </w:r>
      <w:r>
        <w:rPr>
          <w:b/>
        </w:rPr>
        <w:t>Calculer les correspondances</w:t>
      </w:r>
      <w:r>
        <w:t xml:space="preserve"> pour noter chaque expert par rapport aux exigences de ce poste et générer une justification rédigée par IA pour les meilleurs candidats — ou </w:t>
      </w:r>
      <w:r>
        <w:rPr>
          <w:b/>
        </w:rPr>
        <w:t>Recalculer (sans IA)</w:t>
      </w:r>
      <w:r>
        <w:t xml:space="preserve"> pour la même notation déterministe sans l'étape (plus lente) de justification IA.</w:t>
      </w:r>
    </w:p>
    <w:p>
      <w:pPr>
        <w:spacing w:after="60"/>
        <w:ind w:left="432" w:hanging="432"/>
      </w:pPr>
      <w:r>
        <w:rPr>
          <w:b/>
        </w:rPr>
        <w:t>3.</w:t>
        <w:tab/>
      </w:r>
      <w:r>
        <w:t>Examinez le tableau de résultats classés (nom de l'expert, séniorité, un score de correspondance codé par couleur, et une colonne de justification).</w:t>
      </w:r>
    </w:p>
    <w:p>
      <w:pPr>
        <w:spacing w:after="60"/>
        <w:ind w:left="432" w:hanging="432"/>
      </w:pPr>
      <w:r>
        <w:rPr>
          <w:b/>
        </w:rPr>
        <w:t>4.</w:t>
        <w:tab/>
      </w:r>
      <w:r>
        <w:t xml:space="preserve">Cliquez sur </w:t>
      </w:r>
      <w:r>
        <w:rPr>
          <w:b/>
        </w:rPr>
        <w:t>Présélectionner</w:t>
      </w:r>
      <w:r>
        <w:t xml:space="preserve"> à côté d'un candidat pour l'ajouter à l'équipe de l'opportunité.</w:t>
      </w:r>
    </w:p>
    <w:p>
      <w:pPr>
        <w:spacing w:after="60"/>
        <w:ind w:left="432" w:hanging="432"/>
      </w:pPr>
      <w:r>
        <w:rPr>
          <w:b/>
        </w:rPr>
        <w:t>5.</w:t>
        <w:tab/>
      </w:r>
      <w:r>
        <w:t xml:space="preserve">Vous pouvez également lancer </w:t>
      </w:r>
      <w:r>
        <w:rPr>
          <w:b/>
        </w:rPr>
        <w:t>Calculer les correspondances</w:t>
      </w:r>
      <w:r>
        <w:t xml:space="preserve"> / </w:t>
      </w:r>
      <w:r>
        <w:rPr>
          <w:b/>
        </w:rPr>
        <w:t>Recalculer (sans IA)</w:t>
      </w:r>
      <w:r>
        <w:t xml:space="preserve"> sous « Classement général (sans poste spécifique) » pour classer les experts par rapport à l'opportunité de manière générale, sans lier le classement à un poste précis.</w:t>
      </w:r>
    </w:p>
    <w:p>
      <w:pPr>
        <w:spacing w:after="120"/>
      </w:pPr>
      <w:r>
        <w:rPr>
          <w:b/>
        </w:rPr>
        <w:t>Résultat attendu</w:t>
      </w:r>
      <w:r>
        <w:t xml:space="preserve"> : les experts présélectionnés apparaissent dans l'onglet </w:t>
      </w:r>
      <w:r>
        <w:rPr>
          <w:b/>
        </w:rPr>
        <w:t>Équipe</w:t>
      </w:r>
      <w:r>
        <w:t>.</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onglet Postes &amp; correspondances montrant un tableau de résultats classés</w:t>
      </w:r>
    </w:p>
    <w:p>
      <w:pPr>
        <w:pStyle w:val="Heading3"/>
      </w:pPr>
      <w:r>
        <w:t>3.6.5 Constituer l'équipe et la Proposition Financière</w:t>
      </w:r>
    </w:p>
    <w:p>
      <w:pPr>
        <w:spacing w:after="120"/>
      </w:pPr>
      <w:r>
        <w:t xml:space="preserve">Sur l'onglet </w:t>
      </w:r>
      <w:r>
        <w:rPr>
          <w:b/>
        </w:rPr>
        <w:t>Équipe</w:t>
      </w:r>
      <w:r>
        <w:t xml:space="preserve"> :</w:t>
      </w:r>
    </w:p>
    <w:p>
      <w:pPr>
        <w:spacing w:after="60"/>
        <w:ind w:left="432" w:hanging="432"/>
      </w:pPr>
      <w:r>
        <w:rPr>
          <w:b/>
        </w:rPr>
        <w:t>1.</w:t>
        <w:tab/>
      </w:r>
      <w:r>
        <w:t xml:space="preserve">Passez en revue les experts déjà présélectionnés via la correspondance, ou cliquez sur </w:t>
      </w:r>
      <w:r>
        <w:rPr>
          <w:b/>
        </w:rPr>
        <w:t>+ Ajouter un expert manuellement</w:t>
      </w:r>
      <w:r>
        <w:t xml:space="preserve"> pour en ajouter un directement (choisissez l'expert et saisissez un intitulé de rôle).</w:t>
      </w:r>
    </w:p>
    <w:p>
      <w:pPr>
        <w:spacing w:after="60"/>
        <w:ind w:left="432" w:hanging="432"/>
      </w:pPr>
      <w:r>
        <w:rPr>
          <w:b/>
        </w:rPr>
        <w:t>2.</w:t>
        <w:tab/>
      </w:r>
      <w:r>
        <w:t xml:space="preserve">Pour chaque membre de l'équipe, modifiez en ligne selon les besoins : </w:t>
      </w:r>
      <w:r>
        <w:rPr>
          <w:b/>
        </w:rPr>
        <w:t>Rôle</w:t>
      </w:r>
      <w:r>
        <w:t xml:space="preserve">, </w:t>
      </w:r>
      <w:r>
        <w:rPr>
          <w:b/>
        </w:rPr>
        <w:t>Statut</w:t>
      </w:r>
      <w:r>
        <w:t xml:space="preserve"> (présélectionné / sélectionné / confirmé), </w:t>
      </w:r>
      <w:r>
        <w:rPr>
          <w:b/>
        </w:rPr>
        <w:t>Jours</w:t>
      </w:r>
      <w:r>
        <w:t xml:space="preserve"> (jours alloués) et </w:t>
      </w:r>
      <w:r>
        <w:rPr>
          <w:b/>
        </w:rPr>
        <w:t>Taux journalier (USD)</w:t>
      </w:r>
      <w:r>
        <w:t xml:space="preserve">. La colonne </w:t>
      </w:r>
      <w:r>
        <w:rPr>
          <w:b/>
        </w:rPr>
        <w:t>Total</w:t>
      </w:r>
      <w:r>
        <w:t xml:space="preserve"> se calcule automatiquement (Jours × Taux journalier) — c'est la partie « taux journalier » de l'Assistant de Proposition Financière.</w:t>
      </w:r>
    </w:p>
    <w:p>
      <w:pPr>
        <w:spacing w:after="60"/>
        <w:ind w:left="432" w:hanging="432"/>
      </w:pPr>
      <w:r>
        <w:rPr>
          <w:b/>
        </w:rPr>
        <w:t>3.</w:t>
        <w:tab/>
      </w:r>
      <w:r>
        <w:t>Cliquez sur « Remove » (« Retirer ») pour retirer une personne de l'équipe. Il n'y a aucune confirmation demandée pour cette action, donc vérifiez bien avant de cliquer.</w:t>
      </w:r>
    </w:p>
    <w:p>
      <w:pPr>
        <w:spacing w:after="120"/>
      </w:pPr>
      <w:r>
        <w:rPr>
          <w:b/>
        </w:rPr>
        <w:t>Résultat attendu</w:t>
      </w:r>
      <w:r>
        <w:t xml:space="preserve"> : la liste de l'équipe alimente à la fois les documents de CV adaptés et le Budget de l'onglet Documents.</w:t>
      </w:r>
    </w:p>
    <w:p>
      <w:pPr>
        <w:pStyle w:val="Heading3"/>
      </w:pPr>
      <w:r>
        <w:t>3.6.6 Générer les documents de proposition</w:t>
      </w:r>
    </w:p>
    <w:p>
      <w:pPr>
        <w:spacing w:after="120"/>
      </w:pPr>
      <w:r>
        <w:t xml:space="preserve">Sur l'onglet </w:t>
      </w:r>
      <w:r>
        <w:rPr>
          <w:b/>
        </w:rPr>
        <w:t>Documents</w:t>
      </w:r>
      <w:r>
        <w:t xml:space="preserve">, vous trouverez une carte pour chacun des éléments suivants : </w:t>
      </w:r>
      <w:r>
        <w:rPr>
          <w:b/>
        </w:rPr>
        <w:t>EOI</w:t>
      </w:r>
      <w:r>
        <w:t xml:space="preserve">, </w:t>
      </w:r>
      <w:r>
        <w:rPr>
          <w:b/>
        </w:rPr>
        <w:t>Approche technique</w:t>
      </w:r>
      <w:r>
        <w:t xml:space="preserve">, </w:t>
      </w:r>
      <w:r>
        <w:rPr>
          <w:b/>
        </w:rPr>
        <w:t>Plan de travail</w:t>
      </w:r>
      <w:r>
        <w:t xml:space="preserve">, ainsi qu'un </w:t>
      </w:r>
      <w:r>
        <w:rPr>
          <w:b/>
        </w:rPr>
        <w:t>CV adapté</w:t>
      </w:r>
      <w:r>
        <w:t xml:space="preserve"> par membre de l'équipe.</w:t>
      </w:r>
    </w:p>
    <w:p>
      <w:pPr>
        <w:spacing w:after="60"/>
        <w:ind w:left="432" w:hanging="432"/>
      </w:pPr>
      <w:r>
        <w:rPr>
          <w:b/>
        </w:rPr>
        <w:t>1.</w:t>
        <w:tab/>
      </w:r>
      <w:r>
        <w:t xml:space="preserve">Cliquez sur « Generate » (« Générer ») sur n'importe quelle carte (le bouton devient </w:t>
      </w:r>
      <w:r>
        <w:rPr>
          <w:b/>
        </w:rPr>
        <w:t>Régénérer</w:t>
      </w:r>
      <w:r>
        <w:t xml:space="preserve"> une fois qu'un document existe déjà).</w:t>
      </w:r>
    </w:p>
    <w:p>
      <w:pPr>
        <w:spacing w:after="60"/>
        <w:ind w:left="432" w:hanging="432"/>
      </w:pPr>
      <w:r>
        <w:rPr>
          <w:b/>
        </w:rPr>
        <w:t>2.</w:t>
        <w:tab/>
      </w:r>
      <w:r>
        <w:t xml:space="preserve">Une fois généré, le document apparaît dans une zone de texte modifiable avec une bannière « </w:t>
      </w:r>
      <w:r>
        <w:rPr>
          <w:b/>
        </w:rPr>
        <w:t>BROUILLON — généré par IA, à vérifier avant utilisation</w:t>
      </w:r>
      <w:r>
        <w:t xml:space="preserve"> ». Modifiez le texte directement si nécessaire.</w:t>
      </w:r>
    </w:p>
    <w:p>
      <w:pPr>
        <w:spacing w:after="60"/>
        <w:ind w:left="432" w:hanging="432"/>
      </w:pPr>
      <w:r>
        <w:rPr>
          <w:b/>
        </w:rPr>
        <w:t>3.</w:t>
        <w:tab/>
      </w:r>
      <w:r>
        <w:t xml:space="preserve">Cliquez sur </w:t>
      </w:r>
      <w:r>
        <w:rPr>
          <w:b/>
        </w:rPr>
        <w:t>Enregistrer les modifications</w:t>
      </w:r>
      <w:r>
        <w:t xml:space="preserve"> pour sauvegarder vos changements — l'enregistrement fait automatiquement passer le statut du document de Brouillon à Révisé.</w:t>
      </w:r>
    </w:p>
    <w:p>
      <w:pPr>
        <w:spacing w:after="60"/>
        <w:ind w:left="432" w:hanging="432"/>
      </w:pPr>
      <w:r>
        <w:rPr>
          <w:b/>
        </w:rPr>
        <w:t>4.</w:t>
        <w:tab/>
      </w:r>
      <w:r>
        <w:t xml:space="preserve">Vous pouvez aussi cliquer sur </w:t>
      </w:r>
      <w:r>
        <w:rPr>
          <w:b/>
        </w:rPr>
        <w:t>Marquer comme révisé</w:t>
      </w:r>
      <w:r>
        <w:t xml:space="preserve"> pour approuver un brouillon IA tel quel, sans le modifier.</w:t>
      </w:r>
    </w:p>
    <w:p>
      <w:pPr>
        <w:spacing w:after="60"/>
        <w:ind w:left="432" w:hanging="432"/>
      </w:pPr>
      <w:r>
        <w:rPr>
          <w:b/>
        </w:rPr>
        <w:t>5.</w:t>
        <w:tab/>
      </w:r>
      <w:r>
        <w:t xml:space="preserve">Utilisez </w:t>
      </w:r>
      <w:r>
        <w:rPr>
          <w:b/>
        </w:rPr>
        <w:t>Exporter en Word</w:t>
      </w:r>
      <w:r>
        <w:t xml:space="preserve"> ou </w:t>
      </w:r>
      <w:r>
        <w:rPr>
          <w:b/>
        </w:rPr>
        <w:t>Exporter en PDF</w:t>
      </w:r>
      <w:r>
        <w:t xml:space="preserve"> pour télécharger ce document individuel, ou « Comments » (« Commentaires ») pour ouvrir un fil de discussion propre à ce document précis (voir Section 3.15).</w:t>
      </w:r>
    </w:p>
    <w:p>
      <w:pPr>
        <w:spacing w:before="80" w:after="160"/>
        <w:ind w:left="504"/>
        <w:shd w:fill="EEF3FA"/>
        <w:pBdr>
          <w:left w:val="single" w:sz="18" w:space="8" w:color="2E5F8A"/>
        </w:pBdr>
      </w:pPr>
      <w:r>
        <w:rPr>
          <w:b/>
          <w:i/>
        </w:rPr>
        <w:t>Remarque</w:t>
      </w:r>
      <w:r>
        <w:rPr>
          <w:i/>
        </w:rPr>
        <w:t xml:space="preserve"> : régénérer un document ramène toujours son statut à Brouillon, même s'il avait été précédemment marqué Révisé ou Final — une ancienne approbation n'est jamais reportée silencieusement, vérifiez et ré-approuvez donc après toute régénération.</w:t>
      </w:r>
    </w:p>
    <w:p>
      <w:pPr>
        <w:spacing w:after="120"/>
      </w:pPr>
      <w:r>
        <w:rPr>
          <w:b/>
        </w:rPr>
        <w:t>Saisir les frais de déplacement et autres dépenses :</w:t>
      </w:r>
    </w:p>
    <w:p>
      <w:pPr>
        <w:spacing w:after="60"/>
        <w:ind w:left="432" w:hanging="432"/>
      </w:pPr>
      <w:r>
        <w:rPr>
          <w:b/>
        </w:rPr>
        <w:t>1.</w:t>
        <w:tab/>
      </w:r>
      <w:r>
        <w:t xml:space="preserve">Sous les cartes de documents, dans la section </w:t>
      </w:r>
      <w:r>
        <w:rPr>
          <w:b/>
        </w:rPr>
        <w:t>Budget</w:t>
      </w:r>
      <w:r>
        <w:t xml:space="preserve">, cliquez sur </w:t>
      </w:r>
      <w:r>
        <w:rPr>
          <w:b/>
        </w:rPr>
        <w:t>+ Ajouter une ligne</w:t>
      </w:r>
      <w:r>
        <w:t xml:space="preserve"> pour ajouter un poste de dépense. Il vous sera demandé, un champ à la fois, la </w:t>
      </w:r>
      <w:r>
        <w:rPr>
          <w:b/>
        </w:rPr>
        <w:t>Catégorie</w:t>
      </w:r>
      <w:r>
        <w:t xml:space="preserve"> (doit être exactement </w:t>
      </w:r>
      <w:r>
        <w:rPr>
          <w:rFonts w:ascii="Consolas" w:hAnsi="Consolas"/>
          <w:color w:val="C02626"/>
          <w:sz w:val="20"/>
        </w:rPr>
        <w:t>travel</w:t>
      </w:r>
      <w:r>
        <w:t xml:space="preserve">, </w:t>
      </w:r>
      <w:r>
        <w:rPr>
          <w:rFonts w:ascii="Consolas" w:hAnsi="Consolas"/>
          <w:color w:val="C02626"/>
          <w:sz w:val="20"/>
        </w:rPr>
        <w:t>per_diem</w:t>
      </w:r>
      <w:r>
        <w:t xml:space="preserve"> ou </w:t>
      </w:r>
      <w:r>
        <w:rPr>
          <w:rFonts w:ascii="Consolas" w:hAnsi="Consolas"/>
          <w:color w:val="C02626"/>
          <w:sz w:val="20"/>
        </w:rPr>
        <w:t>other</w:t>
      </w:r>
      <w:r>
        <w:t xml:space="preserve">), la </w:t>
      </w:r>
      <w:r>
        <w:rPr>
          <w:b/>
        </w:rPr>
        <w:t>Description</w:t>
      </w:r>
      <w:r>
        <w:t xml:space="preserve">, la </w:t>
      </w:r>
      <w:r>
        <w:rPr>
          <w:b/>
        </w:rPr>
        <w:t>Quantité</w:t>
      </w:r>
      <w:r>
        <w:t xml:space="preserve"> et le </w:t>
      </w:r>
      <w:r>
        <w:rPr>
          <w:b/>
        </w:rPr>
        <w:t>Coût unitaire</w:t>
      </w:r>
      <w:r>
        <w:t>.</w:t>
      </w:r>
    </w:p>
    <w:p>
      <w:pPr>
        <w:spacing w:after="60"/>
        <w:ind w:left="432" w:hanging="432"/>
      </w:pPr>
      <w:r>
        <w:rPr>
          <w:b/>
        </w:rPr>
        <w:t>2.</w:t>
        <w:tab/>
      </w:r>
      <w:r>
        <w:t xml:space="preserve">Cliquez sur </w:t>
      </w:r>
      <w:r>
        <w:rPr>
          <w:b/>
        </w:rPr>
        <w:t>Générer / actualiser le budget</w:t>
      </w:r>
      <w:r>
        <w:t xml:space="preserve"> pour compiler la proposition financière complète : un tableau des honoraires construit à partir des données Jours × Taux journalier de l'onglet Équipe, un sous-total des honoraires, vos postes de dépense, un sous-total des dépenses, et un total général.</w:t>
      </w:r>
    </w:p>
    <w:p>
      <w:pPr>
        <w:spacing w:after="60"/>
        <w:ind w:left="432" w:hanging="432"/>
      </w:pPr>
      <w:r>
        <w:rPr>
          <w:b/>
        </w:rPr>
        <w:t>3.</w:t>
        <w:tab/>
      </w:r>
      <w:r>
        <w:t xml:space="preserve">Une fois généré, utilisez </w:t>
      </w:r>
      <w:r>
        <w:rPr>
          <w:b/>
        </w:rPr>
        <w:t>Marquer comme révisé</w:t>
      </w:r>
      <w:r>
        <w:t xml:space="preserve">, </w:t>
      </w:r>
      <w:r>
        <w:rPr>
          <w:b/>
        </w:rPr>
        <w:t>Exporter en Word</w:t>
      </w:r>
      <w:r>
        <w:t xml:space="preserve"> ou </w:t>
      </w:r>
      <w:r>
        <w:rPr>
          <w:b/>
        </w:rPr>
        <w:t>Exporter en PDF</w:t>
      </w:r>
      <w:r>
        <w:t xml:space="preserve"> sur la carte Budget comme pour tout autre document.</w:t>
      </w:r>
    </w:p>
    <w:p>
      <w:pPr>
        <w:spacing w:after="120"/>
      </w:pPr>
      <w:r>
        <w:rPr>
          <w:b/>
        </w:rPr>
        <w:t>Générer le Rapport Final Combiné :</w:t>
      </w:r>
    </w:p>
    <w:p>
      <w:pPr>
        <w:spacing w:after="60"/>
        <w:ind w:left="432" w:hanging="432"/>
      </w:pPr>
      <w:r>
        <w:rPr>
          <w:b/>
        </w:rPr>
        <w:t>1.</w:t>
        <w:tab/>
      </w:r>
      <w:r>
        <w:t>Faites défiler jusqu'à la section « Final Report » (« Rapport final ») en bas de l'onglet Documents. Elle répertorie chaque composant requis (EOI, Approche technique, Plan de travail, Budget, et le CV de chaque membre de l'équipe) avec son statut actuel.</w:t>
      </w:r>
    </w:p>
    <w:p>
      <w:pPr>
        <w:spacing w:after="60"/>
        <w:ind w:left="432" w:hanging="432"/>
      </w:pPr>
      <w:r>
        <w:rPr>
          <w:b/>
        </w:rPr>
        <w:t>2.</w:t>
        <w:tab/>
      </w:r>
      <w:r>
        <w:t xml:space="preserve">Chaque composant doit être au moins </w:t>
      </w:r>
      <w:r>
        <w:rPr>
          <w:b/>
        </w:rPr>
        <w:t>Révisé</w:t>
      </w:r>
      <w:r>
        <w:t xml:space="preserve"> (ou </w:t>
      </w:r>
      <w:r>
        <w:rPr>
          <w:b/>
        </w:rPr>
        <w:t>Final</w:t>
      </w:r>
      <w:r>
        <w:t xml:space="preserve">) avant de pouvoir exporter — tout élément encore marqué Brouillon est signalé « Needs review » (« À vérifier ») dans la liste de contrôle. Retournez modifier et cliquez sur </w:t>
      </w:r>
      <w:r>
        <w:rPr>
          <w:b/>
        </w:rPr>
        <w:t>Enregistrer les modifications</w:t>
      </w:r>
      <w:r>
        <w:t xml:space="preserve"> ou </w:t>
      </w:r>
      <w:r>
        <w:rPr>
          <w:b/>
        </w:rPr>
        <w:t>Marquer comme révisé</w:t>
      </w:r>
      <w:r>
        <w:t xml:space="preserve"> sur chaque élément en Brouillon jusqu'à ce que la liste de contrôle soit vide.</w:t>
      </w:r>
    </w:p>
    <w:p>
      <w:pPr>
        <w:spacing w:after="60"/>
        <w:ind w:left="432" w:hanging="432"/>
      </w:pPr>
      <w:r>
        <w:rPr>
          <w:b/>
        </w:rPr>
        <w:t>3.</w:t>
        <w:tab/>
      </w:r>
      <w:r>
        <w:t xml:space="preserve">Une fois chaque composant prêt, cliquez sur </w:t>
      </w:r>
      <w:r>
        <w:rPr>
          <w:b/>
        </w:rPr>
        <w:t>Exporter le Word combiné</w:t>
      </w:r>
      <w:r>
        <w:t xml:space="preserve"> ou </w:t>
      </w:r>
      <w:r>
        <w:rPr>
          <w:b/>
        </w:rPr>
        <w:t>Exporter le PDF combiné</w:t>
      </w:r>
      <w:r>
        <w:t xml:space="preserve"> (les deux sont désactivés tant que la liste de contrôle n'est pas entièrement validée).</w:t>
      </w:r>
    </w:p>
    <w:p>
      <w:pPr>
        <w:spacing w:after="120"/>
      </w:pPr>
      <w:r>
        <w:rPr>
          <w:b/>
        </w:rPr>
        <w:t>Résultat attendu</w:t>
      </w:r>
      <w:r>
        <w:t xml:space="preserve"> : un seul fichier prêt à soumettre, contenant une page de couverture, une table des matières, un résumé exécutif, et chaque document composant dans l'ordre.</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onglet Documents montrant la liste de contrôle de préparation du Rapport final</w:t>
      </w:r>
    </w:p>
    <w:p>
      <w:pPr>
        <w:pStyle w:val="Heading3"/>
      </w:pPr>
      <w:r>
        <w:t>3.6.7 Échanger à propos d'une opportunité</w:t>
      </w:r>
    </w:p>
    <w:p>
      <w:pPr>
        <w:spacing w:after="120"/>
      </w:pPr>
      <w:r>
        <w:t xml:space="preserve">L'onglet </w:t>
      </w:r>
      <w:r>
        <w:rPr>
          <w:b/>
        </w:rPr>
        <w:t>Discussion</w:t>
      </w:r>
      <w:r>
        <w:t xml:space="preserve"> héberge un fil de commentaires général portant sur l'opportunité dans son ensemble (pour un retour sur un document précis, utilisez plutôt le propre bouton « Comments » de ce document dans l'onglet Documents). Voir la Section 3.15 pour publier, répondre, résoudre et supprimer des commentaires.</w:t>
      </w:r>
    </w:p>
    <w:p>
      <w:pPr>
        <w:pStyle w:val="Heading3"/>
      </w:pPr>
      <w:r>
        <w:t>3.6.8 Supprimer une opportunité</w:t>
      </w:r>
    </w:p>
    <w:p>
      <w:pPr>
        <w:spacing w:after="120"/>
      </w:pPr>
      <w:r>
        <w:t xml:space="preserve">Cliquez sur « Delete Opportunity » (« Supprimer l'opportunité », disponible à la fois depuis la page liste et depuis la fiche détaillée). Confirmez dans la boîte de dialogue </w:t>
      </w:r>
      <w:r>
        <w:rPr>
          <w:b/>
        </w:rPr>
        <w:t>Delete Opportunity ?</w:t>
      </w:r>
      <w:r>
        <w:t xml:space="preserve">, qui avertit que cela supprime définitivement l'opportunité ainsi que ses exigences, ses correspondances, son équipe sélectionnée et tous les documents générés. Cliquez sur </w:t>
      </w:r>
      <w:r>
        <w:rPr>
          <w:b/>
        </w:rPr>
        <w:t>Supprimer définitivement</w:t>
      </w:r>
      <w:r>
        <w:t xml:space="preserve"> pour confirmer.</w:t>
      </w:r>
    </w:p>
    <w:p>
      <w:pPr>
        <w:spacing w:before="120" w:after="200"/>
        <w:pBdr>
          <w:bottom w:val="single" w:sz="8" w:space="1" w:color="9DC3E6"/>
        </w:pBdr>
      </w:pPr>
    </w:p>
    <w:p>
      <w:pPr>
        <w:pStyle w:val="Heading2"/>
      </w:pPr>
      <w:r>
        <w:t>3.7 Registre des sources surveillées</w:t>
      </w:r>
    </w:p>
    <w:p>
      <w:pPr>
        <w:spacing w:after="120"/>
      </w:pPr>
      <w:r>
        <w:rPr>
          <w:b/>
        </w:rPr>
        <w:t>Ce que cela fait</w:t>
      </w:r>
      <w:r>
        <w:t xml:space="preserve"> : maintient la liste des portails de bailleurs et autres sources d'appels d'offres surveillés par la plateforme, et affiche l'historique de chaque scan, automatique ou à la demande.</w:t>
      </w:r>
    </w:p>
    <w:p>
      <w:pPr>
        <w:spacing w:after="120"/>
      </w:pPr>
      <w:r>
        <w:rPr>
          <w:b/>
        </w:rPr>
        <w:t>Quand l'utiliser</w:t>
      </w:r>
      <w:r>
        <w:t xml:space="preserve"> : pour ajouter une nouvelle source à surveiller, ou pour vérifier pourquoi un scan a (ou n'a pas) détecté quelque chose.</w:t>
      </w:r>
    </w:p>
    <w:p>
      <w:pPr>
        <w:spacing w:after="120"/>
      </w:pPr>
      <w:r>
        <w:rPr>
          <w:b/>
        </w:rPr>
        <w:t>Prérequis</w:t>
      </w:r>
      <w:r>
        <w:t xml:space="preserve"> : rôle Administrateur. Ouvrez </w:t>
      </w:r>
      <w:r>
        <w:rPr>
          <w:b/>
        </w:rPr>
        <w:t>Sources de veille</w:t>
      </w:r>
      <w:r>
        <w:t xml:space="preserve"> dans le groupe Opportunités.</w:t>
      </w:r>
    </w:p>
    <w:p>
      <w:pPr>
        <w:pStyle w:val="Heading3"/>
      </w:pPr>
      <w:r>
        <w:t>3.7.1 Ajouter ou modifier une source</w:t>
      </w:r>
    </w:p>
    <w:p>
      <w:pPr>
        <w:spacing w:after="60"/>
        <w:ind w:left="432" w:hanging="432"/>
      </w:pPr>
      <w:r>
        <w:rPr>
          <w:b/>
        </w:rPr>
        <w:t>1.</w:t>
        <w:tab/>
      </w:r>
      <w:r>
        <w:t xml:space="preserve">Cliquez sur </w:t>
      </w:r>
      <w:r>
        <w:rPr>
          <w:b/>
        </w:rPr>
        <w:t>+ Ajouter une source</w:t>
      </w:r>
      <w:r>
        <w:t xml:space="preserve"> (ou </w:t>
      </w:r>
      <w:r>
        <w:rPr>
          <w:b/>
        </w:rPr>
        <w:t>Modifier</w:t>
      </w:r>
      <w:r>
        <w:t xml:space="preserve"> sur une ligne existante).</w:t>
      </w:r>
    </w:p>
    <w:p>
      <w:pPr>
        <w:spacing w:after="60"/>
        <w:ind w:left="432" w:hanging="432"/>
      </w:pPr>
      <w:r>
        <w:rPr>
          <w:b/>
        </w:rPr>
        <w:t>2.</w:t>
        <w:tab/>
      </w:r>
      <w:r>
        <w:t xml:space="preserve">Saisissez le </w:t>
      </w:r>
      <w:r>
        <w:rPr>
          <w:b/>
        </w:rPr>
        <w:t>Nom</w:t>
      </w:r>
      <w:r>
        <w:t xml:space="preserve"> et l'</w:t>
      </w:r>
      <w:r>
        <w:rPr>
          <w:b/>
        </w:rPr>
        <w:t>URL du portail</w:t>
      </w:r>
      <w:r>
        <w:t>.</w:t>
      </w:r>
    </w:p>
    <w:p>
      <w:pPr>
        <w:spacing w:after="60"/>
        <w:ind w:left="432" w:hanging="432"/>
      </w:pPr>
      <w:r>
        <w:rPr>
          <w:b/>
        </w:rPr>
        <w:t>3.</w:t>
        <w:tab/>
      </w:r>
      <w:r>
        <w:t xml:space="preserve">Choisissez une </w:t>
      </w:r>
      <w:r>
        <w:rPr>
          <w:b/>
        </w:rPr>
        <w:t>Méthode d'accès</w:t>
      </w:r>
      <w:r>
        <w:t xml:space="preserve"> :</w:t>
      </w:r>
    </w:p>
    <w:p>
      <w:pPr>
        <w:pStyle w:val="ListBullet"/>
      </w:pPr>
      <w:r>
        <w:rPr>
          <w:b/>
        </w:rPr>
        <w:t>API (automatisable)</w:t>
      </w:r>
      <w:r>
        <w:t xml:space="preserve"> — éligible au bouton Scanner les sources et au scan automatique quotidien.</w:t>
      </w:r>
    </w:p>
    <w:p>
      <w:pPr>
        <w:pStyle w:val="ListBullet"/>
      </w:pPr>
      <w:r>
        <w:rPr>
          <w:b/>
        </w:rPr>
        <w:t>Flux RSS</w:t>
      </w:r>
      <w:r>
        <w:t xml:space="preserve"> — à titre informatif uniquement ; non automatisé par cette plateforme.</w:t>
      </w:r>
    </w:p>
    <w:p>
      <w:pPr>
        <w:pStyle w:val="ListBullet"/>
      </w:pPr>
      <w:r>
        <w:rPr>
          <w:b/>
        </w:rPr>
        <w:t>Digest par e-mail</w:t>
      </w:r>
      <w:r>
        <w:t xml:space="preserve"> — à titre informatif uniquement ; non automatisé.</w:t>
      </w:r>
    </w:p>
    <w:p>
      <w:pPr>
        <w:pStyle w:val="ListBullet"/>
      </w:pPr>
      <w:r>
        <w:rPr>
          <w:b/>
        </w:rPr>
        <w:t>Manuel — coller les avis</w:t>
      </w:r>
      <w:r>
        <w:t xml:space="preserve"> — vous surveillez cette source vous-même et utilisez le flux de saisie par texte collé de la création d'opportunité (Section 3.6.1) pour y intégrer des avis.</w:t>
      </w:r>
    </w:p>
    <w:p>
      <w:pPr>
        <w:spacing w:after="60"/>
        <w:ind w:left="432" w:hanging="432"/>
      </w:pPr>
      <w:r>
        <w:rPr>
          <w:b/>
        </w:rPr>
        <w:t>4.</w:t>
        <w:tab/>
      </w:r>
      <w:r>
        <w:t xml:space="preserve">Ajoutez éventuellement des </w:t>
      </w:r>
      <w:r>
        <w:rPr>
          <w:b/>
        </w:rPr>
        <w:t>Notes</w:t>
      </w:r>
      <w:r>
        <w:t xml:space="preserve">, et laissez </w:t>
      </w:r>
      <w:r>
        <w:rPr>
          <w:b/>
        </w:rPr>
        <w:t>Actif</w:t>
      </w:r>
      <w:r>
        <w:t xml:space="preserve"> coché (décochez pour l'exclure du scan sans la supprimer).</w:t>
      </w:r>
    </w:p>
    <w:p>
      <w:pPr>
        <w:spacing w:after="60"/>
        <w:ind w:left="432" w:hanging="432"/>
      </w:pPr>
      <w:r>
        <w:rPr>
          <w:b/>
        </w:rPr>
        <w:t>5.</w:t>
        <w:tab/>
      </w:r>
      <w:r>
        <w:t xml:space="preserve">Cliquez sur </w:t>
      </w:r>
      <w:r>
        <w:rPr>
          <w:b/>
        </w:rPr>
        <w:t>Enregistrer</w:t>
      </w:r>
      <w:r>
        <w:t>.</w:t>
      </w:r>
    </w:p>
    <w:p>
      <w:pPr>
        <w:pStyle w:val="Heading3"/>
      </w:pPr>
      <w:r>
        <w:t>3.7.2 Consulter l'historique des scans</w:t>
      </w:r>
    </w:p>
    <w:p>
      <w:pPr>
        <w:spacing w:after="120"/>
      </w:pPr>
      <w:r>
        <w:t xml:space="preserve">Faites défiler jusqu'au tableau </w:t>
      </w:r>
      <w:r>
        <w:rPr>
          <w:b/>
        </w:rPr>
        <w:t>Scan History</w:t>
      </w:r>
      <w:r>
        <w:t xml:space="preserve"> (« Historique des scans ») sur la même page. Chaque ligne indique quand un scan s'est exécuté, s'il s'agissait d'un scan </w:t>
      </w:r>
      <w:r>
        <w:rPr>
          <w:b/>
        </w:rPr>
        <w:t>Planifié</w:t>
      </w:r>
      <w:r>
        <w:t xml:space="preserve"> (l'exécution quotidienne automatique) ou </w:t>
      </w:r>
      <w:r>
        <w:rPr>
          <w:b/>
        </w:rPr>
        <w:t>Manuel</w:t>
      </w:r>
      <w:r>
        <w:t xml:space="preserve"> (vous cliquant sur Scanner les sources), combien de nouvelles opportunités il a trouvées, la répartition des scores Go / À étudier / Veille / Rejet, et s'il a réussi ou échoué. Il s'agit d'un journal en lecture seule — les 15 exécutions les plus récentes sont affichées.</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page Sources de veille montrant la liste des sources et le tableau Historique des scans</w:t>
      </w:r>
    </w:p>
    <w:p>
      <w:pPr>
        <w:spacing w:before="120" w:after="200"/>
        <w:pBdr>
          <w:bottom w:val="single" w:sz="8" w:space="1" w:color="9DC3E6"/>
        </w:pBdr>
      </w:pPr>
    </w:p>
    <w:p>
      <w:pPr>
        <w:pStyle w:val="Heading2"/>
      </w:pPr>
      <w:r>
        <w:t>3.8 Base de connaissances des propositions</w:t>
      </w:r>
    </w:p>
    <w:p>
      <w:pPr>
        <w:spacing w:after="120"/>
      </w:pPr>
      <w:r>
        <w:rPr>
          <w:b/>
        </w:rPr>
        <w:t>Ce que cela fait</w:t>
      </w:r>
      <w:r>
        <w:t xml:space="preserve"> : une bibliothèque d'anciennes propositions, méthodologies, références de projets, notes sur les exigences des bailleurs et modèles, que le générateur de propositions par IA consulte automatiquement comme référence de ton et de précédent lors de la rédaction d'une EOI ou d'une Approche technique.</w:t>
      </w:r>
    </w:p>
    <w:p>
      <w:pPr>
        <w:spacing w:after="120"/>
      </w:pPr>
      <w:r>
        <w:rPr>
          <w:b/>
        </w:rPr>
        <w:t>Quand l'utiliser</w:t>
      </w:r>
      <w:r>
        <w:t xml:space="preserve"> : après avoir remporté ou achevé une proposition, pour capitaliser du contenu réutilisable pour de futures offres.</w:t>
      </w:r>
    </w:p>
    <w:p>
      <w:pPr>
        <w:spacing w:after="120"/>
      </w:pPr>
      <w:r>
        <w:rPr>
          <w:b/>
        </w:rPr>
        <w:t>Prérequis</w:t>
      </w:r>
      <w:r>
        <w:t xml:space="preserve"> : rôle Administrateur. Ouvrez </w:t>
      </w:r>
      <w:r>
        <w:rPr>
          <w:b/>
        </w:rPr>
        <w:t>Base de connaissances</w:t>
      </w:r>
      <w:r>
        <w:t xml:space="preserve"> dans le groupe Opportunités.</w:t>
      </w:r>
    </w:p>
    <w:p>
      <w:pPr>
        <w:spacing w:after="60"/>
        <w:ind w:left="432" w:hanging="432"/>
      </w:pPr>
      <w:r>
        <w:rPr>
          <w:b/>
        </w:rPr>
        <w:t>1.</w:t>
        <w:tab/>
      </w:r>
      <w:r>
        <w:t xml:space="preserve">Cliquez sur </w:t>
      </w:r>
      <w:r>
        <w:rPr>
          <w:b/>
        </w:rPr>
        <w:t>+ Ajouter un document</w:t>
      </w:r>
      <w:r>
        <w:t>.</w:t>
      </w:r>
    </w:p>
    <w:p>
      <w:pPr>
        <w:spacing w:after="60"/>
        <w:ind w:left="432" w:hanging="432"/>
      </w:pPr>
      <w:r>
        <w:rPr>
          <w:b/>
        </w:rPr>
        <w:t>2.</w:t>
        <w:tab/>
      </w:r>
      <w:r>
        <w:t>Glissez un fichier sur la zone de dépôt (ou cliquez pour parcourir — PDF, DOCX, DOC ou TXT, jusqu'à 10 Mo).</w:t>
      </w:r>
    </w:p>
    <w:p>
      <w:pPr>
        <w:spacing w:after="60"/>
        <w:ind w:left="432" w:hanging="432"/>
      </w:pPr>
      <w:r>
        <w:rPr>
          <w:b/>
        </w:rPr>
        <w:t>3.</w:t>
        <w:tab/>
      </w:r>
      <w:r>
        <w:t>Cliquez sur « Extract Content with AI » (« Extraire le contenu avec l'IA ») pour que la plateforme extraie automatiquement le texte du document.</w:t>
      </w:r>
    </w:p>
    <w:p>
      <w:pPr>
        <w:spacing w:after="60"/>
        <w:ind w:left="432" w:hanging="432"/>
      </w:pPr>
      <w:r>
        <w:rPr>
          <w:b/>
        </w:rPr>
        <w:t>4.</w:t>
        <w:tab/>
      </w:r>
      <w:r>
        <w:t>Vérifiez le contenu extrait — la note à l'écran rappelle que les PDF sont condensés en un résumé plutôt que transcrits mot à mot, vérifiez-le donc attentivement ; les fichiers DOCX et TXT sont extraits sous forme de texte exact.</w:t>
      </w:r>
    </w:p>
    <w:p>
      <w:pPr>
        <w:spacing w:after="60"/>
        <w:ind w:left="432" w:hanging="432"/>
      </w:pPr>
      <w:r>
        <w:rPr>
          <w:b/>
        </w:rPr>
        <w:t>5.</w:t>
        <w:tab/>
      </w:r>
      <w:r>
        <w:t xml:space="preserve">Renseignez le </w:t>
      </w:r>
      <w:r>
        <w:rPr>
          <w:b/>
        </w:rPr>
        <w:t>Titre</w:t>
      </w:r>
      <w:r>
        <w:t xml:space="preserve"> (obligatoire), la </w:t>
      </w:r>
      <w:r>
        <w:rPr>
          <w:b/>
        </w:rPr>
        <w:t>Catégorie</w:t>
      </w:r>
      <w:r>
        <w:t xml:space="preserve"> (l'une des suivantes : </w:t>
      </w:r>
      <w:r>
        <w:rPr>
          <w:b/>
        </w:rPr>
        <w:t>Méthodologies</w:t>
      </w:r>
      <w:r>
        <w:t xml:space="preserve">, </w:t>
      </w:r>
      <w:r>
        <w:rPr>
          <w:b/>
        </w:rPr>
        <w:t>Propositions techniques</w:t>
      </w:r>
      <w:r>
        <w:t xml:space="preserve">, </w:t>
      </w:r>
      <w:r>
        <w:rPr>
          <w:b/>
        </w:rPr>
        <w:t>CV</w:t>
      </w:r>
      <w:r>
        <w:t xml:space="preserve">, </w:t>
      </w:r>
      <w:r>
        <w:rPr>
          <w:b/>
        </w:rPr>
        <w:t>Références</w:t>
      </w:r>
      <w:r>
        <w:t xml:space="preserve">, </w:t>
      </w:r>
      <w:r>
        <w:rPr>
          <w:b/>
        </w:rPr>
        <w:t>Exigences des bailleurs</w:t>
      </w:r>
      <w:r>
        <w:t xml:space="preserve"> ou </w:t>
      </w:r>
      <w:r>
        <w:rPr>
          <w:b/>
        </w:rPr>
        <w:t>Modèles</w:t>
      </w:r>
      <w:r>
        <w:t xml:space="preserve">), des étiquettes facultatives </w:t>
      </w:r>
      <w:r>
        <w:rPr>
          <w:b/>
        </w:rPr>
        <w:t>Secteur</w:t>
      </w:r>
      <w:r>
        <w:t xml:space="preserve"> et </w:t>
      </w:r>
      <w:r>
        <w:rPr>
          <w:b/>
        </w:rPr>
        <w:t>Bailleur</w:t>
      </w:r>
      <w:r>
        <w:t xml:space="preserve">, et une </w:t>
      </w:r>
      <w:r>
        <w:rPr>
          <w:b/>
        </w:rPr>
        <w:t>Description</w:t>
      </w:r>
      <w:r>
        <w:t>.</w:t>
      </w:r>
    </w:p>
    <w:p>
      <w:pPr>
        <w:spacing w:after="60"/>
        <w:ind w:left="432" w:hanging="432"/>
      </w:pPr>
      <w:r>
        <w:rPr>
          <w:b/>
        </w:rPr>
        <w:t>6.</w:t>
        <w:tab/>
      </w:r>
      <w:r>
        <w:t xml:space="preserve">Cliquez sur </w:t>
      </w:r>
      <w:r>
        <w:rPr>
          <w:b/>
        </w:rPr>
        <w:t>Enregistrer</w:t>
      </w:r>
      <w:r>
        <w:t>.</w:t>
      </w:r>
    </w:p>
    <w:p>
      <w:pPr>
        <w:spacing w:after="120"/>
      </w:pPr>
      <w:r>
        <w:rPr>
          <w:b/>
        </w:rPr>
        <w:t>Résultat attendu</w:t>
      </w:r>
      <w:r>
        <w:t xml:space="preserve"> : le document est stocké et devient éligible pour être intégré dans de futurs brouillons d'EOI/Approche technique pour des opportunités correspondant à ses étiquettes de secteur ou de bailleur (ou, s'il n'est pas étiqueté, il peut tout de même être utilisé comme référence générale récente).</w:t>
      </w:r>
    </w:p>
    <w:p>
      <w:pPr>
        <w:spacing w:after="120"/>
      </w:pPr>
      <w:r>
        <w:t xml:space="preserve">Utilisez le champ de recherche et le filtre </w:t>
      </w:r>
      <w:r>
        <w:rPr>
          <w:b/>
        </w:rPr>
        <w:t>Catégorie</w:t>
      </w:r>
      <w:r>
        <w:t xml:space="preserve"> au-dessus du tableau pour retrouver des documents existants ; cliquez sur « View file » (« Voir le fichier ») pour en ouvrir un, ou sur </w:t>
      </w:r>
      <w:r>
        <w:rPr>
          <w:b/>
        </w:rPr>
        <w:t>Supprimer</w:t>
      </w:r>
      <w:r>
        <w:t xml:space="preserve"> pour le retirer définitivement.</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fenêtre Ajouter un document montrant l'étape d'extraction par IA</w:t>
      </w:r>
    </w:p>
    <w:p>
      <w:pPr>
        <w:spacing w:before="120" w:after="200"/>
        <w:pBdr>
          <w:bottom w:val="single" w:sz="8" w:space="1" w:color="9DC3E6"/>
        </w:pBdr>
      </w:pPr>
    </w:p>
    <w:p>
      <w:pPr>
        <w:pStyle w:val="Heading2"/>
      </w:pPr>
      <w:r>
        <w:t>3.9 Base des enseignements tirés</w:t>
      </w:r>
    </w:p>
    <w:p>
      <w:pPr>
        <w:spacing w:after="120"/>
      </w:pPr>
      <w:r>
        <w:rPr>
          <w:b/>
        </w:rPr>
        <w:t>Ce que cela fait</w:t>
      </w:r>
      <w:r>
        <w:t xml:space="preserve"> : un journal structuré de retours d'expérience, distinct de la bibliothèque de documents ci-dessus — de courtes fiches sur ce qui a fonctionné ou non, plutôt que des fichiers. Les entrées de type </w:t>
      </w:r>
      <w:r>
        <w:rPr>
          <w:b/>
        </w:rPr>
        <w:t>Difficulté</w:t>
      </w:r>
      <w:r>
        <w:t xml:space="preserve"> sont automatiquement présentées à l'IA lorsqu'elle rédige une future Approche technique ou un Plan de travail pour un secteur/bailleur similaire, à titre de conseil pour éviter de répéter une erreur.</w:t>
      </w:r>
    </w:p>
    <w:p>
      <w:pPr>
        <w:spacing w:after="120"/>
      </w:pPr>
      <w:r>
        <w:rPr>
          <w:b/>
        </w:rPr>
        <w:t>Quand l'utiliser</w:t>
      </w:r>
      <w:r>
        <w:t xml:space="preserve"> : après une proposition ou une étape d'exécution, pour consigner quelque chose qui mérite d'être retenu la prochaine fois.</w:t>
      </w:r>
    </w:p>
    <w:p>
      <w:pPr>
        <w:spacing w:after="120"/>
      </w:pPr>
      <w:r>
        <w:rPr>
          <w:b/>
        </w:rPr>
        <w:t>Prérequis</w:t>
      </w:r>
      <w:r>
        <w:t xml:space="preserve"> : rôle Administrateur. Ouvrez </w:t>
      </w:r>
      <w:r>
        <w:rPr>
          <w:b/>
        </w:rPr>
        <w:t>Enseignements tirés</w:t>
      </w:r>
      <w:r>
        <w:t xml:space="preserve"> dans le groupe Opportunités.</w:t>
      </w:r>
    </w:p>
    <w:p>
      <w:pPr>
        <w:spacing w:after="60"/>
        <w:ind w:left="432" w:hanging="432"/>
      </w:pPr>
      <w:r>
        <w:rPr>
          <w:b/>
        </w:rPr>
        <w:t>1.</w:t>
        <w:tab/>
      </w:r>
      <w:r>
        <w:t xml:space="preserve">Cliquez sur </w:t>
      </w:r>
      <w:r>
        <w:rPr>
          <w:b/>
        </w:rPr>
        <w:t>+ Ajouter une leçon</w:t>
      </w:r>
      <w:r>
        <w:t>.</w:t>
      </w:r>
    </w:p>
    <w:p>
      <w:pPr>
        <w:spacing w:after="60"/>
        <w:ind w:left="432" w:hanging="432"/>
      </w:pPr>
      <w:r>
        <w:rPr>
          <w:b/>
        </w:rPr>
        <w:t>2.</w:t>
        <w:tab/>
      </w:r>
      <w:r>
        <w:t xml:space="preserve">Saisissez un </w:t>
      </w:r>
      <w:r>
        <w:rPr>
          <w:b/>
        </w:rPr>
        <w:t>Titre</w:t>
      </w:r>
      <w:r>
        <w:t>.</w:t>
      </w:r>
    </w:p>
    <w:p>
      <w:pPr>
        <w:spacing w:after="60"/>
        <w:ind w:left="432" w:hanging="432"/>
      </w:pPr>
      <w:r>
        <w:rPr>
          <w:b/>
        </w:rPr>
        <w:t>3.</w:t>
        <w:tab/>
      </w:r>
      <w:r>
        <w:t xml:space="preserve">Choisissez un </w:t>
      </w:r>
      <w:r>
        <w:rPr>
          <w:b/>
        </w:rPr>
        <w:t>Type</w:t>
      </w:r>
      <w:r>
        <w:t xml:space="preserve"> : « Challenge — avoid next time » (« Difficulté — à éviter la prochaine fois », par défaut) ou « Success — repeat next time » (« Réussite — à reproduire la prochaine fois »).</w:t>
      </w:r>
    </w:p>
    <w:p>
      <w:pPr>
        <w:spacing w:after="60"/>
        <w:ind w:left="432" w:hanging="432"/>
      </w:pPr>
      <w:r>
        <w:rPr>
          <w:b/>
        </w:rPr>
        <w:t>4.</w:t>
        <w:tab/>
      </w:r>
      <w:r>
        <w:t xml:space="preserve">Choisissez une </w:t>
      </w:r>
      <w:r>
        <w:rPr>
          <w:b/>
        </w:rPr>
        <w:t>Catégorie</w:t>
      </w:r>
      <w:r>
        <w:t xml:space="preserve"> : Processus de proposition, Livraison technique, Finances et budget, Relations client / bailleur, Équipe et effectifs, Logistique et opérations, Conformité et éligibilité, ou Autre.</w:t>
      </w:r>
    </w:p>
    <w:p>
      <w:pPr>
        <w:spacing w:after="60"/>
        <w:ind w:left="432" w:hanging="432"/>
      </w:pPr>
      <w:r>
        <w:rPr>
          <w:b/>
        </w:rPr>
        <w:t>5.</w:t>
        <w:tab/>
      </w:r>
      <w:r>
        <w:t xml:space="preserve">Reliez éventuellement une </w:t>
      </w:r>
      <w:r>
        <w:rPr>
          <w:b/>
        </w:rPr>
        <w:t>Opportunité associée</w:t>
      </w:r>
      <w:r>
        <w:t xml:space="preserve">, un </w:t>
      </w:r>
      <w:r>
        <w:rPr>
          <w:b/>
        </w:rPr>
        <w:t>Secteur</w:t>
      </w:r>
      <w:r>
        <w:t xml:space="preserve"> et/ou un </w:t>
      </w:r>
      <w:r>
        <w:rPr>
          <w:b/>
        </w:rPr>
        <w:t>Bailleur</w:t>
      </w:r>
      <w:r>
        <w:t>.</w:t>
      </w:r>
    </w:p>
    <w:p>
      <w:pPr>
        <w:spacing w:after="60"/>
        <w:ind w:left="432" w:hanging="432"/>
      </w:pPr>
      <w:r>
        <w:rPr>
          <w:b/>
        </w:rPr>
        <w:t>6.</w:t>
        <w:tab/>
      </w:r>
      <w:r>
        <w:t xml:space="preserve">Décrivez </w:t>
      </w:r>
      <w:r>
        <w:rPr>
          <w:b/>
        </w:rPr>
        <w:t>ce qui s'est passé</w:t>
      </w:r>
      <w:r>
        <w:t xml:space="preserve"> (facultatif) et, obligatoirement, une </w:t>
      </w:r>
      <w:r>
        <w:rPr>
          <w:b/>
        </w:rPr>
        <w:t>Recommandation</w:t>
      </w:r>
      <w:r>
        <w:t xml:space="preserve"> — ce qu'il faut faire différemment (ou reproduire) la prochaine fois.</w:t>
      </w:r>
    </w:p>
    <w:p>
      <w:pPr>
        <w:spacing w:after="60"/>
        <w:ind w:left="432" w:hanging="432"/>
      </w:pPr>
      <w:r>
        <w:rPr>
          <w:b/>
        </w:rPr>
        <w:t>7.</w:t>
        <w:tab/>
      </w:r>
      <w:r>
        <w:t xml:space="preserve">Cliquez sur </w:t>
      </w:r>
      <w:r>
        <w:rPr>
          <w:b/>
        </w:rPr>
        <w:t>Enregistrer</w:t>
      </w:r>
      <w:r>
        <w:t>.</w:t>
      </w:r>
    </w:p>
    <w:p>
      <w:pPr>
        <w:spacing w:after="120"/>
      </w:pPr>
      <w:r>
        <w:rPr>
          <w:b/>
        </w:rPr>
        <w:t>Résultat attendu</w:t>
      </w:r>
      <w:r>
        <w:t xml:space="preserve"> : l'entrée est ajoutée au journal ; s'il s'agit d'une entrée de type Difficulté étiquetée par secteur/bailleur, elle devient éligible pour être intégrée automatiquement dans de futurs brouillons de proposition pour des opportunités similaires.</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fenêtre Ajouter une leçon montrant les champs Type et Catégorie</w:t>
      </w:r>
    </w:p>
    <w:p>
      <w:pPr>
        <w:spacing w:before="120" w:after="200"/>
        <w:pBdr>
          <w:bottom w:val="single" w:sz="8" w:space="1" w:color="9DC3E6"/>
        </w:pBdr>
      </w:pPr>
    </w:p>
    <w:p>
      <w:pPr>
        <w:pStyle w:val="Heading2"/>
      </w:pPr>
      <w:r>
        <w:t>3.10 Ask ACSD Intelligence</w:t>
      </w:r>
    </w:p>
    <w:p>
      <w:pPr>
        <w:spacing w:after="120"/>
      </w:pPr>
      <w:r>
        <w:rPr>
          <w:b/>
        </w:rPr>
        <w:t>Ce que cela fait</w:t>
      </w:r>
      <w:r>
        <w:t xml:space="preserve"> : une recherche en langage naturel sur le vivier d'experts — saisissez une question en clair, en anglais ou en français, et obtenez de vrais résultats issus de la base de données (et non une réponse inventée par l'IA).</w:t>
      </w:r>
    </w:p>
    <w:p>
      <w:pPr>
        <w:spacing w:after="120"/>
      </w:pPr>
      <w:r>
        <w:rPr>
          <w:b/>
        </w:rPr>
        <w:t>Quand l'utiliser</w:t>
      </w:r>
      <w:r>
        <w:t xml:space="preserve"> : comme alternative plus rapide au réglage manuel de filtres, en particulier pour des questions composées comme « qui parle français et a une expérience WASH au Tchad ? ».</w:t>
      </w:r>
    </w:p>
    <w:p>
      <w:pPr>
        <w:spacing w:after="120"/>
      </w:pPr>
      <w:r>
        <w:rPr>
          <w:b/>
        </w:rPr>
        <w:t>Prérequis</w:t>
      </w:r>
      <w:r>
        <w:t xml:space="preserve"> : rôle Administrateur. Ouvrez </w:t>
      </w:r>
      <w:r>
        <w:rPr>
          <w:b/>
        </w:rPr>
        <w:t>Ask ACSD Intelligence</w:t>
      </w:r>
      <w:r>
        <w:t xml:space="preserve"> dans le groupe Vivier.</w:t>
      </w:r>
    </w:p>
    <w:p>
      <w:pPr>
        <w:spacing w:after="60"/>
        <w:ind w:left="432" w:hanging="432"/>
      </w:pPr>
      <w:r>
        <w:rPr>
          <w:b/>
        </w:rPr>
        <w:t>1.</w:t>
        <w:tab/>
      </w:r>
      <w:r>
        <w:t>Saisissez votre question dans le champ de recherche — par exemple, « Trouve-moi les 5 meilleurs experts pour le contrat-cadre en RDC » ou « Qui parle français et a une expérience WASH au Tchad ? ».</w:t>
      </w:r>
    </w:p>
    <w:p>
      <w:pPr>
        <w:spacing w:after="60"/>
        <w:ind w:left="432" w:hanging="432"/>
      </w:pPr>
      <w:r>
        <w:rPr>
          <w:b/>
        </w:rPr>
        <w:t>2.</w:t>
        <w:tab/>
      </w:r>
      <w:r>
        <w:t xml:space="preserve">Cliquez sur </w:t>
      </w:r>
      <w:r>
        <w:rPr>
          <w:b/>
        </w:rPr>
        <w:t>Demander</w:t>
      </w:r>
      <w:r>
        <w:t xml:space="preserve"> (ou appuyez sur Entrée).</w:t>
      </w:r>
    </w:p>
    <w:p>
      <w:pPr>
        <w:spacing w:after="120"/>
      </w:pPr>
      <w:r>
        <w:rPr>
          <w:b/>
        </w:rPr>
        <w:t>Résultat attendu</w:t>
      </w:r>
      <w:r>
        <w:t xml:space="preserve"> : une bannière indique comment la plateforme a interprété votre question (et, si elle correspond à une opportunité ouverte précise, un lien vers celle-ci et une indication sur le fait qu'elle a réutilisé ou non les scores de correspondance déjà calculés pour cette opportunité), suivie d'une carte par expert correspondant, avec une justification de pertinence et un score. Cliquez sur le nom d'un expert pour ouvrir directement sa fiche dans le formulaire de modification de la page Experts.</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page Ask ACSD Intelligence montrant une requête et ses résultats</w:t>
      </w:r>
    </w:p>
    <w:p>
      <w:pPr>
        <w:spacing w:before="120" w:after="200"/>
        <w:pBdr>
          <w:bottom w:val="single" w:sz="8" w:space="1" w:color="9DC3E6"/>
        </w:pBdr>
      </w:pPr>
    </w:p>
    <w:p>
      <w:pPr>
        <w:pStyle w:val="Heading2"/>
      </w:pPr>
      <w:r>
        <w:t>3.11 Gestion des contrats</w:t>
      </w:r>
    </w:p>
    <w:p>
      <w:pPr>
        <w:spacing w:after="120"/>
      </w:pPr>
      <w:r>
        <w:rPr>
          <w:b/>
        </w:rPr>
        <w:t>Ce que cela fait</w:t>
      </w:r>
      <w:r>
        <w:t xml:space="preserve"> : suit les accords signés une fois une opportunité remportée — le pendant côté exécution du pipeline de soumission — y compris les jalons et le statut des paiements.</w:t>
      </w:r>
    </w:p>
    <w:p>
      <w:pPr>
        <w:spacing w:after="120"/>
      </w:pPr>
      <w:r>
        <w:rPr>
          <w:b/>
        </w:rPr>
        <w:t>Quand l'utiliser</w:t>
      </w:r>
      <w:r>
        <w:t xml:space="preserve"> : une fois qu'une proposition est remportée et qu'un contrat est signé.</w:t>
      </w:r>
    </w:p>
    <w:p>
      <w:pPr>
        <w:spacing w:after="120"/>
      </w:pPr>
      <w:r>
        <w:rPr>
          <w:b/>
        </w:rPr>
        <w:t>Prérequis</w:t>
      </w:r>
      <w:r>
        <w:t xml:space="preserve"> : rôle Administrateur. Ouvrez </w:t>
      </w:r>
      <w:r>
        <w:rPr>
          <w:b/>
        </w:rPr>
        <w:t>Contrats</w:t>
      </w:r>
      <w:r>
        <w:t xml:space="preserve"> dans le groupe Exécution.</w:t>
      </w:r>
    </w:p>
    <w:p>
      <w:pPr>
        <w:pStyle w:val="Heading3"/>
      </w:pPr>
      <w:r>
        <w:t>3.11.1 Créer un contrat</w:t>
      </w:r>
    </w:p>
    <w:p>
      <w:pPr>
        <w:spacing w:after="60"/>
        <w:ind w:left="432" w:hanging="432"/>
      </w:pPr>
      <w:r>
        <w:rPr>
          <w:b/>
        </w:rPr>
        <w:t>1.</w:t>
        <w:tab/>
      </w:r>
      <w:r>
        <w:t xml:space="preserve">Cliquez sur </w:t>
      </w:r>
      <w:r>
        <w:rPr>
          <w:b/>
        </w:rPr>
        <w:t>+ Add Contract</w:t>
      </w:r>
      <w:r>
        <w:t xml:space="preserve"> (« Ajouter un contrat »).</w:t>
      </w:r>
    </w:p>
    <w:p>
      <w:pPr>
        <w:spacing w:after="60"/>
        <w:ind w:left="432" w:hanging="432"/>
      </w:pPr>
      <w:r>
        <w:rPr>
          <w:b/>
        </w:rPr>
        <w:t>2.</w:t>
        <w:tab/>
      </w:r>
      <w:r>
        <w:t xml:space="preserve">Saisissez le </w:t>
      </w:r>
      <w:r>
        <w:rPr>
          <w:b/>
        </w:rPr>
        <w:t>Titre</w:t>
      </w:r>
      <w:r>
        <w:t xml:space="preserve"> et le </w:t>
      </w:r>
      <w:r>
        <w:rPr>
          <w:b/>
        </w:rPr>
        <w:t>Client / Organisation</w:t>
      </w:r>
      <w:r>
        <w:t xml:space="preserve"> (les deux obligatoires).</w:t>
      </w:r>
    </w:p>
    <w:p>
      <w:pPr>
        <w:spacing w:after="60"/>
        <w:ind w:left="432" w:hanging="432"/>
      </w:pPr>
      <w:r>
        <w:rPr>
          <w:b/>
        </w:rPr>
        <w:t>3.</w:t>
        <w:tab/>
      </w:r>
      <w:r>
        <w:t xml:space="preserve">Renseignez éventuellement un </w:t>
      </w:r>
      <w:r>
        <w:rPr>
          <w:b/>
        </w:rPr>
        <w:t>Numéro de contrat</w:t>
      </w:r>
      <w:r>
        <w:t xml:space="preserve">, reliez une </w:t>
      </w:r>
      <w:r>
        <w:rPr>
          <w:b/>
        </w:rPr>
        <w:t>Opportunité associée</w:t>
      </w:r>
      <w:r>
        <w:t xml:space="preserve">, un </w:t>
      </w:r>
      <w:r>
        <w:rPr>
          <w:b/>
        </w:rPr>
        <w:t>Bailleur</w:t>
      </w:r>
      <w:r>
        <w:t xml:space="preserve"> et/ou une fiche </w:t>
      </w:r>
      <w:r>
        <w:rPr>
          <w:b/>
        </w:rPr>
        <w:t>Client (CRM)</w:t>
      </w:r>
      <w:r>
        <w:t>.</w:t>
      </w:r>
    </w:p>
    <w:p>
      <w:pPr>
        <w:spacing w:after="60"/>
        <w:ind w:left="432" w:hanging="432"/>
      </w:pPr>
      <w:r>
        <w:rPr>
          <w:b/>
        </w:rPr>
        <w:t>4.</w:t>
        <w:tab/>
      </w:r>
      <w:r>
        <w:t xml:space="preserve">Saisissez la </w:t>
      </w:r>
      <w:r>
        <w:rPr>
          <w:b/>
        </w:rPr>
        <w:t>Valeur</w:t>
      </w:r>
      <w:r>
        <w:t xml:space="preserve"> et choisissez une </w:t>
      </w:r>
      <w:r>
        <w:rPr>
          <w:b/>
        </w:rPr>
        <w:t>Devise</w:t>
      </w:r>
      <w:r>
        <w:t xml:space="preserve"> (USD, EUR, GBP ou XOF).</w:t>
      </w:r>
    </w:p>
    <w:p>
      <w:pPr>
        <w:spacing w:after="60"/>
        <w:ind w:left="432" w:hanging="432"/>
      </w:pPr>
      <w:r>
        <w:rPr>
          <w:b/>
        </w:rPr>
        <w:t>5.</w:t>
        <w:tab/>
      </w:r>
      <w:r>
        <w:t xml:space="preserve">Choisissez un </w:t>
      </w:r>
      <w:r>
        <w:rPr>
          <w:b/>
        </w:rPr>
        <w:t>Statut</w:t>
      </w:r>
      <w:r>
        <w:t xml:space="preserve"> : Brouillon, Actif, Terminé ou Résilié.</w:t>
      </w:r>
    </w:p>
    <w:p>
      <w:pPr>
        <w:spacing w:after="60"/>
        <w:ind w:left="432" w:hanging="432"/>
      </w:pPr>
      <w:r>
        <w:rPr>
          <w:b/>
        </w:rPr>
        <w:t>6.</w:t>
        <w:tab/>
      </w:r>
      <w:r>
        <w:t xml:space="preserve">Renseignez la </w:t>
      </w:r>
      <w:r>
        <w:rPr>
          <w:b/>
        </w:rPr>
        <w:t>Date de signature</w:t>
      </w:r>
      <w:r>
        <w:t xml:space="preserve">, la </w:t>
      </w:r>
      <w:r>
        <w:rPr>
          <w:b/>
        </w:rPr>
        <w:t>Date de début</w:t>
      </w:r>
      <w:r>
        <w:t xml:space="preserve"> et la </w:t>
      </w:r>
      <w:r>
        <w:rPr>
          <w:b/>
        </w:rPr>
        <w:t>Date de fin</w:t>
      </w:r>
      <w:r>
        <w:t xml:space="preserve"> selon le cas, ainsi que des </w:t>
      </w:r>
      <w:r>
        <w:rPr>
          <w:b/>
        </w:rPr>
        <w:t>Notes</w:t>
      </w:r>
      <w:r>
        <w:t>.</w:t>
      </w:r>
    </w:p>
    <w:p>
      <w:pPr>
        <w:spacing w:after="60"/>
        <w:ind w:left="432" w:hanging="432"/>
      </w:pPr>
      <w:r>
        <w:rPr>
          <w:b/>
        </w:rPr>
        <w:t>7.</w:t>
        <w:tab/>
      </w:r>
      <w:r>
        <w:t>Joignez éventuellement le fichier de l'</w:t>
      </w:r>
      <w:r>
        <w:rPr>
          <w:b/>
        </w:rPr>
        <w:t>Accord signé</w:t>
      </w:r>
      <w:r>
        <w:t xml:space="preserve"> (PDF, DOCX ou DOC, jusqu'à 10 Mo).</w:t>
      </w:r>
    </w:p>
    <w:p>
      <w:pPr>
        <w:spacing w:after="60"/>
        <w:ind w:left="432" w:hanging="432"/>
      </w:pPr>
      <w:r>
        <w:rPr>
          <w:b/>
        </w:rPr>
        <w:t>8.</w:t>
        <w:tab/>
      </w:r>
      <w:r>
        <w:t xml:space="preserve">Cliquez sur </w:t>
      </w:r>
      <w:r>
        <w:rPr>
          <w:b/>
        </w:rPr>
        <w:t>Enregistrer</w:t>
      </w:r>
      <w:r>
        <w:t>.</w:t>
      </w:r>
    </w:p>
    <w:p>
      <w:pPr>
        <w:pStyle w:val="Heading3"/>
      </w:pPr>
      <w:r>
        <w:t>3.11.2 Gérer les jalons</w:t>
      </w:r>
    </w:p>
    <w:p>
      <w:pPr>
        <w:spacing w:after="60"/>
        <w:ind w:left="432" w:hanging="432"/>
      </w:pPr>
      <w:r>
        <w:rPr>
          <w:b/>
        </w:rPr>
        <w:t>1.</w:t>
        <w:tab/>
      </w:r>
      <w:r>
        <w:t xml:space="preserve">Sur la liste des contrats, cliquez sur </w:t>
      </w:r>
      <w:r>
        <w:rPr>
          <w:b/>
        </w:rPr>
        <w:t>Jalons</w:t>
      </w:r>
      <w:r>
        <w:t xml:space="preserve"> (« Milestones ») sur la ligne du contrat concerné.</w:t>
      </w:r>
    </w:p>
    <w:p>
      <w:pPr>
        <w:spacing w:after="60"/>
        <w:ind w:left="432" w:hanging="432"/>
      </w:pPr>
      <w:r>
        <w:rPr>
          <w:b/>
        </w:rPr>
        <w:t>2.</w:t>
        <w:tab/>
      </w:r>
      <w:r>
        <w:t xml:space="preserve">Cliquez sur </w:t>
      </w:r>
      <w:r>
        <w:rPr>
          <w:b/>
        </w:rPr>
        <w:t>+ Ajouter un jalon</w:t>
      </w:r>
      <w:r>
        <w:t>.</w:t>
      </w:r>
    </w:p>
    <w:p>
      <w:pPr>
        <w:spacing w:after="60"/>
        <w:ind w:left="432" w:hanging="432"/>
      </w:pPr>
      <w:r>
        <w:rPr>
          <w:b/>
        </w:rPr>
        <w:t>3.</w:t>
        <w:tab/>
      </w:r>
      <w:r>
        <w:t xml:space="preserve">Saisissez un </w:t>
      </w:r>
      <w:r>
        <w:rPr>
          <w:b/>
        </w:rPr>
        <w:t>Titre</w:t>
      </w:r>
      <w:r>
        <w:t xml:space="preserve">, une </w:t>
      </w:r>
      <w:r>
        <w:rPr>
          <w:b/>
        </w:rPr>
        <w:t>Description</w:t>
      </w:r>
      <w:r>
        <w:t xml:space="preserve"> facultative, une </w:t>
      </w:r>
      <w:r>
        <w:rPr>
          <w:b/>
        </w:rPr>
        <w:t>Date d'échéance</w:t>
      </w:r>
      <w:r>
        <w:t xml:space="preserve">, un </w:t>
      </w:r>
      <w:r>
        <w:rPr>
          <w:b/>
        </w:rPr>
        <w:t>Montant</w:t>
      </w:r>
      <w:r>
        <w:t xml:space="preserve"> facultatif (à laisser vide pour un livrable sans paiement, comme un rapport de conformité), et un </w:t>
      </w:r>
      <w:r>
        <w:rPr>
          <w:b/>
        </w:rPr>
        <w:t>Statut</w:t>
      </w:r>
      <w:r>
        <w:t xml:space="preserve"> : Non commencé, Livré, Facturé ou Payé.</w:t>
      </w:r>
    </w:p>
    <w:p>
      <w:pPr>
        <w:spacing w:after="60"/>
        <w:ind w:left="432" w:hanging="432"/>
      </w:pPr>
      <w:r>
        <w:rPr>
          <w:b/>
        </w:rPr>
        <w:t>4.</w:t>
        <w:tab/>
      </w:r>
      <w:r>
        <w:t xml:space="preserve">Cliquez sur </w:t>
      </w:r>
      <w:r>
        <w:rPr>
          <w:b/>
        </w:rPr>
        <w:t>Enregistrer le jalon</w:t>
      </w:r>
      <w:r>
        <w:t>.</w:t>
      </w:r>
    </w:p>
    <w:p>
      <w:pPr>
        <w:spacing w:after="120"/>
      </w:pPr>
      <w:r>
        <w:rPr>
          <w:b/>
        </w:rPr>
        <w:t>Résultat attendu</w:t>
      </w:r>
      <w:r>
        <w:t xml:space="preserve"> : le jalon apparaît dans la liste. Si sa date d'échéance est dépassée et que son statut n'est ni Livré, ni Facturé, ni Payé, il est automatiquement affiché avec un badge rouge </w:t>
      </w:r>
      <w:r>
        <w:rPr>
          <w:b/>
        </w:rPr>
        <w:t>En retard</w:t>
      </w:r>
      <w:r>
        <w:t xml:space="preserve"> (« Overdue ») — ce calcul est effectué en temps réel, il ne s'agit pas d'un statut à définir manuellement.</w:t>
      </w:r>
    </w:p>
    <w:p>
      <w:pPr>
        <w:pStyle w:val="Heading3"/>
      </w:pPr>
      <w:r>
        <w:t>3.11.3 Lire la synthèse en haut de page</w:t>
      </w:r>
    </w:p>
    <w:p>
      <w:pPr>
        <w:spacing w:after="120"/>
      </w:pPr>
      <w:r>
        <w:t xml:space="preserve">Au-dessus de la liste des contrats, des cartes de synthèse affichent le </w:t>
      </w:r>
      <w:r>
        <w:rPr>
          <w:b/>
        </w:rPr>
        <w:t>Total des contrats</w:t>
      </w:r>
      <w:r>
        <w:t xml:space="preserve"> (un décompte global unique) puis, ventilés </w:t>
      </w:r>
      <w:r>
        <w:rPr>
          <w:b/>
        </w:rPr>
        <w:t>séparément par devise</w:t>
      </w:r>
      <w:r>
        <w:t xml:space="preserve"> (les totaux USD, EUR et XOF ne sont jamais additionnés entre eux) : la </w:t>
      </w:r>
      <w:r>
        <w:rPr>
          <w:b/>
        </w:rPr>
        <w:t>Valeur des contrats</w:t>
      </w:r>
      <w:r>
        <w:t xml:space="preserve">, le </w:t>
      </w:r>
      <w:r>
        <w:rPr>
          <w:b/>
        </w:rPr>
        <w:t>Payé à ce jour</w:t>
      </w:r>
      <w:r>
        <w:t xml:space="preserve"> (somme des jalons Payés) et le </w:t>
      </w:r>
      <w:r>
        <w:rPr>
          <w:b/>
        </w:rPr>
        <w:t>En attente de facturation</w:t>
      </w:r>
      <w:r>
        <w:t xml:space="preserve"> (somme des jalons Facturés mais pas encore Payés).</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page Contrats montrant la synthèse par devise et la fenêtre Jalons d'un contrat</w:t>
      </w:r>
    </w:p>
    <w:p>
      <w:pPr>
        <w:spacing w:before="120" w:after="200"/>
        <w:pBdr>
          <w:bottom w:val="single" w:sz="8" w:space="1" w:color="9DC3E6"/>
        </w:pBdr>
      </w:pPr>
    </w:p>
    <w:p>
      <w:pPr>
        <w:pStyle w:val="Heading2"/>
      </w:pPr>
      <w:r>
        <w:t>3.12 Gestion des tâches et intégration calendrier</w:t>
      </w:r>
    </w:p>
    <w:p>
      <w:pPr>
        <w:spacing w:after="120"/>
      </w:pPr>
      <w:r>
        <w:rPr>
          <w:b/>
        </w:rPr>
        <w:t>Ce que cela fait</w:t>
      </w:r>
      <w:r>
        <w:t xml:space="preserve"> : suit les affectations et les échéances, éventuellement liées à une opportunité ou à un contrat, avec un abonnement calendrier personnel afin que les tâches apparaissent dans votre application de calendrier habituelle.</w:t>
      </w:r>
    </w:p>
    <w:p>
      <w:pPr>
        <w:spacing w:after="120"/>
      </w:pPr>
      <w:r>
        <w:rPr>
          <w:b/>
        </w:rPr>
        <w:t>Quand l'utiliser</w:t>
      </w:r>
      <w:r>
        <w:t xml:space="preserve"> : pour attribuer un suivi avec échéance, à vous-même ou à un collègue.</w:t>
      </w:r>
    </w:p>
    <w:p>
      <w:pPr>
        <w:spacing w:after="120"/>
      </w:pPr>
      <w:r>
        <w:rPr>
          <w:b/>
        </w:rPr>
        <w:t>Prérequis</w:t>
      </w:r>
      <w:r>
        <w:t xml:space="preserve"> : rôle Administrateur. Ouvrez </w:t>
      </w:r>
      <w:r>
        <w:rPr>
          <w:b/>
        </w:rPr>
        <w:t>Tâches</w:t>
      </w:r>
      <w:r>
        <w:t xml:space="preserve"> (en haut de la barre latérale, section transversale).</w:t>
      </w:r>
    </w:p>
    <w:p>
      <w:pPr>
        <w:pStyle w:val="Heading3"/>
      </w:pPr>
      <w:r>
        <w:t>3.12.1 Créer une tâche</w:t>
      </w:r>
    </w:p>
    <w:p>
      <w:pPr>
        <w:spacing w:after="60"/>
        <w:ind w:left="432" w:hanging="432"/>
      </w:pPr>
      <w:r>
        <w:rPr>
          <w:b/>
        </w:rPr>
        <w:t>1.</w:t>
        <w:tab/>
      </w:r>
      <w:r>
        <w:t>Cliquez sur « + Add Task » (« Ajouter une tâche »).</w:t>
      </w:r>
    </w:p>
    <w:p>
      <w:pPr>
        <w:spacing w:after="60"/>
        <w:ind w:left="432" w:hanging="432"/>
      </w:pPr>
      <w:r>
        <w:rPr>
          <w:b/>
        </w:rPr>
        <w:t>2.</w:t>
        <w:tab/>
      </w:r>
      <w:r>
        <w:t xml:space="preserve">Saisissez un </w:t>
      </w:r>
      <w:r>
        <w:rPr>
          <w:b/>
        </w:rPr>
        <w:t>Titre</w:t>
      </w:r>
      <w:r>
        <w:t xml:space="preserve"> (obligatoire) et une </w:t>
      </w:r>
      <w:r>
        <w:rPr>
          <w:b/>
        </w:rPr>
        <w:t>Description</w:t>
      </w:r>
      <w:r>
        <w:t xml:space="preserve"> facultative.</w:t>
      </w:r>
    </w:p>
    <w:p>
      <w:pPr>
        <w:spacing w:after="60"/>
        <w:ind w:left="432" w:hanging="432"/>
      </w:pPr>
      <w:r>
        <w:rPr>
          <w:b/>
        </w:rPr>
        <w:t>3.</w:t>
        <w:tab/>
      </w:r>
      <w:r>
        <w:t xml:space="preserve">Choisissez éventuellement un </w:t>
      </w:r>
      <w:r>
        <w:rPr>
          <w:b/>
        </w:rPr>
        <w:t>Assigné à</w:t>
      </w:r>
      <w:r>
        <w:t xml:space="preserve">, et reliez une </w:t>
      </w:r>
      <w:r>
        <w:rPr>
          <w:b/>
        </w:rPr>
        <w:t>Opportunité associée</w:t>
      </w:r>
      <w:r>
        <w:t xml:space="preserve"> et/ou un </w:t>
      </w:r>
      <w:r>
        <w:rPr>
          <w:b/>
        </w:rPr>
        <w:t>Contrat associé</w:t>
      </w:r>
      <w:r>
        <w:t>.</w:t>
      </w:r>
    </w:p>
    <w:p>
      <w:pPr>
        <w:spacing w:after="60"/>
        <w:ind w:left="432" w:hanging="432"/>
      </w:pPr>
      <w:r>
        <w:rPr>
          <w:b/>
        </w:rPr>
        <w:t>4.</w:t>
        <w:tab/>
      </w:r>
      <w:r>
        <w:t xml:space="preserve">Définissez une </w:t>
      </w:r>
      <w:r>
        <w:rPr>
          <w:b/>
        </w:rPr>
        <w:t>Date d'échéance</w:t>
      </w:r>
      <w:r>
        <w:t xml:space="preserve">, une </w:t>
      </w:r>
      <w:r>
        <w:rPr>
          <w:b/>
        </w:rPr>
        <w:t>Priorité</w:t>
      </w:r>
      <w:r>
        <w:t xml:space="preserve"> (Basse, Moyenne, Haute) et un </w:t>
      </w:r>
      <w:r>
        <w:rPr>
          <w:b/>
        </w:rPr>
        <w:t>Statut</w:t>
      </w:r>
      <w:r>
        <w:t xml:space="preserve"> (Ouverte, En cours, Terminée).</w:t>
      </w:r>
    </w:p>
    <w:p>
      <w:pPr>
        <w:spacing w:after="60"/>
        <w:ind w:left="432" w:hanging="432"/>
      </w:pPr>
      <w:r>
        <w:rPr>
          <w:b/>
        </w:rPr>
        <w:t>5.</w:t>
        <w:tab/>
      </w:r>
      <w:r>
        <w:t xml:space="preserve">Cliquez sur </w:t>
      </w:r>
      <w:r>
        <w:rPr>
          <w:b/>
        </w:rPr>
        <w:t>Enregistrer</w:t>
      </w:r>
      <w:r>
        <w:t>.</w:t>
      </w:r>
    </w:p>
    <w:p>
      <w:pPr>
        <w:spacing w:after="120"/>
      </w:pPr>
      <w:r>
        <w:rPr>
          <w:b/>
        </w:rPr>
        <w:t>Résultat attendu</w:t>
      </w:r>
      <w:r>
        <w:t xml:space="preserve"> : la tâche apparaît dans la liste ; les quatre cartes de synthèse au-dessus (Ouvertes, En cours, Terminées, En retard) se mettent à jour en conséquence. Une tâche passe automatiquement </w:t>
      </w:r>
      <w:r>
        <w:rPr>
          <w:b/>
        </w:rPr>
        <w:t>En retard</w:t>
      </w:r>
      <w:r>
        <w:t xml:space="preserve"> une fois sa date d'échéance dépassée et tant qu'elle n'est pas marquée Terminée — là encore, ce calcul est effectué en temps réel plutôt qu'il ne s'agit d'un statut à définir.</w:t>
      </w:r>
    </w:p>
    <w:p>
      <w:pPr>
        <w:pStyle w:val="Heading3"/>
      </w:pPr>
      <w:r>
        <w:t>3.12.2 S'abonner à votre flux calendrier personnel</w:t>
      </w:r>
    </w:p>
    <w:p>
      <w:pPr>
        <w:spacing w:after="120"/>
      </w:pPr>
      <w:r>
        <w:t xml:space="preserve">La page Tâches comporte elle-même un panneau </w:t>
      </w:r>
      <w:r>
        <w:rPr>
          <w:b/>
        </w:rPr>
        <w:t>« My Calendar Feed »</w:t>
      </w:r>
      <w:r>
        <w:t xml:space="preserve"> (« Mon flux calendrier ») :</w:t>
      </w:r>
    </w:p>
    <w:p>
      <w:pPr>
        <w:spacing w:after="60"/>
        <w:ind w:left="432" w:hanging="432"/>
      </w:pPr>
      <w:r>
        <w:rPr>
          <w:b/>
        </w:rPr>
        <w:t>1.</w:t>
        <w:tab/>
      </w:r>
      <w:r>
        <w:t xml:space="preserve">Copiez l'URL affichée dans le champ en lecture seule (cliquez sur </w:t>
      </w:r>
      <w:r>
        <w:rPr>
          <w:b/>
        </w:rPr>
        <w:t>Copy Link</w:t>
      </w:r>
      <w:r>
        <w:t xml:space="preserve"> — « Copier le lien » — pour la copier dans le presse-papiers).</w:t>
      </w:r>
    </w:p>
    <w:p>
      <w:pPr>
        <w:spacing w:after="60"/>
        <w:ind w:left="432" w:hanging="432"/>
      </w:pPr>
      <w:r>
        <w:rPr>
          <w:b/>
        </w:rPr>
        <w:t>2.</w:t>
        <w:tab/>
      </w:r>
      <w:r>
        <w:t>Dans Google Calendar, Outlook ou Apple Calendar, utilisez l'option « S'abonner à un calendrier par URL » de cette application et collez le lien.</w:t>
      </w:r>
    </w:p>
    <w:p>
      <w:pPr>
        <w:spacing w:after="120"/>
      </w:pPr>
      <w:r>
        <w:rPr>
          <w:b/>
        </w:rPr>
        <w:t>Résultat attendu</w:t>
      </w:r>
      <w:r>
        <w:t xml:space="preserve"> : vos tâches assignées (et, si la Gestion des réunions est utilisée, vos réunions également) apparaissent automatiquement dans votre application de calendrier et se rafraîchissent périodiquement d'elles-mêmes. Il s'agit d'un flux </w:t>
      </w:r>
      <w:r>
        <w:rPr>
          <w:b/>
        </w:rPr>
        <w:t>à sens unique</w:t>
      </w:r>
      <w:r>
        <w:t xml:space="preserve"> — modifiez les tâches et les réunions ici, dans la plateforme, et non depuis votre application de calendrier.</w:t>
      </w:r>
    </w:p>
    <w:p>
      <w:pPr>
        <w:pStyle w:val="Heading3"/>
      </w:pPr>
      <w:r>
        <w:t>3.12.3 Télécharger un événement ponctuel</w:t>
      </w:r>
    </w:p>
    <w:p>
      <w:pPr>
        <w:spacing w:after="120"/>
      </w:pPr>
      <w:r>
        <w:t xml:space="preserve">Pour toute tâche ayant une date d'échéance, cliquez sur </w:t>
      </w:r>
      <w:r>
        <w:rPr>
          <w:b/>
        </w:rPr>
        <w:t>Ajouter au calendrier</w:t>
      </w:r>
      <w:r>
        <w:t xml:space="preserve"> sur sa ligne pour télécharger un fichier calendrier ponctuel pour cette seule tâche, sans configurer l'abonnement ci-dessus.</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page Tâches montrant les cartes de synthèse et le panneau Mon flux calendrier</w:t>
      </w:r>
    </w:p>
    <w:p>
      <w:pPr>
        <w:spacing w:before="120" w:after="200"/>
        <w:pBdr>
          <w:bottom w:val="single" w:sz="8" w:space="1" w:color="9DC3E6"/>
        </w:pBdr>
      </w:pPr>
    </w:p>
    <w:p>
      <w:pPr>
        <w:pStyle w:val="Heading2"/>
      </w:pPr>
      <w:r>
        <w:t>3.13 Gestion des réunions / Secrétaire IA</w:t>
      </w:r>
    </w:p>
    <w:p>
      <w:pPr>
        <w:spacing w:after="120"/>
      </w:pPr>
      <w:r>
        <w:rPr>
          <w:b/>
        </w:rPr>
        <w:t>Ce que cela fait</w:t>
      </w:r>
      <w:r>
        <w:t xml:space="preserve"> : planifie des réunions et, grâce à un Secrétaire IA, transforme vos propres notes brutes en un compte-rendu structuré (un résumé, des décisions et des actions à entreprendre), qui peuvent ensuite devenir de véritables tâches.</w:t>
      </w:r>
    </w:p>
    <w:p>
      <w:pPr>
        <w:spacing w:after="120"/>
      </w:pPr>
      <w:r>
        <w:rPr>
          <w:b/>
        </w:rPr>
        <w:t>Quand l'utiliser</w:t>
      </w:r>
      <w:r>
        <w:t xml:space="preserve"> : pour planifier un appel ou une réunion de suivi, puis, ensuite, pour capturer ce qui a été discuté et décidé.</w:t>
      </w:r>
    </w:p>
    <w:p>
      <w:pPr>
        <w:spacing w:after="120"/>
      </w:pPr>
      <w:r>
        <w:rPr>
          <w:b/>
        </w:rPr>
        <w:t>Prérequis</w:t>
      </w:r>
      <w:r>
        <w:t xml:space="preserve"> : rôle Administrateur. Ouvrez </w:t>
      </w:r>
      <w:r>
        <w:rPr>
          <w:b/>
        </w:rPr>
        <w:t>Réunions</w:t>
      </w:r>
      <w:r>
        <w:t xml:space="preserve"> (en haut de la barre latérale, section transversale).</w:t>
      </w:r>
    </w:p>
    <w:p>
      <w:pPr>
        <w:pStyle w:val="Heading3"/>
      </w:pPr>
      <w:r>
        <w:t>3.13.1 Planifier une réunion</w:t>
      </w:r>
    </w:p>
    <w:p>
      <w:pPr>
        <w:spacing w:after="60"/>
        <w:ind w:left="432" w:hanging="432"/>
      </w:pPr>
      <w:r>
        <w:rPr>
          <w:b/>
        </w:rPr>
        <w:t>1.</w:t>
        <w:tab/>
      </w:r>
      <w:r>
        <w:t>Cliquez sur « + Add Meeting » (« Ajouter une réunion »).</w:t>
      </w:r>
    </w:p>
    <w:p>
      <w:pPr>
        <w:spacing w:after="60"/>
        <w:ind w:left="432" w:hanging="432"/>
      </w:pPr>
      <w:r>
        <w:rPr>
          <w:b/>
        </w:rPr>
        <w:t>2.</w:t>
        <w:tab/>
      </w:r>
      <w:r>
        <w:t xml:space="preserve">Saisissez un </w:t>
      </w:r>
      <w:r>
        <w:rPr>
          <w:b/>
        </w:rPr>
        <w:t>Titre</w:t>
      </w:r>
      <w:r>
        <w:t xml:space="preserve"> (obligatoire), une </w:t>
      </w:r>
      <w:r>
        <w:rPr>
          <w:b/>
        </w:rPr>
        <w:t>Description</w:t>
      </w:r>
      <w:r>
        <w:t xml:space="preserve"> facultative, et reliez éventuellement une </w:t>
      </w:r>
      <w:r>
        <w:rPr>
          <w:b/>
        </w:rPr>
        <w:t>Opportunité associée</w:t>
      </w:r>
      <w:r>
        <w:t xml:space="preserve"> et/ou un </w:t>
      </w:r>
      <w:r>
        <w:rPr>
          <w:b/>
        </w:rPr>
        <w:t>Contrat associé</w:t>
      </w:r>
      <w:r>
        <w:t>.</w:t>
      </w:r>
    </w:p>
    <w:p>
      <w:pPr>
        <w:spacing w:after="60"/>
        <w:ind w:left="432" w:hanging="432"/>
      </w:pPr>
      <w:r>
        <w:rPr>
          <w:b/>
        </w:rPr>
        <w:t>3.</w:t>
        <w:tab/>
      </w:r>
      <w:r>
        <w:t xml:space="preserve">Définissez une heure de </w:t>
      </w:r>
      <w:r>
        <w:rPr>
          <w:b/>
        </w:rPr>
        <w:t>Début</w:t>
      </w:r>
      <w:r>
        <w:t xml:space="preserve"> (obligatoire) et une heure de </w:t>
      </w:r>
      <w:r>
        <w:rPr>
          <w:b/>
        </w:rPr>
        <w:t>Fin</w:t>
      </w:r>
      <w:r>
        <w:t xml:space="preserve"> facultative, ainsi qu'un </w:t>
      </w:r>
      <w:r>
        <w:rPr>
          <w:b/>
        </w:rPr>
        <w:t>Lieu / Lien</w:t>
      </w:r>
      <w:r>
        <w:t xml:space="preserve"> (une adresse ou une URL de visioconférence).</w:t>
      </w:r>
    </w:p>
    <w:p>
      <w:pPr>
        <w:spacing w:after="60"/>
        <w:ind w:left="432" w:hanging="432"/>
      </w:pPr>
      <w:r>
        <w:rPr>
          <w:b/>
        </w:rPr>
        <w:t>4.</w:t>
        <w:tab/>
      </w:r>
      <w:r>
        <w:t xml:space="preserve">Choisissez un </w:t>
      </w:r>
      <w:r>
        <w:rPr>
          <w:b/>
        </w:rPr>
        <w:t>Statut</w:t>
      </w:r>
      <w:r>
        <w:t xml:space="preserve"> : Planifiée, Terminée ou Annulée.</w:t>
      </w:r>
    </w:p>
    <w:p>
      <w:pPr>
        <w:spacing w:after="60"/>
        <w:ind w:left="432" w:hanging="432"/>
      </w:pPr>
      <w:r>
        <w:rPr>
          <w:b/>
        </w:rPr>
        <w:t>5.</w:t>
        <w:tab/>
      </w:r>
      <w:r>
        <w:t xml:space="preserve">Cochez la case en regard de chaque </w:t>
      </w:r>
      <w:r>
        <w:rPr>
          <w:b/>
        </w:rPr>
        <w:t>participant interne</w:t>
      </w:r>
      <w:r>
        <w:t xml:space="preserve"> (parmi vos utilisateurs de la plateforme) présent.</w:t>
      </w:r>
    </w:p>
    <w:p>
      <w:pPr>
        <w:spacing w:after="60"/>
        <w:ind w:left="432" w:hanging="432"/>
      </w:pPr>
      <w:r>
        <w:rPr>
          <w:b/>
        </w:rPr>
        <w:t>6.</w:t>
        <w:tab/>
      </w:r>
      <w:r>
        <w:t xml:space="preserve">Listez toute personne extérieure à la plateforme dans le champ libre </w:t>
      </w:r>
      <w:r>
        <w:rPr>
          <w:b/>
        </w:rPr>
        <w:t>Participants externes</w:t>
      </w:r>
      <w:r>
        <w:t>.</w:t>
      </w:r>
    </w:p>
    <w:p>
      <w:pPr>
        <w:spacing w:after="60"/>
        <w:ind w:left="432" w:hanging="432"/>
      </w:pPr>
      <w:r>
        <w:rPr>
          <w:b/>
        </w:rPr>
        <w:t>7.</w:t>
        <w:tab/>
      </w:r>
      <w:r>
        <w:t xml:space="preserve">Cliquez sur </w:t>
      </w:r>
      <w:r>
        <w:rPr>
          <w:b/>
        </w:rPr>
        <w:t>Enregistrer</w:t>
      </w:r>
      <w:r>
        <w:t>.</w:t>
      </w:r>
    </w:p>
    <w:p>
      <w:pPr>
        <w:pStyle w:val="Heading3"/>
      </w:pPr>
      <w:r>
        <w:t>3.13.2 Utiliser le Secrétaire IA pour générer un compte-rendu</w:t>
      </w:r>
    </w:p>
    <w:p>
      <w:pPr>
        <w:spacing w:after="60"/>
        <w:ind w:left="432" w:hanging="432"/>
      </w:pPr>
      <w:r>
        <w:rPr>
          <w:b/>
        </w:rPr>
        <w:t>1.</w:t>
        <w:tab/>
      </w:r>
      <w:r>
        <w:t xml:space="preserve">Cliquez sur </w:t>
      </w:r>
      <w:r>
        <w:rPr>
          <w:b/>
        </w:rPr>
        <w:t>Compte-rendu</w:t>
      </w:r>
      <w:r>
        <w:t xml:space="preserve"> (« Minutes ») sur la ligne de la réunion concernée.</w:t>
      </w:r>
    </w:p>
    <w:p>
      <w:pPr>
        <w:spacing w:after="60"/>
        <w:ind w:left="432" w:hanging="432"/>
      </w:pPr>
      <w:r>
        <w:rPr>
          <w:b/>
        </w:rPr>
        <w:t>2.</w:t>
        <w:tab/>
      </w:r>
      <w:r>
        <w:t>Collez vos propres notes brutes ou une transcription approximative dans le champ « Raw Notes / Transcript » (« Notes brutes / Transcription »). Le texte à l'écran précise explicitement que l'IA ne structure que ce que vous avez réellement écrit ici — elle n'écoute aucun enregistrement audio et n'invente rien.</w:t>
      </w:r>
    </w:p>
    <w:p>
      <w:pPr>
        <w:spacing w:after="60"/>
        <w:ind w:left="432" w:hanging="432"/>
      </w:pPr>
      <w:r>
        <w:rPr>
          <w:b/>
        </w:rPr>
        <w:t>3.</w:t>
        <w:tab/>
      </w:r>
      <w:r>
        <w:t>Cliquez sur « Analyze with AI Secretary » (« Analyser avec le Secrétaire IA »).</w:t>
      </w:r>
    </w:p>
    <w:p>
      <w:pPr>
        <w:spacing w:after="60"/>
        <w:ind w:left="432" w:hanging="432"/>
      </w:pPr>
      <w:r>
        <w:rPr>
          <w:b/>
        </w:rPr>
        <w:t>4.</w:t>
        <w:tab/>
      </w:r>
      <w:r>
        <w:t xml:space="preserve">Vérifiez le </w:t>
      </w:r>
      <w:r>
        <w:rPr>
          <w:b/>
        </w:rPr>
        <w:t>Résumé</w:t>
      </w:r>
      <w:r>
        <w:t xml:space="preserve">, la liste des </w:t>
      </w:r>
      <w:r>
        <w:rPr>
          <w:b/>
        </w:rPr>
        <w:t>Décisions</w:t>
      </w:r>
      <w:r>
        <w:t xml:space="preserve"> et la liste des </w:t>
      </w:r>
      <w:r>
        <w:rPr>
          <w:b/>
        </w:rPr>
        <w:t>Actions à entreprendre</w:t>
      </w:r>
      <w:r>
        <w:t xml:space="preserve"> générés par l'IA (chaque action à entreprendre comprend un nom d'assigné suggéré par l'IA, celle-ci ne pouvant que lire un nom écrit sur la page). Modifiez l'un ou l'autre de ces éléments, ou utilisez les boutons </w:t>
      </w:r>
      <w:r>
        <w:rPr>
          <w:b/>
        </w:rPr>
        <w:t>+ Ajouter</w:t>
      </w:r>
      <w:r>
        <w:t xml:space="preserve"> pour en ajouter manuellement.</w:t>
      </w:r>
    </w:p>
    <w:p>
      <w:pPr>
        <w:spacing w:after="60"/>
        <w:ind w:left="432" w:hanging="432"/>
      </w:pPr>
      <w:r>
        <w:rPr>
          <w:b/>
        </w:rPr>
        <w:t>5.</w:t>
        <w:tab/>
      </w:r>
      <w:r>
        <w:t xml:space="preserve">Cliquez sur </w:t>
      </w:r>
      <w:r>
        <w:rPr>
          <w:b/>
        </w:rPr>
        <w:t>Enregistrer les notes</w:t>
      </w:r>
      <w:r>
        <w:t>.</w:t>
      </w:r>
    </w:p>
    <w:p>
      <w:pPr>
        <w:spacing w:before="80" w:after="160"/>
        <w:ind w:left="504"/>
        <w:shd w:fill="EEF3FA"/>
        <w:pBdr>
          <w:left w:val="single" w:sz="18" w:space="8" w:color="2E5F8A"/>
        </w:pBdr>
      </w:pPr>
      <w:r>
        <w:rPr>
          <w:b/>
          <w:i/>
        </w:rPr>
        <w:t>Astuce</w:t>
      </w:r>
      <w:r>
        <w:rPr>
          <w:i/>
        </w:rPr>
        <w:t xml:space="preserve"> : relancer « Analyser avec le Secrétaire IA » ajoute les nouvelles décisions/actions détectées à ce qui existe déjà, plutôt que de remplacer votre travail déjà enregistré.</w:t>
      </w:r>
    </w:p>
    <w:p>
      <w:pPr>
        <w:pStyle w:val="Heading3"/>
      </w:pPr>
      <w:r>
        <w:t>3.13.3 Transformer une action à entreprendre en tâche</w:t>
      </w:r>
    </w:p>
    <w:p>
      <w:pPr>
        <w:spacing w:after="120"/>
      </w:pPr>
      <w:r>
        <w:t xml:space="preserve">Une fois qu'une action à entreprendre a été enregistrée (via « Enregistrer les notes »), cliquez sur </w:t>
      </w:r>
      <w:r>
        <w:rPr>
          <w:b/>
        </w:rPr>
        <w:t>Créer une tâche</w:t>
      </w:r>
      <w:r>
        <w:t xml:space="preserve"> à côté de celle-ci pour créer une véritable entrée sur la page Tâches, héritant de l'opportunité/du contrat lié à la réunion. Elle s'affiche ensuite comme une entrée en lecture seule « ✓ Tâche créée » afin d'éviter de créer des doublons par inadvertance. (Les actions à entreprendre non enregistrées affichent à la place « Enregistrez pour activer « Créer une tâche » » — enregistrez d'abord vos notes.)</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fenêtre Compte-rendu — Secrétaire IA montrant le champ Notes brutes et la liste générée des Actions à entreprendre</w:t>
      </w:r>
    </w:p>
    <w:p>
      <w:pPr>
        <w:spacing w:before="120" w:after="200"/>
        <w:pBdr>
          <w:bottom w:val="single" w:sz="8" w:space="1" w:color="9DC3E6"/>
        </w:pBdr>
      </w:pPr>
    </w:p>
    <w:p>
      <w:pPr>
        <w:pStyle w:val="Heading2"/>
      </w:pPr>
      <w:r>
        <w:t>3.14 CRM Clients</w:t>
      </w:r>
    </w:p>
    <w:p>
      <w:pPr>
        <w:spacing w:after="120"/>
      </w:pPr>
      <w:r>
        <w:rPr>
          <w:b/>
        </w:rPr>
        <w:t>Ce que cela fait</w:t>
      </w:r>
      <w:r>
        <w:t xml:space="preserve"> : suit les relations avec les clients et les bailleurs dans le temps — contacts, journal des interactions et récapitulatif de chaque opportunité et contrat jamais lié à ce client — afin que l'historique de la relation survive aux départs de personnel.</w:t>
      </w:r>
    </w:p>
    <w:p>
      <w:pPr>
        <w:spacing w:after="120"/>
      </w:pPr>
      <w:r>
        <w:rPr>
          <w:b/>
        </w:rPr>
        <w:t>Quand l'utiliser</w:t>
      </w:r>
      <w:r>
        <w:t xml:space="preserve"> : chaque fois que vous devez consigner qui est votre contact au sein d'une organisation, journaliser un appel/e-mail/réunion, ou voir tout ce que votre organisation a soumissionné ou livré pour un client donné.</w:t>
      </w:r>
    </w:p>
    <w:p>
      <w:pPr>
        <w:spacing w:after="120"/>
      </w:pPr>
      <w:r>
        <w:rPr>
          <w:b/>
        </w:rPr>
        <w:t>Prérequis</w:t>
      </w:r>
      <w:r>
        <w:t xml:space="preserve"> : rôle Administrateur. Ouvrez </w:t>
      </w:r>
      <w:r>
        <w:rPr>
          <w:b/>
        </w:rPr>
        <w:t>Clients</w:t>
      </w:r>
      <w:r>
        <w:t xml:space="preserve"> dans le groupe Exécution.</w:t>
      </w:r>
    </w:p>
    <w:p>
      <w:pPr>
        <w:pStyle w:val="Heading3"/>
      </w:pPr>
      <w:r>
        <w:t>3.14.1 Créer un client</w:t>
      </w:r>
    </w:p>
    <w:p>
      <w:pPr>
        <w:spacing w:after="60"/>
        <w:ind w:left="432" w:hanging="432"/>
      </w:pPr>
      <w:r>
        <w:rPr>
          <w:b/>
        </w:rPr>
        <w:t>1.</w:t>
        <w:tab/>
      </w:r>
      <w:r>
        <w:t xml:space="preserve">Cliquez sur </w:t>
      </w:r>
      <w:r>
        <w:rPr>
          <w:b/>
        </w:rPr>
        <w:t>+ Ajouter un client</w:t>
      </w:r>
      <w:r>
        <w:t>.</w:t>
      </w:r>
    </w:p>
    <w:p>
      <w:pPr>
        <w:spacing w:after="60"/>
        <w:ind w:left="432" w:hanging="432"/>
      </w:pPr>
      <w:r>
        <w:rPr>
          <w:b/>
        </w:rPr>
        <w:t>2.</w:t>
        <w:tab/>
      </w:r>
      <w:r>
        <w:t xml:space="preserve">Saisissez un </w:t>
      </w:r>
      <w:r>
        <w:rPr>
          <w:b/>
        </w:rPr>
        <w:t>Nom</w:t>
      </w:r>
      <w:r>
        <w:t xml:space="preserve"> (obligatoire).</w:t>
      </w:r>
    </w:p>
    <w:p>
      <w:pPr>
        <w:spacing w:after="60"/>
        <w:ind w:left="432" w:hanging="432"/>
      </w:pPr>
      <w:r>
        <w:rPr>
          <w:b/>
        </w:rPr>
        <w:t>3.</w:t>
        <w:tab/>
      </w:r>
      <w:r>
        <w:t xml:space="preserve">Choisissez un </w:t>
      </w:r>
      <w:r>
        <w:rPr>
          <w:b/>
        </w:rPr>
        <w:t>Type</w:t>
      </w:r>
      <w:r>
        <w:t xml:space="preserve"> (Bailleur, Gouvernement, ONG, Privé ou Autre) et un </w:t>
      </w:r>
      <w:r>
        <w:rPr>
          <w:b/>
        </w:rPr>
        <w:t>Statut</w:t>
      </w:r>
      <w:r>
        <w:t xml:space="preserve"> (Actif, Dormant ou Prospect).</w:t>
      </w:r>
    </w:p>
    <w:p>
      <w:pPr>
        <w:spacing w:after="60"/>
        <w:ind w:left="432" w:hanging="432"/>
      </w:pPr>
      <w:r>
        <w:rPr>
          <w:b/>
        </w:rPr>
        <w:t>4.</w:t>
        <w:tab/>
      </w:r>
      <w:r>
        <w:t xml:space="preserve">Reliez éventuellement un </w:t>
      </w:r>
      <w:r>
        <w:rPr>
          <w:b/>
        </w:rPr>
        <w:t>Bailleur correspondant</w:t>
      </w:r>
      <w:r>
        <w:t xml:space="preserve">, attribuez un </w:t>
      </w:r>
      <w:r>
        <w:rPr>
          <w:b/>
        </w:rPr>
        <w:t>Responsable de la relation</w:t>
      </w:r>
      <w:r>
        <w:t xml:space="preserve">, et ajoutez un </w:t>
      </w:r>
      <w:r>
        <w:rPr>
          <w:b/>
        </w:rPr>
        <w:t>Site web</w:t>
      </w:r>
      <w:r>
        <w:t xml:space="preserve"> et des </w:t>
      </w:r>
      <w:r>
        <w:rPr>
          <w:b/>
        </w:rPr>
        <w:t>Notes</w:t>
      </w:r>
      <w:r>
        <w:t>.</w:t>
      </w:r>
    </w:p>
    <w:p>
      <w:pPr>
        <w:spacing w:after="60"/>
        <w:ind w:left="432" w:hanging="432"/>
      </w:pPr>
      <w:r>
        <w:rPr>
          <w:b/>
        </w:rPr>
        <w:t>5.</w:t>
        <w:tab/>
      </w:r>
      <w:r>
        <w:t xml:space="preserve">Cliquez sur </w:t>
      </w:r>
      <w:r>
        <w:rPr>
          <w:b/>
        </w:rPr>
        <w:t>Enregistrer</w:t>
      </w:r>
      <w:r>
        <w:t>.</w:t>
      </w:r>
    </w:p>
    <w:p>
      <w:pPr>
        <w:pStyle w:val="Heading3"/>
      </w:pPr>
      <w:r>
        <w:t>3.14.2 Gérer la fiche d'un client</w:t>
      </w:r>
    </w:p>
    <w:p>
      <w:pPr>
        <w:spacing w:after="120"/>
      </w:pPr>
      <w:r>
        <w:t xml:space="preserve">Cliquez sur « Manage » (« Gérer ») sur la ligne d'un client pour ouvrir sa fiche détaillée, qui comporte cinq onglets : </w:t>
      </w:r>
      <w:r>
        <w:rPr>
          <w:b/>
        </w:rPr>
        <w:t>Vue d'ensemble, Contacts, Interactions, Liés</w:t>
      </w:r>
      <w:r>
        <w:t xml:space="preserve"> et </w:t>
      </w:r>
      <w:r>
        <w:rPr>
          <w:b/>
        </w:rPr>
        <w:t>Discussion</w:t>
      </w:r>
      <w:r>
        <w:t>.</w:t>
      </w:r>
    </w:p>
    <w:p>
      <w:pPr>
        <w:pStyle w:val="ListBullet"/>
      </w:pPr>
      <w:r>
        <w:rPr>
          <w:b/>
        </w:rPr>
        <w:t>Vue d'ensemble</w:t>
      </w:r>
      <w:r>
        <w:t xml:space="preserve"> : les mêmes champs que le formulaire de création, modifiables en ligne — cliquez sur </w:t>
      </w:r>
      <w:r>
        <w:rPr>
          <w:b/>
        </w:rPr>
        <w:t>Enregistrer</w:t>
      </w:r>
      <w:r>
        <w:t xml:space="preserve"> après vos modifications. Un bouton « Delete Client » (« Supprimer le client ») se trouve au-dessus des onglets.</w:t>
      </w:r>
    </w:p>
    <w:p>
      <w:pPr>
        <w:pStyle w:val="ListBullet"/>
      </w:pPr>
      <w:r>
        <w:rPr>
          <w:b/>
        </w:rPr>
        <w:t>Contacts</w:t>
      </w:r>
      <w:r>
        <w:t xml:space="preserve"> : cliquez sur </w:t>
      </w:r>
      <w:r>
        <w:rPr>
          <w:b/>
        </w:rPr>
        <w:t>+ Ajouter un contact</w:t>
      </w:r>
      <w:r>
        <w:t xml:space="preserve"> pour enregistrer un </w:t>
      </w:r>
      <w:r>
        <w:rPr>
          <w:b/>
        </w:rPr>
        <w:t>Nom</w:t>
      </w:r>
      <w:r>
        <w:t xml:space="preserve">, un </w:t>
      </w:r>
      <w:r>
        <w:rPr>
          <w:b/>
        </w:rPr>
        <w:t>Rôle/Titre</w:t>
      </w:r>
      <w:r>
        <w:t xml:space="preserve">, un </w:t>
      </w:r>
      <w:r>
        <w:rPr>
          <w:b/>
        </w:rPr>
        <w:t>E-mail</w:t>
      </w:r>
      <w:r>
        <w:t xml:space="preserve">, un </w:t>
      </w:r>
      <w:r>
        <w:rPr>
          <w:b/>
        </w:rPr>
        <w:t>Téléphone</w:t>
      </w:r>
      <w:r>
        <w:t xml:space="preserve">, une case facultative </w:t>
      </w:r>
      <w:r>
        <w:rPr>
          <w:b/>
        </w:rPr>
        <w:t>Contact principal</w:t>
      </w:r>
      <w:r>
        <w:t xml:space="preserve">, et des </w:t>
      </w:r>
      <w:r>
        <w:rPr>
          <w:b/>
        </w:rPr>
        <w:t>Notes</w:t>
      </w:r>
      <w:r>
        <w:t>. Modifiez ou supprimez les contacts existants depuis la liste.</w:t>
      </w:r>
    </w:p>
    <w:p>
      <w:pPr>
        <w:pStyle w:val="ListBullet"/>
      </w:pPr>
      <w:r>
        <w:rPr>
          <w:b/>
        </w:rPr>
        <w:t>Interactions</w:t>
      </w:r>
      <w:r>
        <w:t xml:space="preserve"> : cliquez sur </w:t>
      </w:r>
      <w:r>
        <w:rPr>
          <w:b/>
        </w:rPr>
        <w:t>+ Journaliser une interaction</w:t>
      </w:r>
      <w:r>
        <w:t xml:space="preserve"> pour enregistrer un </w:t>
      </w:r>
      <w:r>
        <w:rPr>
          <w:b/>
        </w:rPr>
        <w:t>Type</w:t>
      </w:r>
      <w:r>
        <w:t xml:space="preserve"> (Appel, E-mail, Réunion ou Autre), une </w:t>
      </w:r>
      <w:r>
        <w:rPr>
          <w:b/>
        </w:rPr>
        <w:t>Date</w:t>
      </w:r>
      <w:r>
        <w:t xml:space="preserve">, un lien facultatif vers une réunion réellement journalisée, et un </w:t>
      </w:r>
      <w:r>
        <w:rPr>
          <w:b/>
        </w:rPr>
        <w:t>Résumé</w:t>
      </w:r>
      <w:r>
        <w:t xml:space="preserve"> obligatoire.</w:t>
      </w:r>
    </w:p>
    <w:p>
      <w:pPr>
        <w:pStyle w:val="ListBullet"/>
      </w:pPr>
      <w:r>
        <w:rPr>
          <w:b/>
        </w:rPr>
        <w:t>Liés</w:t>
      </w:r>
      <w:r>
        <w:t xml:space="preserve"> : un récapitulatif en lecture seule de chaque </w:t>
      </w:r>
      <w:r>
        <w:rPr>
          <w:b/>
        </w:rPr>
        <w:t>Opportunité</w:t>
      </w:r>
      <w:r>
        <w:t xml:space="preserve"> et </w:t>
      </w:r>
      <w:r>
        <w:rPr>
          <w:b/>
        </w:rPr>
        <w:t>Contrat</w:t>
      </w:r>
      <w:r>
        <w:t xml:space="preserve"> jamais lié à ce client, chacun étant un lien cliquable vers sa propre fiche.</w:t>
      </w:r>
    </w:p>
    <w:p>
      <w:pPr>
        <w:pStyle w:val="ListBullet"/>
      </w:pPr>
      <w:r>
        <w:rPr>
          <w:b/>
        </w:rPr>
        <w:t>Discussion</w:t>
      </w:r>
      <w:r>
        <w:t xml:space="preserve"> : un fil de commentaires propre à ce client — voir la Section 3.15.</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fiche détaillée d'un client montrant les onglets Contacts et Liés</w:t>
      </w:r>
    </w:p>
    <w:p>
      <w:pPr>
        <w:spacing w:before="120" w:after="200"/>
        <w:pBdr>
          <w:bottom w:val="single" w:sz="8" w:space="1" w:color="9DC3E6"/>
        </w:pBdr>
      </w:pPr>
    </w:p>
    <w:p>
      <w:pPr>
        <w:pStyle w:val="Heading2"/>
      </w:pPr>
      <w:r>
        <w:t>3.15 Espace de collaboration (commentaires)</w:t>
      </w:r>
    </w:p>
    <w:p>
      <w:pPr>
        <w:spacing w:after="120"/>
      </w:pPr>
      <w:r>
        <w:rPr>
          <w:b/>
        </w:rPr>
        <w:t>Ce que cela fait</w:t>
      </w:r>
      <w:r>
        <w:t xml:space="preserve"> : un fil de commentaires/de revue en contexte, pouvant être rattaché à une opportunité, à un document de proposition ou à une fiche client, remplaçant les échanges de retours par e-mail et noms de fichiers.</w:t>
      </w:r>
    </w:p>
    <w:p>
      <w:pPr>
        <w:spacing w:after="120"/>
      </w:pPr>
      <w:r>
        <w:rPr>
          <w:b/>
        </w:rPr>
        <w:t>Quand l'utiliser</w:t>
      </w:r>
      <w:r>
        <w:t xml:space="preserve"> : pour laisser ou résoudre des retours de revue directement là où se trouve la fiche concernée.</w:t>
      </w:r>
    </w:p>
    <w:p>
      <w:pPr>
        <w:spacing w:after="120"/>
      </w:pPr>
      <w:r>
        <w:rPr>
          <w:b/>
        </w:rPr>
        <w:t>Comment l'utiliser</w:t>
      </w:r>
      <w:r>
        <w:t xml:space="preserve"> (partout où un onglet </w:t>
      </w:r>
      <w:r>
        <w:rPr>
          <w:b/>
        </w:rPr>
        <w:t>Discussion</w:t>
      </w:r>
      <w:r>
        <w:t xml:space="preserve"> ou un bouton </w:t>
      </w:r>
      <w:r>
        <w:rPr>
          <w:b/>
        </w:rPr>
        <w:t>Comments</w:t>
      </w:r>
      <w:r>
        <w:t xml:space="preserve"> propre à un document apparaît) :</w:t>
      </w:r>
    </w:p>
    <w:p>
      <w:pPr>
        <w:spacing w:after="60"/>
        <w:ind w:left="432" w:hanging="432"/>
      </w:pPr>
      <w:r>
        <w:rPr>
          <w:b/>
        </w:rPr>
        <w:t>1.</w:t>
        <w:tab/>
      </w:r>
      <w:r>
        <w:t>Saisissez votre texte dans le champ de commentaire en bas du fil et cliquez sur « Post » (« Publier »).</w:t>
      </w:r>
    </w:p>
    <w:p>
      <w:pPr>
        <w:spacing w:after="60"/>
        <w:ind w:left="432" w:hanging="432"/>
      </w:pPr>
      <w:r>
        <w:rPr>
          <w:b/>
        </w:rPr>
        <w:t>2.</w:t>
        <w:tab/>
      </w:r>
      <w:r>
        <w:t>Pour répondre à un commentaire de premier niveau précis, cliquez sur « Reply » (« Répondre ») en dessous, saisissez votre réponse, et cliquez sur « Send » (« Envoyer »). (Les réponses ne comptent qu'un seul niveau de profondeur — vous ne pouvez pas répondre à une réponse ; ajoutez simplement une nouvelle réponse au commentaire d'origine.)</w:t>
      </w:r>
    </w:p>
    <w:p>
      <w:pPr>
        <w:spacing w:after="60"/>
        <w:ind w:left="432" w:hanging="432"/>
      </w:pPr>
      <w:r>
        <w:rPr>
          <w:b/>
        </w:rPr>
        <w:t>3.</w:t>
        <w:tab/>
      </w:r>
      <w:r>
        <w:t>Une fois qu'un retour a été traité, cliquez sur « Resolve » (« Résoudre ») sur ce commentaire — il s'estompe visuellement et affiche un badge « Résolu ». Cliquez sur « Reopen » (« Rouvrir ») pour le remettre à l'état actif.</w:t>
      </w:r>
    </w:p>
    <w:p>
      <w:pPr>
        <w:spacing w:after="60"/>
        <w:ind w:left="432" w:hanging="432"/>
      </w:pPr>
      <w:r>
        <w:rPr>
          <w:b/>
        </w:rPr>
        <w:t>4.</w:t>
        <w:tab/>
      </w:r>
      <w:r>
        <w:t>Cliquez sur « Delete » (« Supprimer ») sur n'importe quel commentaire ou réponse pour le retirer — une confirmation vous sera demandée, cette action étant irréversible.</w:t>
      </w:r>
    </w:p>
    <w:p>
      <w:pPr>
        <w:spacing w:before="120" w:after="200"/>
        <w:pBdr>
          <w:bottom w:val="single" w:sz="8" w:space="1" w:color="9DC3E6"/>
        </w:pBdr>
      </w:pPr>
    </w:p>
    <w:p>
      <w:pPr>
        <w:pStyle w:val="Heading2"/>
      </w:pPr>
      <w:r>
        <w:t>3.16 Rapports</w:t>
      </w:r>
    </w:p>
    <w:p>
      <w:pPr>
        <w:spacing w:after="120"/>
      </w:pPr>
      <w:r>
        <w:rPr>
          <w:b/>
        </w:rPr>
        <w:t>Ce que cela fait</w:t>
      </w:r>
      <w:r>
        <w:t xml:space="preserve"> : des rapports filtrables et exportables couvrant sept domaines de la plateforme, avec des préréglages de filtres enregistrables.</w:t>
      </w:r>
    </w:p>
    <w:p>
      <w:pPr>
        <w:spacing w:after="120"/>
      </w:pPr>
      <w:r>
        <w:rPr>
          <w:b/>
        </w:rPr>
        <w:t>Quand l'utiliser</w:t>
      </w:r>
      <w:r>
        <w:t xml:space="preserve"> : pour produire des extraits de données destinés aux parties prenantes, ou pour exporter des données de vivier/pipeline/finances en vue d'une utilisation en dehors de la plateforme.</w:t>
      </w:r>
    </w:p>
    <w:p>
      <w:pPr>
        <w:spacing w:after="120"/>
      </w:pPr>
      <w:r>
        <w:rPr>
          <w:b/>
        </w:rPr>
        <w:t>Prérequis</w:t>
      </w:r>
      <w:r>
        <w:t xml:space="preserve"> : rôle Administrateur pour un accès complet (voir la remarque ci-dessous). Ouvrez </w:t>
      </w:r>
      <w:r>
        <w:rPr>
          <w:b/>
        </w:rPr>
        <w:t>Rapports</w:t>
      </w:r>
      <w:r>
        <w:t xml:space="preserve"> dans la barre latérale.</w:t>
      </w:r>
    </w:p>
    <w:p>
      <w:pPr>
        <w:spacing w:after="60"/>
        <w:ind w:left="432" w:hanging="432"/>
      </w:pPr>
      <w:r>
        <w:rPr>
          <w:b/>
        </w:rPr>
        <w:t>1.</w:t>
        <w:tab/>
      </w:r>
      <w:r>
        <w:t xml:space="preserve">Choisissez un onglet de rapport : </w:t>
      </w:r>
      <w:r>
        <w:rPr>
          <w:b/>
        </w:rPr>
        <w:t>Vivier d'experts</w:t>
      </w:r>
      <w:r>
        <w:t xml:space="preserve">, </w:t>
      </w:r>
      <w:r>
        <w:rPr>
          <w:b/>
        </w:rPr>
        <w:t>Opportunités</w:t>
      </w:r>
      <w:r>
        <w:t xml:space="preserve">, </w:t>
      </w:r>
      <w:r>
        <w:rPr>
          <w:b/>
        </w:rPr>
        <w:t>Équipe &amp; finances</w:t>
      </w:r>
      <w:r>
        <w:t xml:space="preserve">, </w:t>
      </w:r>
      <w:r>
        <w:rPr>
          <w:b/>
        </w:rPr>
        <w:t>Documents de proposition</w:t>
      </w:r>
      <w:r>
        <w:t xml:space="preserve">, </w:t>
      </w:r>
      <w:r>
        <w:rPr>
          <w:b/>
        </w:rPr>
        <w:t>Base de connaissances</w:t>
      </w:r>
      <w:r>
        <w:t xml:space="preserve">, </w:t>
      </w:r>
      <w:r>
        <w:rPr>
          <w:b/>
        </w:rPr>
        <w:t>Annuaire des utilisateurs</w:t>
      </w:r>
      <w:r>
        <w:t xml:space="preserve">, ou </w:t>
      </w:r>
      <w:r>
        <w:rPr>
          <w:b/>
        </w:rPr>
        <w:t>Journal d'audit</w:t>
      </w:r>
      <w:r>
        <w:t>.</w:t>
      </w:r>
    </w:p>
    <w:p>
      <w:pPr>
        <w:spacing w:after="60"/>
        <w:ind w:left="432" w:hanging="432"/>
      </w:pPr>
      <w:r>
        <w:rPr>
          <w:b/>
        </w:rPr>
        <w:t>2.</w:t>
        <w:tab/>
      </w:r>
      <w:r>
        <w:t>Réglez les filtres affichés pour cet onglet (ils varient selon le rapport — par exemple, Vivier d'experts propose Nom, Affiliation, Niveau, Disponibilité, Statut, Secteur, Géographie, Langue, Bailleur et des plages de dates de création ; Équipe &amp; finances propose Statut du membre d'équipe, Statut de l'opportunité, Séniorité et des plages de dates).</w:t>
      </w:r>
    </w:p>
    <w:p>
      <w:pPr>
        <w:spacing w:after="60"/>
        <w:ind w:left="432" w:hanging="432"/>
      </w:pPr>
      <w:r>
        <w:rPr>
          <w:b/>
        </w:rPr>
        <w:t>3.</w:t>
        <w:tab/>
      </w:r>
      <w:r>
        <w:t xml:space="preserve">Cliquez sur </w:t>
      </w:r>
      <w:r>
        <w:rPr>
          <w:b/>
        </w:rPr>
        <w:t>Générer le rapport</w:t>
      </w:r>
      <w:r>
        <w:t xml:space="preserve">, ou sur </w:t>
      </w:r>
      <w:r>
        <w:rPr>
          <w:b/>
        </w:rPr>
        <w:t>Réinitialiser les filtres</w:t>
      </w:r>
      <w:r>
        <w:t xml:space="preserve"> pour recommencer.</w:t>
      </w:r>
    </w:p>
    <w:p>
      <w:pPr>
        <w:spacing w:after="60"/>
        <w:ind w:left="432" w:hanging="432"/>
      </w:pPr>
      <w:r>
        <w:rPr>
          <w:b/>
        </w:rPr>
        <w:t>4.</w:t>
        <w:tab/>
      </w:r>
      <w:r>
        <w:t xml:space="preserve">Une fois les résultats affichés, exportez au format </w:t>
      </w:r>
      <w:r>
        <w:rPr>
          <w:b/>
        </w:rPr>
        <w:t>PDF</w:t>
      </w:r>
      <w:r>
        <w:t xml:space="preserve">, </w:t>
      </w:r>
      <w:r>
        <w:rPr>
          <w:b/>
        </w:rPr>
        <w:t>Excel</w:t>
      </w:r>
      <w:r>
        <w:t xml:space="preserve">, </w:t>
      </w:r>
      <w:r>
        <w:rPr>
          <w:b/>
        </w:rPr>
        <w:t>CSV</w:t>
      </w:r>
      <w:r>
        <w:t xml:space="preserve"> ou </w:t>
      </w:r>
      <w:r>
        <w:rPr>
          <w:b/>
        </w:rPr>
        <w:t>Word</w:t>
      </w:r>
      <w:r>
        <w:t xml:space="preserve">, ou cliquez sur </w:t>
      </w:r>
      <w:r>
        <w:rPr>
          <w:b/>
        </w:rPr>
        <w:t>Imprimer</w:t>
      </w:r>
      <w:r>
        <w:t>.</w:t>
      </w:r>
    </w:p>
    <w:p>
      <w:pPr>
        <w:spacing w:after="120"/>
      </w:pPr>
      <w:r>
        <w:rPr>
          <w:b/>
        </w:rPr>
        <w:t>Résultat attendu</w:t>
      </w:r>
      <w:r>
        <w:t xml:space="preserve"> : un fichier téléchargé (ou, pour Imprimer, un aperçu formaté pour l'impression) correspondant à vos filtres. Chaque action de génération/export/impression est elle-même consignée dans le Journal d'audit.</w:t>
      </w:r>
    </w:p>
    <w:p>
      <w:pPr>
        <w:spacing w:after="120"/>
      </w:pPr>
      <w:r>
        <w:rPr>
          <w:b/>
        </w:rPr>
        <w:t>Enregistrer une configuration de filtres pour la réutiliser :</w:t>
      </w:r>
    </w:p>
    <w:p>
      <w:pPr>
        <w:spacing w:after="60"/>
        <w:ind w:left="432" w:hanging="432"/>
      </w:pPr>
      <w:r>
        <w:rPr>
          <w:b/>
        </w:rPr>
        <w:t>1.</w:t>
        <w:tab/>
      </w:r>
      <w:r>
        <w:t xml:space="preserve">Après avoir généré un rapport au moins une fois, cliquez sur </w:t>
      </w:r>
      <w:r>
        <w:rPr>
          <w:b/>
        </w:rPr>
        <w:t>Enregistrer la configuration</w:t>
      </w:r>
      <w:r>
        <w:t>.</w:t>
      </w:r>
    </w:p>
    <w:p>
      <w:pPr>
        <w:spacing w:after="60"/>
        <w:ind w:left="432" w:hanging="432"/>
      </w:pPr>
      <w:r>
        <w:rPr>
          <w:b/>
        </w:rPr>
        <w:t>2.</w:t>
        <w:tab/>
      </w:r>
      <w:r>
        <w:t xml:space="preserve">Donnez-lui un </w:t>
      </w:r>
      <w:r>
        <w:rPr>
          <w:b/>
        </w:rPr>
        <w:t>Nom</w:t>
      </w:r>
      <w:r>
        <w:t xml:space="preserve"> (par exemple, « Partenaires actifs — Secteur santé ») et cliquez sur </w:t>
      </w:r>
      <w:r>
        <w:rPr>
          <w:b/>
        </w:rPr>
        <w:t>Enregistrer</w:t>
      </w:r>
      <w:r>
        <w:t>.</w:t>
      </w:r>
    </w:p>
    <w:p>
      <w:pPr>
        <w:spacing w:after="60"/>
        <w:ind w:left="432" w:hanging="432"/>
      </w:pPr>
      <w:r>
        <w:rPr>
          <w:b/>
        </w:rPr>
        <w:t>3.</w:t>
        <w:tab/>
      </w:r>
      <w:r>
        <w:t xml:space="preserve">Retrouvez-la plus tard dans la section « Saved Configurations » (« Configurations enregistrées ») ; cliquez sur « Load » (« Charger ») pour restaurer son onglet et ses filtres (vous devrez tout de même cliquer à nouveau sur </w:t>
      </w:r>
      <w:r>
        <w:rPr>
          <w:b/>
        </w:rPr>
        <w:t>Générer le rapport</w:t>
      </w:r>
      <w:r>
        <w:t xml:space="preserve"> ensuite), ou sur « Delete » (« Supprimer ») pour la retirer.</w:t>
      </w:r>
    </w:p>
    <w:p>
      <w:pPr>
        <w:spacing w:before="80" w:after="160"/>
        <w:ind w:left="504"/>
        <w:shd w:fill="EEF3FA"/>
        <w:pBdr>
          <w:left w:val="single" w:sz="18" w:space="8" w:color="2E5F8A"/>
        </w:pBdr>
      </w:pPr>
      <w:r>
        <w:rPr>
          <w:b/>
          <w:i/>
        </w:rPr>
        <w:t>Remarque</w:t>
      </w:r>
      <w:r>
        <w:rPr>
          <w:i/>
        </w:rPr>
        <w:t xml:space="preserve"> : les configurations enregistrées sont stockées dans votre propre navigateur, elles ne sont ni partagées avec les autres administrateurs ni synchronisées entre appareils.</w:t>
      </w:r>
    </w:p>
    <w:p>
      <w:pPr>
        <w:spacing w:before="80" w:after="160"/>
        <w:ind w:left="504"/>
        <w:shd w:fill="EEF3FA"/>
        <w:pBdr>
          <w:left w:val="single" w:sz="18" w:space="8" w:color="2E5F8A"/>
        </w:pBdr>
      </w:pPr>
      <w:r>
        <w:rPr>
          <w:b/>
          <w:i/>
        </w:rPr>
        <w:t>Remarque sur les accès</w:t>
      </w:r>
      <w:r>
        <w:rPr>
          <w:i/>
        </w:rPr>
        <w:t xml:space="preserve"> : la bannière affichée sur la page indique « Tous les rapports sauf Vivier d'experts nécessitent un accès Administrateur » — c'est-à-dire que seul l'onglet </w:t>
      </w:r>
      <w:r>
        <w:rPr>
          <w:b/>
          <w:i/>
        </w:rPr>
        <w:t>Vivier d'experts</w:t>
      </w:r>
      <w:r>
        <w:rPr>
          <w:i/>
        </w:rPr>
        <w:t xml:space="preserve"> est accessible à un Lecteur ; les six autres onglets (Opportunités, Équipe &amp; finances, Documents de proposition, Base de connaissances, Annuaire des utilisateurs, Journal d'audit) sont réservés aux Administrateurs. Cette formulation, appliquée par le système de traduction de la plateforme, est cohérente avec le comportement réel du code, qui restreint bien ces six onglets — il n'y a donc pas d'incohérence à signaler ici (une version antérieure du texte affiché en dur dans la page, avant application de la traduction, ne mentionnait que trois onglets restreints ; ce texte n'est toutefois pas celui qui s'affiche réellement une fois la page chargée).</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page Rapports montrant un tableau généré et les boutons d'export</w:t>
      </w:r>
    </w:p>
    <w:p>
      <w:pPr>
        <w:spacing w:before="120" w:after="200"/>
        <w:pBdr>
          <w:bottom w:val="single" w:sz="8" w:space="1" w:color="9DC3E6"/>
        </w:pBdr>
      </w:pPr>
    </w:p>
    <w:p>
      <w:pPr>
        <w:pStyle w:val="Heading2"/>
      </w:pPr>
      <w:r>
        <w:t>3.17 Webhooks (intégrations API externes)</w:t>
      </w:r>
    </w:p>
    <w:p>
      <w:pPr>
        <w:spacing w:after="120"/>
      </w:pPr>
      <w:r>
        <w:rPr>
          <w:b/>
        </w:rPr>
        <w:t>Ce que cela fait</w:t>
      </w:r>
      <w:r>
        <w:t xml:space="preserve"> : envoie une notification automatique et signée à un système externe (Slack, Zapier, Make.com, n8n, ou votre propre système) chaque fois que certains événements se produisent dans la plateforme.</w:t>
      </w:r>
    </w:p>
    <w:p>
      <w:pPr>
        <w:spacing w:after="120"/>
      </w:pPr>
      <w:r>
        <w:rPr>
          <w:b/>
        </w:rPr>
        <w:t>Quand l'utiliser</w:t>
      </w:r>
      <w:r>
        <w:t xml:space="preserve"> : pour connecter la plateforme aux outils que votre organisation utilise déjà, sans travail d'intégration personnalisé de votre côté au-delà de pointer vers une URL.</w:t>
      </w:r>
    </w:p>
    <w:p>
      <w:pPr>
        <w:spacing w:after="120"/>
      </w:pPr>
      <w:r>
        <w:rPr>
          <w:b/>
        </w:rPr>
        <w:t>Prérequis</w:t>
      </w:r>
      <w:r>
        <w:t xml:space="preserve"> : rôle Administrateur. Ouvrez </w:t>
      </w:r>
      <w:r>
        <w:rPr>
          <w:b/>
        </w:rPr>
        <w:t>Webhooks</w:t>
      </w:r>
      <w:r>
        <w:t xml:space="preserve"> dans le groupe Administration.</w:t>
      </w:r>
    </w:p>
    <w:p>
      <w:pPr>
        <w:pStyle w:val="Heading3"/>
      </w:pPr>
      <w:r>
        <w:t>3.17.1 Créer un webhook</w:t>
      </w:r>
    </w:p>
    <w:p>
      <w:pPr>
        <w:spacing w:after="60"/>
        <w:ind w:left="432" w:hanging="432"/>
      </w:pPr>
      <w:r>
        <w:rPr>
          <w:b/>
        </w:rPr>
        <w:t>1.</w:t>
        <w:tab/>
      </w:r>
      <w:r>
        <w:t xml:space="preserve">Cliquez sur </w:t>
      </w:r>
      <w:r>
        <w:rPr>
          <w:b/>
        </w:rPr>
        <w:t>+ Ajouter un webhook</w:t>
      </w:r>
      <w:r>
        <w:t>.</w:t>
      </w:r>
    </w:p>
    <w:p>
      <w:pPr>
        <w:spacing w:after="60"/>
        <w:ind w:left="432" w:hanging="432"/>
      </w:pPr>
      <w:r>
        <w:rPr>
          <w:b/>
        </w:rPr>
        <w:t>2.</w:t>
        <w:tab/>
      </w:r>
      <w:r>
        <w:t xml:space="preserve">Saisissez un </w:t>
      </w:r>
      <w:r>
        <w:rPr>
          <w:b/>
        </w:rPr>
        <w:t>Nom</w:t>
      </w:r>
      <w:r>
        <w:t xml:space="preserve"> et une </w:t>
      </w:r>
      <w:r>
        <w:rPr>
          <w:b/>
        </w:rPr>
        <w:t>URL</w:t>
      </w:r>
      <w:r>
        <w:t xml:space="preserve"> de destination (doit commencer par </w:t>
      </w:r>
      <w:r>
        <w:rPr>
          <w:rFonts w:ascii="Consolas" w:hAnsi="Consolas"/>
          <w:color w:val="C02626"/>
          <w:sz w:val="20"/>
        </w:rPr>
        <w:t>https://</w:t>
      </w:r>
      <w:r>
        <w:t>).</w:t>
      </w:r>
    </w:p>
    <w:p>
      <w:pPr>
        <w:spacing w:after="60"/>
        <w:ind w:left="432" w:hanging="432"/>
      </w:pPr>
      <w:r>
        <w:rPr>
          <w:b/>
        </w:rPr>
        <w:t>3.</w:t>
        <w:tab/>
      </w:r>
      <w:r>
        <w:t xml:space="preserve">Cochez au moins un </w:t>
      </w:r>
      <w:r>
        <w:rPr>
          <w:b/>
        </w:rPr>
        <w:t>événement</w:t>
      </w:r>
      <w:r>
        <w:t xml:space="preserve"> auquel vous abonner : « New opportunity created » (« Nouvelle opportunité créée »), « Opportunity status changed » (« Statut de l'opportunité modifié »), « Task completed » (« Tâche terminée »), ou « Contract status changed » (« Statut du contrat modifié »). Ces quatre événements constituent l'ensemble complet actuel des événements que la plateforme peut envoyer.</w:t>
      </w:r>
    </w:p>
    <w:p>
      <w:pPr>
        <w:spacing w:after="60"/>
        <w:ind w:left="432" w:hanging="432"/>
      </w:pPr>
      <w:r>
        <w:rPr>
          <w:b/>
        </w:rPr>
        <w:t>4.</w:t>
        <w:tab/>
      </w:r>
      <w:r>
        <w:t xml:space="preserve">Laissez </w:t>
      </w:r>
      <w:r>
        <w:rPr>
          <w:b/>
        </w:rPr>
        <w:t>Active</w:t>
      </w:r>
      <w:r>
        <w:t xml:space="preserve"> (« Actif ») coché (ou décochez pour l'enregistrer sans encore rien envoyer).</w:t>
      </w:r>
    </w:p>
    <w:p>
      <w:pPr>
        <w:spacing w:after="60"/>
        <w:ind w:left="432" w:hanging="432"/>
      </w:pPr>
      <w:r>
        <w:rPr>
          <w:b/>
        </w:rPr>
        <w:t>5.</w:t>
        <w:tab/>
      </w:r>
      <w:r>
        <w:t xml:space="preserve">Cliquez sur </w:t>
      </w:r>
      <w:r>
        <w:rPr>
          <w:b/>
        </w:rPr>
        <w:t>Enregistrer</w:t>
      </w:r>
      <w:r>
        <w:t>.</w:t>
      </w:r>
    </w:p>
    <w:p>
      <w:pPr>
        <w:pStyle w:val="Heading3"/>
      </w:pPr>
      <w:r>
        <w:t>3.17.2 Consulter et copier le secret de signature</w:t>
      </w:r>
    </w:p>
    <w:p>
      <w:pPr>
        <w:spacing w:after="120"/>
      </w:pPr>
      <w:r>
        <w:t xml:space="preserve">Le secret de signature est généré automatiquement et n'est </w:t>
      </w:r>
      <w:r>
        <w:rPr>
          <w:b/>
        </w:rPr>
        <w:t>pas</w:t>
      </w:r>
      <w:r>
        <w:t xml:space="preserve"> affiché au moment de la création.</w:t>
      </w:r>
    </w:p>
    <w:p>
      <w:pPr>
        <w:spacing w:after="60"/>
        <w:ind w:left="432" w:hanging="432"/>
      </w:pPr>
      <w:r>
        <w:rPr>
          <w:b/>
        </w:rPr>
        <w:t>1.</w:t>
        <w:tab/>
      </w:r>
      <w:r>
        <w:t>Cliquez sur « Edit » (« Modifier ») sur le webhook que vous venez de créer.</w:t>
      </w:r>
    </w:p>
    <w:p>
      <w:pPr>
        <w:spacing w:after="60"/>
        <w:ind w:left="432" w:hanging="432"/>
      </w:pPr>
      <w:r>
        <w:rPr>
          <w:b/>
        </w:rPr>
        <w:t>2.</w:t>
        <w:tab/>
      </w:r>
      <w:r>
        <w:t xml:space="preserve">Sous </w:t>
      </w:r>
      <w:r>
        <w:rPr>
          <w:b/>
        </w:rPr>
        <w:t>Secret de signature</w:t>
      </w:r>
      <w:r>
        <w:t xml:space="preserve">, cliquez sur </w:t>
      </w:r>
      <w:r>
        <w:rPr>
          <w:b/>
        </w:rPr>
        <w:t>Copier</w:t>
      </w:r>
      <w:r>
        <w:t xml:space="preserve"> pour le copier, et transmettez-le au système qui reçoit le webhook afin qu'il puisse vérifier que la charge utile provient bien de cette plateforme (non nécessaire pour de simples webhooks entrants Slack, qui ne vérifient pas les signatures).</w:t>
      </w:r>
    </w:p>
    <w:p>
      <w:pPr>
        <w:spacing w:after="60"/>
        <w:ind w:left="432" w:hanging="432"/>
      </w:pPr>
      <w:r>
        <w:rPr>
          <w:b/>
        </w:rPr>
        <w:t>3.</w:t>
        <w:tab/>
      </w:r>
      <w:r>
        <w:t xml:space="preserve">Cliquez sur </w:t>
      </w:r>
      <w:r>
        <w:rPr>
          <w:b/>
        </w:rPr>
        <w:t>Régénérer</w:t>
      </w:r>
      <w:r>
        <w:t xml:space="preserve"> si vous devez un jour remplacer ce secret (une confirmation vous sera demandée, cette action invalidant l'ancien secret).</w:t>
      </w:r>
    </w:p>
    <w:p>
      <w:pPr>
        <w:pStyle w:val="Heading3"/>
      </w:pPr>
      <w:r>
        <w:t>3.17.3 Consulter l'historique des livraisons</w:t>
      </w:r>
    </w:p>
    <w:p>
      <w:pPr>
        <w:spacing w:after="120"/>
      </w:pPr>
      <w:r>
        <w:t>Cliquez sur « Deliveries » (« Livraisons ») sur la ligne d'un webhook pour voir ses 20 dernières tentatives de livraison, chacune indiquant le type d'événement, l'horodatage et la charge utile exacte envoyée. Il s'agit d'un journal de *tentatives* de livraison — la plateforme envoie puis passe à la suite (fire-and-forget) plutôt que d'attendre confirmation que la destination l'a bien reçu, comme le précise le panneau lui-même.</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page Webhooks montrant la boîte de dialogue Ajouter un webhook avec les quatre cases d'événements</w:t>
      </w:r>
    </w:p>
    <w:p>
      <w:pPr>
        <w:spacing w:before="120" w:after="200"/>
        <w:pBdr>
          <w:bottom w:val="single" w:sz="8" w:space="1" w:color="9DC3E6"/>
        </w:pBdr>
      </w:pPr>
    </w:p>
    <w:p>
      <w:pPr>
        <w:pStyle w:val="Heading2"/>
      </w:pPr>
      <w:r>
        <w:t>3.18 Notifications (synthèse par e-mail — configuration réservée à l'exploitant technique)</w:t>
      </w:r>
    </w:p>
    <w:p>
      <w:pPr>
        <w:spacing w:after="120"/>
      </w:pPr>
      <w:r>
        <w:t xml:space="preserve">Comme indiqué à la Section 2.5, la cloche de notifications est en lecture seule pour les administrateurs. La </w:t>
      </w:r>
      <w:r>
        <w:rPr>
          <w:b/>
        </w:rPr>
        <w:t>synthèse quotidienne facultative par e-mail</w:t>
      </w:r>
      <w:r>
        <w:t xml:space="preserve"> (qui envoie un e-mail à toute personne ayant des notifications non lues, une fois par jour) ne se configure nulle part dans l'interface de l'application — elle n'est activée qu'une seule fois, en dehors de l'application, par la personne qui gère le backend de la plateforme, en configurant une clé d'API d'un fournisseur de messagerie. </w:t>
      </w:r>
      <w:r>
        <w:rPr>
          <w:b/>
          <w:i/>
          <w:color w:val="B54A00"/>
        </w:rPr>
        <w:t>[À CONFIRMER : la procédure exacte et qui détient actuellement l'accès pour effectuer cette configuration — voir la Section 6.]</w:t>
      </w:r>
      <w:r>
        <w:t xml:space="preserve"> Sans cette configuration ponctuelle, les notifications in-app (la cloche) continuent de fonctionner normalement ; seule la copie envoyée par e-mail est omise.</w:t>
      </w:r>
    </w:p>
    <w:p>
      <w:pPr>
        <w:spacing w:before="120" w:after="200"/>
        <w:pBdr>
          <w:bottom w:val="single" w:sz="8" w:space="1" w:color="9DC3E6"/>
        </w:pBdr>
      </w:pPr>
    </w:p>
    <w:p>
      <w:pPr>
        <w:pStyle w:val="Heading1"/>
      </w:pPr>
      <w:r>
        <w:t>4. Dépannage / problèmes courants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21"/>
              </w:rPr>
              <w:t>Symptôme</w:t>
            </w:r>
          </w:p>
        </w:tc>
        <w:tc>
          <w:tcPr>
            <w:tcW w:type="dxa" w:w="4680"/>
          </w:tcPr>
          <w:p>
            <w:r/>
            <w:r>
              <w:rPr>
                <w:b/>
                <w:sz w:val="21"/>
              </w:rPr>
              <w:t>Cause probable / que faire</w:t>
            </w:r>
          </w:p>
        </w:tc>
      </w:tr>
      <w:tr>
        <w:tc>
          <w:tcPr>
            <w:tcW w:type="dxa" w:w="4680"/>
          </w:tcPr>
          <w:p>
            <w:r>
              <w:rPr>
                <w:sz w:val="20"/>
              </w:rPr>
            </w:r>
            <w:r>
              <w:rPr>
                <w:sz w:val="20"/>
              </w:rPr>
              <w:t>La page de connexion affiche une erreur après la saisie de l'e-mail et du mot de passe</w:t>
            </w:r>
          </w:p>
        </w:tc>
        <w:tc>
          <w:tcPr>
            <w:tcW w:type="dxa" w:w="4680"/>
          </w:tcPr>
          <w:p>
            <w:r>
              <w:rPr>
                <w:sz w:val="20"/>
              </w:rPr>
            </w:r>
            <w:r>
              <w:rPr>
                <w:sz w:val="20"/>
              </w:rPr>
              <w:t xml:space="preserve">La combinaison e-mail/mot de passe est incorrecte, ou le compte n'existe pas. Vérifiez l'absence de fautes de frappe, puis utilisez </w:t>
            </w:r>
            <w:r>
              <w:rPr>
                <w:b/>
                <w:sz w:val="20"/>
              </w:rPr>
              <w:t>Mot de passe oublié ?</w:t>
            </w:r>
            <w:r>
              <w:rPr>
                <w:sz w:val="20"/>
              </w:rPr>
              <w:t xml:space="preserve"> en cas de doute.</w:t>
            </w:r>
          </w:p>
        </w:tc>
      </w:tr>
      <w:tr>
        <w:tc>
          <w:tcPr>
            <w:tcW w:type="dxa" w:w="4680"/>
          </w:tcPr>
          <w:p>
            <w:r>
              <w:rPr>
                <w:sz w:val="20"/>
              </w:rPr>
            </w:r>
            <w:r>
              <w:rPr>
                <w:sz w:val="20"/>
              </w:rPr>
              <w:t>« Ce lien n'est plus valide ou a expiré » sur la page de réinitialisation du mot de passe</w:t>
            </w:r>
          </w:p>
        </w:tc>
        <w:tc>
          <w:tcPr>
            <w:tcW w:type="dxa" w:w="4680"/>
          </w:tcPr>
          <w:p>
            <w:r>
              <w:rPr>
                <w:sz w:val="20"/>
              </w:rPr>
            </w:r>
            <w:r>
              <w:rPr>
                <w:sz w:val="20"/>
              </w:rPr>
              <w:t>Le lien de réinitialisation a déjà été utilisé ou a expiré. Cliquez sur l'option pour en redemander un et recommencez la procédure de réinitialisation depuis la page de connexion.</w:t>
            </w:r>
          </w:p>
        </w:tc>
      </w:tr>
      <w:tr>
        <w:tc>
          <w:tcPr>
            <w:tcW w:type="dxa" w:w="4680"/>
          </w:tcPr>
          <w:p>
            <w:r>
              <w:rPr>
                <w:sz w:val="20"/>
              </w:rPr>
            </w:r>
            <w:r>
              <w:rPr>
                <w:sz w:val="20"/>
              </w:rPr>
              <w:t>Déconnexion inattendue en cours de travail</w:t>
            </w:r>
          </w:p>
        </w:tc>
        <w:tc>
          <w:tcPr>
            <w:tcW w:type="dxa" w:w="4680"/>
          </w:tcPr>
          <w:p>
            <w:r>
              <w:rPr>
                <w:sz w:val="20"/>
              </w:rPr>
            </w:r>
            <w:r>
              <w:rPr>
                <w:sz w:val="20"/>
              </w:rPr>
              <w:t>Votre session expire automatiquement après 30 minutes sans aucune activité de souris/clavier/défilement. Reconnectez-vous simplement ; les modifications non enregistrées d'un formulaire peuvent être perdues, pensez donc à enregistrer fréquemment sur les formulaires longs.</w:t>
            </w:r>
          </w:p>
        </w:tc>
      </w:tr>
      <w:tr>
        <w:tc>
          <w:tcPr>
            <w:tcW w:type="dxa" w:w="4680"/>
          </w:tcPr>
          <w:p>
            <w:r>
              <w:rPr>
                <w:sz w:val="20"/>
              </w:rPr>
            </w:r>
            <w:r>
              <w:rPr>
                <w:sz w:val="20"/>
              </w:rPr>
              <w:t>Un collègue avec le rôle Lecteur indique ne pas pouvoir accéder à une page que vous voyez</w:t>
            </w:r>
          </w:p>
        </w:tc>
        <w:tc>
          <w:tcPr>
            <w:tcW w:type="dxa" w:w="4680"/>
          </w:tcPr>
          <w:p>
            <w:r>
              <w:rPr>
                <w:sz w:val="20"/>
              </w:rPr>
            </w:r>
            <w:r>
              <w:rPr>
                <w:sz w:val="20"/>
              </w:rPr>
              <w:t>Seul le rôle Administrateur peut ouvrir les pages des groupes Vivier/Opportunités/Exécution/Administration de la barre latérale, ainsi que la plupart des onglets de Rapports. Les Lecteurs sont automatiquement redirigés vers le vivier public. C'est un comportement normal ; promouvez la personne au rôle Administrateur (Section 3.1.2) si elle a réellement besoin d'un accès administrateur, ou vérifiez si c'est plutôt une permission détaillée précise (Section 3.2) qui est réellement nécessaire.</w:t>
            </w:r>
          </w:p>
        </w:tc>
      </w:tr>
      <w:tr>
        <w:tc>
          <w:tcPr>
            <w:tcW w:type="dxa" w:w="4680"/>
          </w:tcPr>
          <w:p>
            <w:r>
              <w:rPr>
                <w:sz w:val="20"/>
              </w:rPr>
            </w:r>
            <w:r>
              <w:rPr>
                <w:sz w:val="20"/>
              </w:rPr>
              <w:t>Impossible de retrouver un événement d'audit précis avec le filtre Type d'entité</w:t>
            </w:r>
          </w:p>
        </w:tc>
        <w:tc>
          <w:tcPr>
            <w:tcW w:type="dxa" w:w="4680"/>
          </w:tcPr>
          <w:p>
            <w:r>
              <w:rPr>
                <w:sz w:val="20"/>
              </w:rPr>
            </w:r>
            <w:r>
              <w:rPr>
                <w:sz w:val="20"/>
              </w:rPr>
              <w:t>Ce filtre ne couvre actuellement que Session, Utilisateur, Expert et Rôle. Effacez-le et utilisez plutôt le filtre Action et/ou la recherche par e-mail utilisateur.</w:t>
            </w:r>
          </w:p>
        </w:tc>
      </w:tr>
      <w:tr>
        <w:tc>
          <w:tcPr>
            <w:tcW w:type="dxa" w:w="4680"/>
          </w:tcPr>
          <w:p>
            <w:r>
              <w:rPr>
                <w:sz w:val="20"/>
              </w:rPr>
            </w:r>
            <w:r>
              <w:rPr>
                <w:sz w:val="20"/>
              </w:rPr>
              <w:t>Un utilisateur avec le rôle Lecteur pense pouvoir accéder à un onglet de rapport mais celui-ci est grisé</w:t>
            </w:r>
          </w:p>
        </w:tc>
        <w:tc>
          <w:tcPr>
            <w:tcW w:type="dxa" w:w="4680"/>
          </w:tcPr>
          <w:p>
            <w:r>
              <w:rPr>
                <w:sz w:val="20"/>
              </w:rPr>
            </w:r>
            <w:r>
              <w:rPr>
                <w:sz w:val="20"/>
              </w:rPr>
              <w:t xml:space="preserve">Seul l'onglet </w:t>
            </w:r>
            <w:r>
              <w:rPr>
                <w:b/>
                <w:sz w:val="20"/>
              </w:rPr>
              <w:t>Vivier d'experts</w:t>
            </w:r>
            <w:r>
              <w:rPr>
                <w:sz w:val="20"/>
              </w:rPr>
              <w:t xml:space="preserve"> est accessible aux Lecteurs ; les six autres onglets de Rapports sont réservés aux Administrateurs, conformément à la bannière affichée sur la page elle-même — voir la Section 3.16.</w:t>
            </w:r>
          </w:p>
        </w:tc>
      </w:tr>
      <w:tr>
        <w:tc>
          <w:tcPr>
            <w:tcW w:type="dxa" w:w="4680"/>
          </w:tcPr>
          <w:p>
            <w:r>
              <w:rPr>
                <w:sz w:val="20"/>
              </w:rPr>
            </w:r>
            <w:r>
              <w:rPr>
                <w:sz w:val="20"/>
              </w:rPr>
              <w:t>Besoin de saisir les langues, pays d'expérience, historique auprès des bailleurs ou certifications d'un expert</w:t>
            </w:r>
          </w:p>
        </w:tc>
        <w:tc>
          <w:tcPr>
            <w:tcW w:type="dxa" w:w="4680"/>
          </w:tcPr>
          <w:p>
            <w:r>
              <w:rPr>
                <w:sz w:val="20"/>
              </w:rPr>
            </w:r>
            <w:r>
              <w:rPr>
                <w:sz w:val="20"/>
              </w:rPr>
              <w:t>Le formulaire Ajouter/Modifier un expert n'expose actuellement aucun champ pour ces éléments, bien que la base de données les prenne en charge. Vérifiez auprès de votre administrateur technique s'il existe un autre moyen de saisie avant de supposer que ces données ne peuvent pas être capturées.</w:t>
            </w:r>
          </w:p>
        </w:tc>
      </w:tr>
      <w:tr>
        <w:tc>
          <w:tcPr>
            <w:tcW w:type="dxa" w:w="4680"/>
          </w:tcPr>
          <w:p>
            <w:r>
              <w:rPr>
                <w:sz w:val="20"/>
              </w:rPr>
            </w:r>
            <w:r>
              <w:rPr>
                <w:sz w:val="20"/>
              </w:rPr>
              <w:t>Le téléversement d'un CV, d'un TDR ou d'un document de la Base de connaissances est refusé</w:t>
            </w:r>
          </w:p>
        </w:tc>
        <w:tc>
          <w:tcPr>
            <w:tcW w:type="dxa" w:w="4680"/>
          </w:tcPr>
          <w:p>
            <w:r>
              <w:rPr>
                <w:sz w:val="20"/>
              </w:rPr>
            </w:r>
            <w:r>
              <w:rPr>
                <w:sz w:val="20"/>
              </w:rPr>
              <w:t xml:space="preserve">Chaque téléversement assisté par IA (CV d'experts lors de la saisie, fichiers TDR/RFP, documents de la Base de connaissances) est limité aux fichiers PDF, DOCX, DOC ou TXT, 10 Mo maximum. Le champ </w:t>
            </w:r>
            <w:r>
              <w:rPr>
                <w:b/>
                <w:sz w:val="20"/>
              </w:rPr>
              <w:t>Document CV</w:t>
            </w:r>
            <w:r>
              <w:rPr>
                <w:sz w:val="20"/>
              </w:rPr>
              <w:t xml:space="preserve"> propre à l'expert (distinct de la zone de dépôt de saisie IA) n'accepte que le PDF. Convertissez ou compressez le fichier puis réessayez.</w:t>
            </w:r>
          </w:p>
        </w:tc>
      </w:tr>
      <w:tr>
        <w:tc>
          <w:tcPr>
            <w:tcW w:type="dxa" w:w="4680"/>
          </w:tcPr>
          <w:p>
            <w:r>
              <w:rPr>
                <w:sz w:val="20"/>
              </w:rPr>
            </w:r>
            <w:r>
              <w:rPr>
                <w:sz w:val="20"/>
              </w:rPr>
              <w:t>Un webhook affiche des livraisons dans son journal mais le système de destination ne reçoit jamais rien</w:t>
            </w:r>
          </w:p>
        </w:tc>
        <w:tc>
          <w:tcPr>
            <w:tcW w:type="dxa" w:w="4680"/>
          </w:tcPr>
          <w:p>
            <w:r>
              <w:rPr>
                <w:sz w:val="20"/>
              </w:rPr>
            </w:r>
            <w:r>
              <w:rPr>
                <w:sz w:val="20"/>
              </w:rPr>
              <w:t>La livraison est de type « fire-and-forget » — la plateforme enregistre qu'elle a *envoyé* la charge utile, pas que la destination l'a *reçue*. Vérifiez les propres journaux du système de destination, et confirmez que l'URL et la vérification du secret de signature de ce côté sont correctes.</w:t>
            </w:r>
          </w:p>
        </w:tc>
      </w:tr>
      <w:tr>
        <w:tc>
          <w:tcPr>
            <w:tcW w:type="dxa" w:w="4680"/>
          </w:tcPr>
          <w:p>
            <w:r>
              <w:rPr>
                <w:sz w:val="20"/>
              </w:rPr>
            </w:r>
            <w:r>
              <w:rPr>
                <w:sz w:val="20"/>
              </w:rPr>
              <w:t>La synthèse de notifications par e-mail n'arrive jamais</w:t>
            </w:r>
          </w:p>
        </w:tc>
        <w:tc>
          <w:tcPr>
            <w:tcW w:type="dxa" w:w="4680"/>
          </w:tcPr>
          <w:p>
            <w:r>
              <w:rPr>
                <w:sz w:val="20"/>
              </w:rPr>
            </w:r>
            <w:r>
              <w:rPr>
                <w:sz w:val="20"/>
              </w:rPr>
              <w:t>Cela nécessite une configuration ponctuelle effectuée en dehors de l'application par un administrateur technique (Section 3.18). Les notifications in-app (la cloche) fonctionnent quel que soit ce paramétrage ; seule la copie e-mail en dépend.</w:t>
            </w:r>
          </w:p>
        </w:tc>
      </w:tr>
      <w:tr>
        <w:tc>
          <w:tcPr>
            <w:tcW w:type="dxa" w:w="4680"/>
          </w:tcPr>
          <w:p>
            <w:r>
              <w:rPr>
                <w:sz w:val="20"/>
              </w:rPr>
            </w:r>
            <w:r>
              <w:rPr>
                <w:sz w:val="20"/>
              </w:rPr>
              <w:t>Configurer le tout premier compte administrateur sur un déploiement neuf de la plateforme</w:t>
            </w:r>
          </w:p>
        </w:tc>
        <w:tc>
          <w:tcPr>
            <w:tcW w:type="dxa" w:w="4680"/>
          </w:tcPr>
          <w:p>
            <w:r>
              <w:rPr>
                <w:sz w:val="20"/>
              </w:rPr>
            </w:r>
            <w:r>
              <w:rPr>
                <w:sz w:val="20"/>
              </w:rPr>
              <w:t xml:space="preserve">Il n'existe aucun moyen, au sein de l'application, de créer le tout premier compte, puisque seul un administrateur existant peut inviter de nouveaux utilisateurs. </w:t>
            </w:r>
            <w:r>
              <w:rPr>
                <w:b/>
                <w:i/>
                <w:color w:val="B54A00"/>
                <w:sz w:val="20"/>
              </w:rPr>
              <w:t>[À CONFIRMER : cette opération doit vraisemblablement être effectuée directement via la base de données/plateforme d'hébergement sous-jacente par la personne qui déploie le système — vérifiez la procédure exacte auprès de votre administrateur technique avant tout nouveau déploiement.]</w:t>
            </w:r>
          </w:p>
        </w:tc>
      </w:tr>
    </w:tbl>
    <w:p>
      <w:pPr>
        <w:spacing w:after="80"/>
      </w:pPr>
    </w:p>
    <w:p>
      <w:pPr>
        <w:spacing w:before="120" w:after="200"/>
        <w:pBdr>
          <w:bottom w:val="single" w:sz="8" w:space="1" w:color="9DC3E6"/>
        </w:pBdr>
      </w:pPr>
    </w:p>
    <w:p>
      <w:pPr>
        <w:pStyle w:val="Heading1"/>
      </w:pPr>
      <w:r>
        <w:t>5. Glossaire des termes clés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21"/>
              </w:rPr>
              <w:t>Terme</w:t>
            </w:r>
          </w:p>
        </w:tc>
        <w:tc>
          <w:tcPr>
            <w:tcW w:type="dxa" w:w="4680"/>
          </w:tcPr>
          <w:p>
            <w:r/>
            <w:r>
              <w:rPr>
                <w:b/>
                <w:sz w:val="21"/>
              </w:rPr>
              <w:t>Signification</w:t>
            </w:r>
          </w:p>
        </w:tc>
      </w:tr>
      <w:tr>
        <w:tc>
          <w:tcPr>
            <w:tcW w:type="dxa" w:w="4680"/>
          </w:tcPr>
          <w:p>
            <w:r>
              <w:rPr>
                <w:sz w:val="20"/>
              </w:rPr>
            </w:r>
            <w:r>
              <w:rPr>
                <w:b/>
                <w:sz w:val="20"/>
              </w:rPr>
              <w:t>Admin / Administrateur</w:t>
            </w:r>
          </w:p>
        </w:tc>
        <w:tc>
          <w:tcPr>
            <w:tcW w:type="dxa" w:w="4680"/>
          </w:tcPr>
          <w:p>
            <w:r>
              <w:rPr>
                <w:sz w:val="20"/>
              </w:rPr>
            </w:r>
            <w:r>
              <w:rPr>
                <w:sz w:val="20"/>
              </w:rPr>
              <w:t>Le rôle de la plateforme disposant d'un accès complet à toutes les pages décrites dans ce guide.</w:t>
            </w:r>
          </w:p>
        </w:tc>
      </w:tr>
      <w:tr>
        <w:tc>
          <w:tcPr>
            <w:tcW w:type="dxa" w:w="4680"/>
          </w:tcPr>
          <w:p>
            <w:r>
              <w:rPr>
                <w:sz w:val="20"/>
              </w:rPr>
            </w:r>
            <w:r>
              <w:rPr>
                <w:b/>
                <w:sz w:val="20"/>
              </w:rPr>
              <w:t>Lecteur (Viewer)</w:t>
            </w:r>
          </w:p>
        </w:tc>
        <w:tc>
          <w:tcPr>
            <w:tcW w:type="dxa" w:w="4680"/>
          </w:tcPr>
          <w:p>
            <w:r>
              <w:rPr>
                <w:sz w:val="20"/>
              </w:rPr>
            </w:r>
            <w:r>
              <w:rPr>
                <w:sz w:val="20"/>
              </w:rPr>
              <w:t>L'autre rôle de la plateforme ; ne peut accéder à aucune page d'administration.</w:t>
            </w:r>
          </w:p>
        </w:tc>
      </w:tr>
      <w:tr>
        <w:tc>
          <w:tcPr>
            <w:tcW w:type="dxa" w:w="4680"/>
          </w:tcPr>
          <w:p>
            <w:r>
              <w:rPr>
                <w:sz w:val="20"/>
              </w:rPr>
            </w:r>
            <w:r>
              <w:rPr>
                <w:b/>
                <w:sz w:val="20"/>
              </w:rPr>
              <w:t>Secrétaire IA</w:t>
            </w:r>
          </w:p>
        </w:tc>
        <w:tc>
          <w:tcPr>
            <w:tcW w:type="dxa" w:w="4680"/>
          </w:tcPr>
          <w:p>
            <w:r>
              <w:rPr>
                <w:sz w:val="20"/>
              </w:rPr>
            </w:r>
            <w:r>
              <w:rPr>
                <w:sz w:val="20"/>
              </w:rPr>
              <w:t>La fonctionnalité de la Gestion des réunions qui structure les notes de réunion brutes que vous collez en un résumé, des décisions et des actions à entreprendre.</w:t>
            </w:r>
          </w:p>
        </w:tc>
      </w:tr>
      <w:tr>
        <w:tc>
          <w:tcPr>
            <w:tcW w:type="dxa" w:w="4680"/>
          </w:tcPr>
          <w:p>
            <w:r>
              <w:rPr>
                <w:sz w:val="20"/>
              </w:rPr>
            </w:r>
            <w:r>
              <w:rPr>
                <w:b/>
                <w:sz w:val="20"/>
              </w:rPr>
              <w:t>Ask ACSD Intelligence</w:t>
            </w:r>
          </w:p>
        </w:tc>
        <w:tc>
          <w:tcPr>
            <w:tcW w:type="dxa" w:w="4680"/>
          </w:tcPr>
          <w:p>
            <w:r>
              <w:rPr>
                <w:sz w:val="20"/>
              </w:rPr>
            </w:r>
            <w:r>
              <w:rPr>
                <w:sz w:val="20"/>
              </w:rPr>
              <w:t>L'outil de recherche en langage naturel pour le vivier d'experts.</w:t>
            </w:r>
          </w:p>
        </w:tc>
      </w:tr>
      <w:tr>
        <w:tc>
          <w:tcPr>
            <w:tcW w:type="dxa" w:w="4680"/>
          </w:tcPr>
          <w:p>
            <w:r>
              <w:rPr>
                <w:sz w:val="20"/>
              </w:rPr>
            </w:r>
            <w:r>
              <w:rPr>
                <w:b/>
                <w:sz w:val="20"/>
              </w:rPr>
              <w:t>Journal d'audit</w:t>
            </w:r>
          </w:p>
        </w:tc>
        <w:tc>
          <w:tcPr>
            <w:tcW w:type="dxa" w:w="4680"/>
          </w:tcPr>
          <w:p>
            <w:r>
              <w:rPr>
                <w:sz w:val="20"/>
              </w:rPr>
            </w:r>
            <w:r>
              <w:rPr>
                <w:sz w:val="20"/>
              </w:rPr>
              <w:t>L'enregistrement de chaque action significative effectuée dans la plateforme (qui a fait quoi, quand, et — le cas échéant — les valeurs avant/après).</w:t>
            </w:r>
          </w:p>
        </w:tc>
      </w:tr>
      <w:tr>
        <w:tc>
          <w:tcPr>
            <w:tcW w:type="dxa" w:w="4680"/>
          </w:tcPr>
          <w:p>
            <w:r>
              <w:rPr>
                <w:sz w:val="20"/>
              </w:rPr>
            </w:r>
            <w:r>
              <w:rPr>
                <w:b/>
                <w:sz w:val="20"/>
              </w:rPr>
              <w:t>Analyse Go/No-Go (Bid/No-Bid)</w:t>
            </w:r>
          </w:p>
        </w:tc>
        <w:tc>
          <w:tcPr>
            <w:tcW w:type="dxa" w:w="4680"/>
          </w:tcPr>
          <w:p>
            <w:r>
              <w:rPr>
                <w:sz w:val="20"/>
              </w:rPr>
            </w:r>
            <w:r>
              <w:rPr>
                <w:sz w:val="20"/>
              </w:rPr>
              <w:t>Une recommandation de participation assistée par IA pour une opportunité, fondée sur les caractéristiques de l'opportunité ainsi que sur les candidats réellement mis en correspondance et l'équipe constituée à ce stade.</w:t>
            </w:r>
          </w:p>
        </w:tc>
      </w:tr>
      <w:tr>
        <w:tc>
          <w:tcPr>
            <w:tcW w:type="dxa" w:w="4680"/>
          </w:tcPr>
          <w:p>
            <w:r>
              <w:rPr>
                <w:sz w:val="20"/>
              </w:rPr>
            </w:r>
            <w:r>
              <w:rPr>
                <w:b/>
                <w:sz w:val="20"/>
              </w:rPr>
              <w:t>URL de capacité (Capability URL)</w:t>
            </w:r>
          </w:p>
        </w:tc>
        <w:tc>
          <w:tcPr>
            <w:tcW w:type="dxa" w:w="4680"/>
          </w:tcPr>
          <w:p>
            <w:r>
              <w:rPr>
                <w:sz w:val="20"/>
              </w:rPr>
            </w:r>
            <w:r>
              <w:rPr>
                <w:sz w:val="20"/>
              </w:rPr>
              <w:t>Une adresse web qui donne accès à quelque chose (comme votre flux calendrier personnel) simplement en connaissant le lien, difficile à deviner, plutôt que d'exiger une connexion séparée — utilisée pour le flux d'abonnement au calendrier.</w:t>
            </w:r>
          </w:p>
        </w:tc>
      </w:tr>
      <w:tr>
        <w:tc>
          <w:tcPr>
            <w:tcW w:type="dxa" w:w="4680"/>
          </w:tcPr>
          <w:p>
            <w:r>
              <w:rPr>
                <w:sz w:val="20"/>
              </w:rPr>
            </w:r>
            <w:r>
              <w:rPr>
                <w:b/>
                <w:sz w:val="20"/>
              </w:rPr>
              <w:t>CRM</w:t>
            </w:r>
          </w:p>
        </w:tc>
        <w:tc>
          <w:tcPr>
            <w:tcW w:type="dxa" w:w="4680"/>
          </w:tcPr>
          <w:p>
            <w:r>
              <w:rPr>
                <w:sz w:val="20"/>
              </w:rPr>
            </w:r>
            <w:r>
              <w:rPr>
                <w:sz w:val="20"/>
              </w:rPr>
              <w:t>Gestion de la relation client (Customer/Client Relationship Management) — ici, le module Clients qui suit les contacts, les interactions et l'historique de la relation.</w:t>
            </w:r>
          </w:p>
        </w:tc>
      </w:tr>
      <w:tr>
        <w:tc>
          <w:tcPr>
            <w:tcW w:type="dxa" w:w="4680"/>
          </w:tcPr>
          <w:p>
            <w:r>
              <w:rPr>
                <w:sz w:val="20"/>
              </w:rPr>
            </w:r>
            <w:r>
              <w:rPr>
                <w:b/>
                <w:sz w:val="20"/>
              </w:rPr>
              <w:t>EOI</w:t>
            </w:r>
          </w:p>
        </w:tc>
        <w:tc>
          <w:tcPr>
            <w:tcW w:type="dxa" w:w="4680"/>
          </w:tcPr>
          <w:p>
            <w:r>
              <w:rPr>
                <w:sz w:val="20"/>
              </w:rPr>
            </w:r>
            <w:r>
              <w:rPr>
                <w:sz w:val="20"/>
              </w:rPr>
              <w:t>Expression of Interest / Manifestation d'Intérêt — l'un des types de documents de proposition générés par IA.</w:t>
            </w:r>
          </w:p>
        </w:tc>
      </w:tr>
      <w:tr>
        <w:tc>
          <w:tcPr>
            <w:tcW w:type="dxa" w:w="4680"/>
          </w:tcPr>
          <w:p>
            <w:r>
              <w:rPr>
                <w:sz w:val="20"/>
              </w:rPr>
            </w:r>
            <w:r>
              <w:rPr>
                <w:b/>
                <w:sz w:val="20"/>
              </w:rPr>
              <w:t>Flux iCalendar / .ics</w:t>
            </w:r>
          </w:p>
        </w:tc>
        <w:tc>
          <w:tcPr>
            <w:tcW w:type="dxa" w:w="4680"/>
          </w:tcPr>
          <w:p>
            <w:r>
              <w:rPr>
                <w:sz w:val="20"/>
              </w:rPr>
            </w:r>
            <w:r>
              <w:rPr>
                <w:sz w:val="20"/>
              </w:rPr>
              <w:t>Un format standard d'abonnement à un calendrier ; l'URL de votre flux personnel peut être ajoutée à Google Calendar, Outlook ou Apple Calendar afin que les tâches et réunions apparaissent automatiquement.</w:t>
            </w:r>
          </w:p>
        </w:tc>
      </w:tr>
      <w:tr>
        <w:tc>
          <w:tcPr>
            <w:tcW w:type="dxa" w:w="4680"/>
          </w:tcPr>
          <w:p>
            <w:r>
              <w:rPr>
                <w:sz w:val="20"/>
              </w:rPr>
            </w:r>
            <w:r>
              <w:rPr>
                <w:b/>
                <w:sz w:val="20"/>
              </w:rPr>
              <w:t>Base de connaissances</w:t>
            </w:r>
          </w:p>
        </w:tc>
        <w:tc>
          <w:tcPr>
            <w:tcW w:type="dxa" w:w="4680"/>
          </w:tcPr>
          <w:p>
            <w:r>
              <w:rPr>
                <w:sz w:val="20"/>
              </w:rPr>
            </w:r>
            <w:r>
              <w:rPr>
                <w:sz w:val="20"/>
              </w:rPr>
              <w:t>La bibliothèque d'anciennes propositions, méthodologies, références, exigences des bailleurs et modèles sur laquelle s'appuie le générateur de propositions par IA.</w:t>
            </w:r>
          </w:p>
        </w:tc>
      </w:tr>
      <w:tr>
        <w:tc>
          <w:tcPr>
            <w:tcW w:type="dxa" w:w="4680"/>
          </w:tcPr>
          <w:p>
            <w:r>
              <w:rPr>
                <w:sz w:val="20"/>
              </w:rPr>
            </w:r>
            <w:r>
              <w:rPr>
                <w:b/>
                <w:sz w:val="20"/>
              </w:rPr>
              <w:t>Enseignements tirés</w:t>
            </w:r>
          </w:p>
        </w:tc>
        <w:tc>
          <w:tcPr>
            <w:tcW w:type="dxa" w:w="4680"/>
          </w:tcPr>
          <w:p>
            <w:r>
              <w:rPr>
                <w:sz w:val="20"/>
              </w:rPr>
            </w:r>
            <w:r>
              <w:rPr>
                <w:sz w:val="20"/>
              </w:rPr>
              <w:t>Le journal structuré Réussite/Difficulté ; les entrées de type Difficulté sont automatiquement présentées pour guider la rédaction de futures propositions.</w:t>
            </w:r>
          </w:p>
        </w:tc>
      </w:tr>
      <w:tr>
        <w:tc>
          <w:tcPr>
            <w:tcW w:type="dxa" w:w="4680"/>
          </w:tcPr>
          <w:p>
            <w:r>
              <w:rPr>
                <w:sz w:val="20"/>
              </w:rPr>
            </w:r>
            <w:r>
              <w:rPr>
                <w:b/>
                <w:sz w:val="20"/>
              </w:rPr>
              <w:t>Score de correspondance</w:t>
            </w:r>
          </w:p>
        </w:tc>
        <w:tc>
          <w:tcPr>
            <w:tcW w:type="dxa" w:w="4680"/>
          </w:tcPr>
          <w:p>
            <w:r>
              <w:rPr>
                <w:sz w:val="20"/>
              </w:rPr>
            </w:r>
            <w:r>
              <w:rPr>
                <w:sz w:val="20"/>
              </w:rPr>
              <w:t>Le score pondéré calculé par le moteur de correspondance pour évaluer dans quelle mesure un expert répond aux exigences d'un poste donné.</w:t>
            </w:r>
          </w:p>
        </w:tc>
      </w:tr>
      <w:tr>
        <w:tc>
          <w:tcPr>
            <w:tcW w:type="dxa" w:w="4680"/>
          </w:tcPr>
          <w:p>
            <w:r>
              <w:rPr>
                <w:sz w:val="20"/>
              </w:rPr>
            </w:r>
            <w:r>
              <w:rPr>
                <w:b/>
                <w:sz w:val="20"/>
              </w:rPr>
              <w:t>Jalon (Milestone)</w:t>
            </w:r>
          </w:p>
        </w:tc>
        <w:tc>
          <w:tcPr>
            <w:tcW w:type="dxa" w:w="4680"/>
          </w:tcPr>
          <w:p>
            <w:r>
              <w:rPr>
                <w:sz w:val="20"/>
              </w:rPr>
            </w:r>
            <w:r>
              <w:rPr>
                <w:sz w:val="20"/>
              </w:rPr>
              <w:t>Un livrable et/ou une obligation de paiement rattaché à un contrat, avec sa propre date d'échéance et son propre statut.</w:t>
            </w:r>
          </w:p>
        </w:tc>
      </w:tr>
      <w:tr>
        <w:tc>
          <w:tcPr>
            <w:tcW w:type="dxa" w:w="4680"/>
          </w:tcPr>
          <w:p>
            <w:r>
              <w:rPr>
                <w:sz w:val="20"/>
              </w:rPr>
            </w:r>
            <w:r>
              <w:rPr>
                <w:b/>
                <w:sz w:val="20"/>
              </w:rPr>
              <w:t>En retard (Overdue)</w:t>
            </w:r>
          </w:p>
        </w:tc>
        <w:tc>
          <w:tcPr>
            <w:tcW w:type="dxa" w:w="4680"/>
          </w:tcPr>
          <w:p>
            <w:r>
              <w:rPr>
                <w:sz w:val="20"/>
              </w:rPr>
            </w:r>
            <w:r>
              <w:rPr>
                <w:sz w:val="20"/>
              </w:rPr>
              <w:t>Un statut affiché automatiquement (jamais défini manuellement) lorsque la date d'échéance d'une tâche ou d'un jalon est dépassée sans qu'elle ait été achevée/livrée.</w:t>
            </w:r>
          </w:p>
        </w:tc>
      </w:tr>
      <w:tr>
        <w:tc>
          <w:tcPr>
            <w:tcW w:type="dxa" w:w="4680"/>
          </w:tcPr>
          <w:p>
            <w:r>
              <w:rPr>
                <w:sz w:val="20"/>
              </w:rPr>
            </w:r>
            <w:r>
              <w:rPr>
                <w:b/>
                <w:sz w:val="20"/>
              </w:rPr>
              <w:t>REOI</w:t>
            </w:r>
          </w:p>
        </w:tc>
        <w:tc>
          <w:tcPr>
            <w:tcW w:type="dxa" w:w="4680"/>
          </w:tcPr>
          <w:p>
            <w:r>
              <w:rPr>
                <w:sz w:val="20"/>
              </w:rPr>
            </w:r>
            <w:r>
              <w:rPr>
                <w:sz w:val="20"/>
              </w:rPr>
              <w:t>Request for Expression of Interest / Demande de Manifestation d'Intérêt — l'un des types d'opportunités suivis par la plateforme.</w:t>
            </w:r>
          </w:p>
        </w:tc>
      </w:tr>
      <w:tr>
        <w:tc>
          <w:tcPr>
            <w:tcW w:type="dxa" w:w="4680"/>
          </w:tcPr>
          <w:p>
            <w:r>
              <w:rPr>
                <w:sz w:val="20"/>
              </w:rPr>
            </w:r>
            <w:r>
              <w:rPr>
                <w:b/>
                <w:sz w:val="20"/>
              </w:rPr>
              <w:t>RFP</w:t>
            </w:r>
          </w:p>
        </w:tc>
        <w:tc>
          <w:tcPr>
            <w:tcW w:type="dxa" w:w="4680"/>
          </w:tcPr>
          <w:p>
            <w:r>
              <w:rPr>
                <w:sz w:val="20"/>
              </w:rPr>
            </w:r>
            <w:r>
              <w:rPr>
                <w:sz w:val="20"/>
              </w:rPr>
              <w:t>Request for Proposal / Demande de Proposition — l'un des types d'opportunités suivis par la plateforme.</w:t>
            </w:r>
          </w:p>
        </w:tc>
      </w:tr>
      <w:tr>
        <w:tc>
          <w:tcPr>
            <w:tcW w:type="dxa" w:w="4680"/>
          </w:tcPr>
          <w:p>
            <w:r>
              <w:rPr>
                <w:sz w:val="20"/>
              </w:rPr>
            </w:r>
            <w:r>
              <w:rPr>
                <w:b/>
                <w:sz w:val="20"/>
              </w:rPr>
              <w:t>RFQ</w:t>
            </w:r>
          </w:p>
        </w:tc>
        <w:tc>
          <w:tcPr>
            <w:tcW w:type="dxa" w:w="4680"/>
          </w:tcPr>
          <w:p>
            <w:r>
              <w:rPr>
                <w:sz w:val="20"/>
              </w:rPr>
            </w:r>
            <w:r>
              <w:rPr>
                <w:sz w:val="20"/>
              </w:rPr>
              <w:t>Request for Quotation / Demande de Devis — l'un des types d'opportunités suivis par la plateforme.</w:t>
            </w:r>
          </w:p>
        </w:tc>
      </w:tr>
      <w:tr>
        <w:tc>
          <w:tcPr>
            <w:tcW w:type="dxa" w:w="4680"/>
          </w:tcPr>
          <w:p>
            <w:r>
              <w:rPr>
                <w:sz w:val="20"/>
              </w:rPr>
            </w:r>
            <w:r>
              <w:rPr>
                <w:b/>
                <w:sz w:val="20"/>
              </w:rPr>
              <w:t>Rôles &amp; permissions</w:t>
            </w:r>
          </w:p>
        </w:tc>
        <w:tc>
          <w:tcPr>
            <w:tcW w:type="dxa" w:w="4680"/>
          </w:tcPr>
          <w:p>
            <w:r>
              <w:rPr>
                <w:sz w:val="20"/>
              </w:rPr>
            </w:r>
            <w:r>
              <w:rPr>
                <w:sz w:val="20"/>
              </w:rPr>
              <w:t>La page qui configure les deux rôles de la plateforme et l'ensemble de permissions détaillées du rôle Lecteur.</w:t>
            </w:r>
          </w:p>
        </w:tc>
      </w:tr>
      <w:tr>
        <w:tc>
          <w:tcPr>
            <w:tcW w:type="dxa" w:w="4680"/>
          </w:tcPr>
          <w:p>
            <w:r>
              <w:rPr>
                <w:sz w:val="20"/>
              </w:rPr>
            </w:r>
            <w:r>
              <w:rPr>
                <w:b/>
                <w:sz w:val="20"/>
              </w:rPr>
              <w:t>Expiration de session (Session timeout)</w:t>
            </w:r>
          </w:p>
        </w:tc>
        <w:tc>
          <w:tcPr>
            <w:tcW w:type="dxa" w:w="4680"/>
          </w:tcPr>
          <w:p>
            <w:r>
              <w:rPr>
                <w:sz w:val="20"/>
              </w:rPr>
            </w:r>
            <w:r>
              <w:rPr>
                <w:sz w:val="20"/>
              </w:rPr>
              <w:t>Déconnexion automatique après 30 minutes d'inactivité.</w:t>
            </w:r>
          </w:p>
        </w:tc>
      </w:tr>
      <w:tr>
        <w:tc>
          <w:tcPr>
            <w:tcW w:type="dxa" w:w="4680"/>
          </w:tcPr>
          <w:p>
            <w:r>
              <w:rPr>
                <w:sz w:val="20"/>
              </w:rPr>
            </w:r>
            <w:r>
              <w:rPr>
                <w:b/>
                <w:sz w:val="20"/>
              </w:rPr>
              <w:t>Présélection (Shortlist)</w:t>
            </w:r>
          </w:p>
        </w:tc>
        <w:tc>
          <w:tcPr>
            <w:tcW w:type="dxa" w:w="4680"/>
          </w:tcPr>
          <w:p>
            <w:r>
              <w:rPr>
                <w:sz w:val="20"/>
              </w:rPr>
            </w:r>
            <w:r>
              <w:rPr>
                <w:sz w:val="20"/>
              </w:rPr>
              <w:t>Le fait d'ajouter un candidat expert mis en correspondance à l'équipe constituée pour une opportunité.</w:t>
            </w:r>
          </w:p>
        </w:tc>
      </w:tr>
      <w:tr>
        <w:tc>
          <w:tcPr>
            <w:tcW w:type="dxa" w:w="4680"/>
          </w:tcPr>
          <w:p>
            <w:r>
              <w:rPr>
                <w:sz w:val="20"/>
              </w:rPr>
            </w:r>
            <w:r>
              <w:rPr>
                <w:b/>
                <w:sz w:val="20"/>
              </w:rPr>
              <w:t>Secret de signature</w:t>
            </w:r>
          </w:p>
        </w:tc>
        <w:tc>
          <w:tcPr>
            <w:tcW w:type="dxa" w:w="4680"/>
          </w:tcPr>
          <w:p>
            <w:r>
              <w:rPr>
                <w:sz w:val="20"/>
              </w:rPr>
            </w:r>
            <w:r>
              <w:rPr>
                <w:sz w:val="20"/>
              </w:rPr>
              <w:t>Une clé privée attachée à un webhook, utilisée pour permettre au système destinataire de vérifier qu'une livraison provient réellement de cette plateforme.</w:t>
            </w:r>
          </w:p>
        </w:tc>
      </w:tr>
      <w:tr>
        <w:tc>
          <w:tcPr>
            <w:tcW w:type="dxa" w:w="4680"/>
          </w:tcPr>
          <w:p>
            <w:r>
              <w:rPr>
                <w:sz w:val="20"/>
              </w:rPr>
            </w:r>
            <w:r>
              <w:rPr>
                <w:b/>
                <w:sz w:val="20"/>
              </w:rPr>
              <w:t>Source (source de veille)</w:t>
            </w:r>
          </w:p>
        </w:tc>
        <w:tc>
          <w:tcPr>
            <w:tcW w:type="dxa" w:w="4680"/>
          </w:tcPr>
          <w:p>
            <w:r>
              <w:rPr>
                <w:sz w:val="20"/>
              </w:rPr>
            </w:r>
            <w:r>
              <w:rPr>
                <w:sz w:val="20"/>
              </w:rPr>
              <w:t>Un portail de bailleurs externe ou un flux surveillé par la plateforme pour de nouveaux avis d'appel d'offres ; étiqueté selon sa méthode d'accès (API, RSS, digest par e-mail, ou collage manuel).</w:t>
            </w:r>
          </w:p>
        </w:tc>
      </w:tr>
      <w:tr>
        <w:tc>
          <w:tcPr>
            <w:tcW w:type="dxa" w:w="4680"/>
          </w:tcPr>
          <w:p>
            <w:r>
              <w:rPr>
                <w:sz w:val="20"/>
              </w:rPr>
            </w:r>
            <w:r>
              <w:rPr>
                <w:b/>
                <w:sz w:val="20"/>
              </w:rPr>
              <w:t>Score stratégique</w:t>
            </w:r>
          </w:p>
        </w:tc>
        <w:tc>
          <w:tcPr>
            <w:tcW w:type="dxa" w:w="4680"/>
          </w:tcPr>
          <w:p>
            <w:r>
              <w:rPr>
                <w:sz w:val="20"/>
              </w:rPr>
            </w:r>
            <w:r>
              <w:rPr>
                <w:sz w:val="20"/>
              </w:rPr>
              <w:t>Le score de 0 à 100 (avec cinq sous-scores) attribué à une opportunité lors de sa saisie, indiquant dans quelle mesure elle correspond à la stratégie de l'organisation. Signalé « À CONFIRMER » lorsque l'extraction par IA n'a pu lire que partiellement la source.</w:t>
            </w:r>
          </w:p>
        </w:tc>
      </w:tr>
      <w:tr>
        <w:tc>
          <w:tcPr>
            <w:tcW w:type="dxa" w:w="4680"/>
          </w:tcPr>
          <w:p>
            <w:r>
              <w:rPr>
                <w:sz w:val="20"/>
              </w:rPr>
            </w:r>
            <w:r>
              <w:rPr>
                <w:b/>
                <w:sz w:val="20"/>
              </w:rPr>
              <w:t>TDR (Termes de Référence)</w:t>
            </w:r>
          </w:p>
        </w:tc>
        <w:tc>
          <w:tcPr>
            <w:tcW w:type="dxa" w:w="4680"/>
          </w:tcPr>
          <w:p>
            <w:r>
              <w:rPr>
                <w:sz w:val="20"/>
              </w:rPr>
            </w:r>
            <w:r>
              <w:rPr>
                <w:sz w:val="20"/>
              </w:rPr>
              <w:t>Le document source décrivant les exigences d'un appel d'offres (équivalent français de « TOR »/« Terms of Reference »), que la plateforme peut analyser par IA pour pré-remplir automatiquement une nouvelle opportunité.</w:t>
            </w:r>
          </w:p>
        </w:tc>
      </w:tr>
      <w:tr>
        <w:tc>
          <w:tcPr>
            <w:tcW w:type="dxa" w:w="4680"/>
          </w:tcPr>
          <w:p>
            <w:r>
              <w:rPr>
                <w:sz w:val="20"/>
              </w:rPr>
            </w:r>
            <w:r>
              <w:rPr>
                <w:b/>
                <w:sz w:val="20"/>
              </w:rPr>
              <w:t>Webhook</w:t>
            </w:r>
          </w:p>
        </w:tc>
        <w:tc>
          <w:tcPr>
            <w:tcW w:type="dxa" w:w="4680"/>
          </w:tcPr>
          <w:p>
            <w:r>
              <w:rPr>
                <w:sz w:val="20"/>
              </w:rPr>
            </w:r>
            <w:r>
              <w:rPr>
                <w:sz w:val="20"/>
              </w:rPr>
              <w:t>Une notification sortante automatique que la plateforme envoie vers l'URL d'un système externe lorsqu'un événement choisi se produit.</w:t>
            </w:r>
          </w:p>
        </w:tc>
      </w:tr>
      <w:tr>
        <w:tc>
          <w:tcPr>
            <w:tcW w:type="dxa" w:w="4680"/>
          </w:tcPr>
          <w:p>
            <w:r>
              <w:rPr>
                <w:sz w:val="20"/>
              </w:rPr>
            </w:r>
            <w:r>
              <w:rPr>
                <w:b/>
                <w:sz w:val="20"/>
              </w:rPr>
              <w:t>Rôle de bon de commande (Work Order Role)</w:t>
            </w:r>
          </w:p>
        </w:tc>
        <w:tc>
          <w:tcPr>
            <w:tcW w:type="dxa" w:w="4680"/>
          </w:tcPr>
          <w:p>
            <w:r>
              <w:rPr>
                <w:sz w:val="20"/>
              </w:rPr>
            </w:r>
            <w:r>
              <w:rPr>
                <w:sz w:val="20"/>
              </w:rPr>
              <w:t>Une étiquette de vocabulaire normalisé utilisée lors de la définition des postes d'une opportunité, distincte du titre de poste propre à un expert.</w:t>
            </w:r>
          </w:p>
        </w:tc>
      </w:tr>
    </w:tbl>
    <w:p>
      <w:pPr>
        <w:spacing w:after="80"/>
      </w:pPr>
    </w:p>
    <w:p>
      <w:pPr>
        <w:spacing w:before="120" w:after="200"/>
        <w:pBdr>
          <w:bottom w:val="single" w:sz="8" w:space="1" w:color="9DC3E6"/>
        </w:pBdr>
      </w:pPr>
    </w:p>
    <w:p>
      <w:pPr>
        <w:pStyle w:val="Heading1"/>
      </w:pPr>
      <w:r>
        <w:t>6. Points à clarifier</w:t>
      </w:r>
    </w:p>
    <w:p>
      <w:pPr>
        <w:spacing w:after="120"/>
      </w:pPr>
      <w:r>
        <w:t>Les points suivants n'ont pas pu être confirmés à partir du seul code frontend de l'application et devraient être vérifiés auprès de l'administrateur technique/développeur de la plateforme avant d'être considérés comme des faits établis :</w:t>
      </w:r>
    </w:p>
    <w:p>
      <w:pPr>
        <w:spacing w:after="60"/>
        <w:ind w:left="432" w:hanging="432"/>
      </w:pPr>
      <w:r>
        <w:rPr>
          <w:b/>
        </w:rPr>
        <w:t>1.</w:t>
        <w:tab/>
      </w:r>
      <w:r>
        <w:rPr>
          <w:b/>
        </w:rPr>
        <w:t>Si la désactivation d'un compte utilisateur (Section 3.1.3) empêche réellement cette personne de se connecter</w:t>
      </w:r>
      <w:r>
        <w:t>, ou si elle se contente de la retirer des décomptes d'utilisateurs actifs et des sélecteurs de vivier/équipe. Si votre organisation compte sur Désactiver comme mesure de sécurité, vérifiez ce point explicitement.</w:t>
      </w:r>
    </w:p>
    <w:p>
      <w:pPr>
        <w:spacing w:after="60"/>
        <w:ind w:left="432" w:hanging="432"/>
      </w:pPr>
      <w:r>
        <w:rPr>
          <w:b/>
        </w:rPr>
        <w:t>2.</w:t>
        <w:tab/>
      </w:r>
      <w:r>
        <w:rPr>
          <w:b/>
        </w:rPr>
        <w:t>Si les permissions détaillées configurées sur la page Rôles &amp; permissions (Section 3.2)</w:t>
      </w:r>
      <w:r>
        <w:t xml:space="preserve"> sont réellement appliquées par les pages d'administration individuelles (par exemple, en masquant un bouton Supprimer à un Lecteur dont la permission </w:t>
      </w:r>
      <w:r>
        <w:rPr>
          <w:rFonts w:ascii="Consolas" w:hAnsi="Consolas"/>
          <w:color w:val="C02626"/>
          <w:sz w:val="20"/>
        </w:rPr>
        <w:t>experts:delete</w:t>
      </w:r>
      <w:r>
        <w:t xml:space="preserve"> est décochée), sachant que les Lecteurs ne peuvent de toute façon accéder à aucune page d'administration sous l'effet de la restriction générale Admin/Lecteur de la plateforme. Il est possible que cet écran ne fasse aujourd'hui qu'enregistrer la donnée de permission, sans que chaque page ne la vérifie encore.</w:t>
      </w:r>
    </w:p>
    <w:p>
      <w:pPr>
        <w:spacing w:after="60"/>
        <w:ind w:left="432" w:hanging="432"/>
      </w:pPr>
      <w:r>
        <w:rPr>
          <w:b/>
        </w:rPr>
        <w:t>3.</w:t>
        <w:tab/>
      </w:r>
      <w:r>
        <w:rPr>
          <w:b/>
        </w:rPr>
        <w:t>La procédure exacte de création du tout premier compte administrateur</w:t>
      </w:r>
      <w:r>
        <w:t xml:space="preserve"> lors d'un déploiement neuf de la plateforme, puisque le seul chemin de création de compte accessible dans l'application (Inviter un utilisateur) exige lui-même un administrateur déjà existant. Cela se fait vraisemblablement directement via la plateforme d'hébergement/base de données sous-jacente par un développeur, mais les étapes exactes n'ont pas été documentées dans le code frontend examiné pour ce guide.</w:t>
      </w:r>
    </w:p>
    <w:p>
      <w:pPr>
        <w:spacing w:after="60"/>
        <w:ind w:left="432" w:hanging="432"/>
      </w:pPr>
      <w:r>
        <w:rPr>
          <w:b/>
        </w:rPr>
        <w:t>4.</w:t>
        <w:tab/>
      </w:r>
      <w:r>
        <w:rPr>
          <w:b/>
        </w:rPr>
        <w:t>S'il existe un moyen actuel de renseigner les langues, pays d'expérience, historique auprès des bailleurs, types d'activités/de livrables, ou formation/certifications d'un expert</w:t>
      </w:r>
      <w:r>
        <w:t>, puisque la base de données prend en charge tous ces éléments mais que le formulaire Ajouter/Modifier un expert (Section 3.4.1) n'expose aucun champ pour eux.</w:t>
      </w:r>
    </w:p>
    <w:p>
      <w:pPr>
        <w:spacing w:after="60"/>
        <w:ind w:left="432" w:hanging="432"/>
      </w:pPr>
      <w:r>
        <w:rPr>
          <w:b/>
        </w:rPr>
        <w:t>5.</w:t>
        <w:tab/>
      </w:r>
      <w:r>
        <w:rPr>
          <w:b/>
        </w:rPr>
        <w:t>La procédure exacte de configuration ponctuelle (et qui dispose actuellement de l'accès pour l'effectuer) permettant d'activer la synthèse quotidienne facultative de notifications par e-mail</w:t>
      </w:r>
      <w:r>
        <w:t xml:space="preserve"> (Section 3.18), celle-ci dépendant d'un identifiant de fournisseur de messagerie configuré en dehors de l'application.</w:t>
      </w:r>
    </w:p>
    <w:p>
      <w:pPr>
        <w:spacing w:after="60"/>
        <w:ind w:left="432" w:hanging="432"/>
      </w:pPr>
      <w:r>
        <w:rPr>
          <w:b/>
        </w:rPr>
        <w:t>6.</w:t>
        <w:tab/>
      </w:r>
      <w:r>
        <w:rPr>
          <w:b/>
        </w:rPr>
        <w:t>Le libellé exact et réellement affiché à l'écran d'un petit nombre d'éléments d'interface</w:t>
      </w:r>
      <w:r>
        <w:t xml:space="preserve"> définis dynamiquement par le système de traduction de la plateforme plutôt que présents en texte brut dans le code source de la page (par exemple, certains libellés d'onglets et quelques légendes de boutons) — les libellés utilisés dans ce guide ont été, dans la mesure du possible, vérifiés directement dans le fichier de traduction de la plateforme (y compris pour confirmer que « TOR » se traduit par « TDR » dans l'interface française), mais un petit nombre a été déduit du contexte et devrait être revérifié dans l'interface réelle.</w:t>
      </w:r>
    </w:p>
    <w:p>
      <w:pPr>
        <w:spacing w:before="120" w:after="200"/>
        <w:pBdr>
          <w:bottom w:val="single" w:sz="8" w:space="1" w:color="9DC3E6"/>
        </w:pBdr>
      </w:pPr>
    </w:p>
    <w:p>
      <w:r>
        <w:rPr>
          <w:i/>
          <w:color w:val="666666"/>
        </w:rPr>
        <w:t>Ce guide a été préparé en examinant l'interface et le code source réels de la plateforme afin d'éviter d'inventer des étapes non vérifiées. Chaque procédure ci-dessus reflète ce que l'interface actuelle présente ; les éléments n'ayant pu être vérifiés sont explicitement signalés ci-dessus plutôt que devinés. Ce document est la traduction française du guide anglais « ACSD Expert Intelligence Platform — Administrator User Guide » ; en cas de divergence entre les deux versions, la version anglaise fait foi pour les libellés d'interface, sauf pour la correction apportée à la Section 3.16 concernant la bannière d'accès de la page Rapports, identifiée lors de la préparation de cette traduction.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F8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5F8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