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7FCB" w14:textId="77777777">
      <w:pPr>
        <w:spacing w:before="1500"/>
        <w:jc w:val="center"/>
      </w:pPr>
      <w:r>
        <w:rPr>
          <w:b/>
          <w:color w:val="15365B"/>
          <w:sz w:val="64"/>
        </w:rPr>
        <w:t xml:space="preserve">USA CARS</w:t>
      </w:r>
    </w:p>
    <w:p w14:paraId="37D6D7B8" w14:textId="77777777">
      <w:pPr>
        <w:jc w:val="center"/>
      </w:pPr>
      <w:r>
        <w:rPr>
          <w:b/>
          <w:color w:val="2A5B8A"/>
          <w:sz w:val="40"/>
        </w:rPr>
        <w:t xml:space="preserve">SYSTÈME DE GESTION ET DE TRACKING</w:t>
      </w:r>
    </w:p>
    <w:p w14:paraId="7786EE55" w14:textId="77777777">
      <w:pPr>
        <w:jc w:val="center"/>
      </w:pPr>
      <w:r>
        <w:rPr>
          <w:i/>
        </w:rPr>
        <w:t xml:space="preserve">Cahier des charges fonctionnel et technique</w:t>
      </w:r>
    </w:p>
    <w:p w14:paraId="5C3C7939" w14:textId="77777777">
      <w:pPr>
        <w:spacing w:before="400"/>
        <w:jc w:val="center"/>
      </w:pPr>
      <w:r>
        <w:t xml:space="preserve">Gestion des clients, véhicules, ordres d’achat, devis forfaitaires, paiements,</w:t>
        <w:br/>
        <w:t xml:space="preserve">logistique USA–Dakar, conteneurs maritimes et suivi des expéditions</w:t>
      </w:r>
    </w:p>
    <w:p w14:paraId="5037E907" w14:textId="77777777">
      <w:pPr>
        <w:spacing w:before="2000"/>
        <w:jc w:val="center"/>
      </w:pPr>
      <w:r>
        <w:t xml:space="preserve">Version 1.1 | Octobre 2026</w:t>
      </w:r>
    </w:p>
    <w:p w14:paraId="10F4C470" w14:textId="77777777">
      <w:pPr>
        <w:jc w:val="center"/>
      </w:pPr>
      <w:r>
        <w:rPr>
          <w:color w:val="555555"/>
          <w:sz w:val="18"/>
        </w:rPr>
        <w:t xml:space="preserve">Révision alignée sur le contrat de prestation de services et le devis / facture client révisés</w:t>
      </w:r>
    </w:p>
    <w:p w14:paraId="71018E37" w14:textId="77777777">
      <w:r>
        <w:br w:type="page"/>
      </w:r>
    </w:p>
    <w:p w14:paraId="28C5B356" w14:textId="77777777">
      <w:pPr>
        <w:pStyle w:val="Heading2"/>
      </w:pPr>
      <w:r>
        <w:t xml:space="preserve">Suivi des révisions</w:t>
      </w:r>
    </w:p>
    <w:tbl>
      <w:tblPr>
        <w:tblStyle w:val="TableGrid"/>
        <w:tblW w:w="10080" w:type="dxa"/>
        <w:jc w:val="center"/>
        <w:tblLayout w:type="fixed"/>
        <w:tblLook w:val="04A0" w:firstRow="1" w:lastRow="0" w:firstColumn="1" w:lastColumn="0" w:noHBand="0" w:noVBand="1"/>
      </w:tblPr>
      <w:tblGrid>
        <w:gridCol w:w="1300"/>
        <w:gridCol w:w="1700"/>
        <w:gridCol w:w="7080"/>
      </w:tblGrid>
      <w:tr>
        <w:trPr>
          <w:cantSplit/>
          <w:tblHeader/>
          <w:jc w:val="center"/>
        </w:trPr>
        <w:tc>
          <w:tcPr>
            <w:tcW w:w="1300" w:type="dxa"/>
            <w:shd w:val="clear" w:color="auto" w:fill="15365B"/>
            <w:vAlign w:val="center"/>
          </w:tcPr>
          <w:p w14:paraId="10323642" w14:textId="77777777">
            <w:pPr>
              <w:spacing w:after="20"/>
            </w:pPr>
            <w:r>
              <w:rPr>
                <w:b/>
                <w:color w:val="FFFFFF"/>
                <w:sz w:val="16"/>
              </w:rPr>
              <w:t xml:space="preserve">Version</w:t>
            </w:r>
          </w:p>
        </w:tc>
        <w:tc>
          <w:tcPr>
            <w:tcW w:w="1700" w:type="dxa"/>
            <w:shd w:val="clear" w:color="auto" w:fill="15365B"/>
            <w:vAlign w:val="center"/>
          </w:tcPr>
          <w:p w14:paraId="44093E75" w14:textId="77777777">
            <w:pPr>
              <w:spacing w:after="20"/>
            </w:pPr>
            <w:r>
              <w:rPr>
                <w:b/>
                <w:color w:val="FFFFFF"/>
                <w:sz w:val="16"/>
              </w:rPr>
              <w:t xml:space="preserve">Date</w:t>
            </w:r>
          </w:p>
        </w:tc>
        <w:tc>
          <w:tcPr>
            <w:tcW w:w="7080" w:type="dxa"/>
            <w:shd w:val="clear" w:color="auto" w:fill="15365B"/>
            <w:vAlign w:val="center"/>
          </w:tcPr>
          <w:p w14:paraId="2570791D" w14:textId="77777777">
            <w:pPr>
              <w:spacing w:after="20"/>
            </w:pPr>
            <w:r>
              <w:rPr>
                <w:b/>
                <w:color w:val="FFFFFF"/>
                <w:sz w:val="16"/>
              </w:rPr>
              <w:t xml:space="preserve">Principales modifications</w:t>
            </w:r>
          </w:p>
        </w:tc>
      </w:tr>
      <w:tr>
        <w:trPr>
          <w:cantSplit/>
          <w:jc w:val="center"/>
        </w:trPr>
        <w:tc>
          <w:tcPr>
            <w:tcW w:w="1300" w:type="dxa"/>
            <w:vAlign w:val="center"/>
          </w:tcPr>
          <w:p w14:paraId="208AC965" w14:textId="77777777">
            <w:pPr>
              <w:spacing w:after="20"/>
            </w:pPr>
            <w:r>
              <w:rPr>
                <w:sz w:val="16"/>
              </w:rPr>
              <w:t xml:space="preserve">1.0</w:t>
            </w:r>
          </w:p>
        </w:tc>
        <w:tc>
          <w:tcPr>
            <w:tcW w:w="1700" w:type="dxa"/>
            <w:vAlign w:val="center"/>
          </w:tcPr>
          <w:p w14:paraId="6A641849" w14:textId="77777777">
            <w:pPr>
              <w:spacing w:after="20"/>
            </w:pPr>
            <w:r>
              <w:rPr>
                <w:sz w:val="16"/>
              </w:rPr>
              <w:t xml:space="preserve">Octobre 2026</w:t>
            </w:r>
          </w:p>
        </w:tc>
        <w:tc>
          <w:tcPr>
            <w:tcW w:w="7080" w:type="dxa"/>
            <w:vAlign w:val="center"/>
          </w:tcPr>
          <w:p w14:paraId="5DAA69BE" w14:textId="77777777">
            <w:pPr>
              <w:spacing w:after="20"/>
            </w:pPr>
            <w:r>
              <w:rPr>
                <w:sz w:val="16"/>
              </w:rPr>
              <w:t xml:space="preserve">Version initiale (relue : saisie du coût d’acquisition, ajout de MSC).</w:t>
            </w:r>
          </w:p>
        </w:tc>
      </w:tr>
      <w:tr>
        <w:trPr>
          <w:cantSplit/>
          <w:jc w:val="center"/>
        </w:trPr>
        <w:tc>
          <w:tcPr>
            <w:tcW w:w="1300" w:type="dxa"/>
            <w:shd w:val="clear" w:color="auto" w:fill="F1F5F9"/>
            <w:vAlign w:val="center"/>
          </w:tcPr>
          <w:p w14:paraId="21A0CE2E" w14:textId="77777777">
            <w:pPr>
              <w:spacing w:after="20"/>
            </w:pPr>
            <w:r>
              <w:rPr>
                <w:sz w:val="16"/>
              </w:rPr>
              <w:t xml:space="preserve">1.1</w:t>
            </w:r>
          </w:p>
        </w:tc>
        <w:tc>
          <w:tcPr>
            <w:tcW w:w="1700" w:type="dxa"/>
            <w:shd w:val="clear" w:color="auto" w:fill="F1F5F9"/>
            <w:vAlign w:val="center"/>
          </w:tcPr>
          <w:p w14:paraId="31211015" w14:textId="77777777">
            <w:pPr>
              <w:spacing w:after="20"/>
            </w:pPr>
            <w:r>
              <w:rPr>
                <w:sz w:val="16"/>
              </w:rPr>
              <w:t xml:space="preserve">17 octobre 2026</w:t>
            </w:r>
          </w:p>
        </w:tc>
        <w:tc>
          <w:tcPr>
            <w:tcW w:w="7080" w:type="dxa"/>
            <w:shd w:val="clear" w:color="auto" w:fill="F1F5F9"/>
            <w:vAlign w:val="center"/>
          </w:tcPr>
          <w:p w14:paraId="62D21F4D" w14:textId="77777777">
            <w:pPr>
              <w:spacing w:after="20"/>
            </w:pPr>
            <w:r>
              <w:rPr>
                <w:sz w:val="16"/>
              </w:rPr>
              <w:t xml:space="preserve">Alignement sur le contrat révisé (40 articles, annexes A à D) et le devis / facture révisé : ordre d’achat, devis forfaitaire (sections A, B, C, D), échéancier en deux paiements, devise USD et taux XE.com, règles contractuelles paramétrables (section 6), ajout du transporteur Grimaldi, recouvrement, réclamations et données personnelles.</w:t>
            </w:r>
          </w:p>
        </w:tc>
      </w:tr>
    </w:tbl>
    <w:p w14:paraId="4F518851" w14:textId="77777777"/>
    <w:p w14:paraId="3831DECC" w14:textId="77777777">
      <w:r>
        <w:t xml:space="preserve">Les éléments </w:t>
      </w:r>
      <w:r>
        <w:rPr>
          <w:highlight w:val="yellow"/>
        </w:rPr>
        <w:t xml:space="preserve">surlignés en jaune</w:t>
      </w:r>
      <w:r>
        <w:t xml:space="preserve"> reprennent les valeurs encore à confirmer dans le contrat révisé. Ils doivent être paramétrables et validés avant la mise en production.</w:t>
      </w:r>
    </w:p>
    <w:p w14:paraId="7C406553" w14:textId="77777777">
      <w:pPr>
        <w:pStyle w:val="Heading1"/>
      </w:pPr>
      <w:r>
        <w:t xml:space="preserve">1. Résumé exécutif</w:t>
      </w:r>
    </w:p>
    <w:p w14:paraId="5B4C0AFB" w14:textId="77777777">
      <w:r>
        <w:t xml:space="preserve">USA CARS souhaite une plateforme web centralisée pour gérer chaque dossier depuis l’ordre d’achat et l’enchère sur COPART/IAA aux États-Unis jusqu’à l’arrivée du navire à Dakar, la remise des documents et la clôture du dossier. Le système réunira les opérations, les documents contractuels, la facturation, les paiements, les notifications et le tracking maritime.</w:t>
      </w:r>
    </w:p>
    <w:p w14:paraId="728ADF82" w14:textId="77777777">
      <w:r>
        <w:t xml:space="preserve">Le système applique les règles du contrat de prestation de services : ordre d’achat avec enchère maximale, devis forfaitaire, paiement en deux temps (acquisition puis solde), devise de référence en USD, frais de retard, remise des documents après paiement intégral et procédure de véhicule non réclamé. Il produit les documents d’exécution du contrat : ordre d’achat, devis, factures d’acompte et de solde, fiche opérationnelle et décharges.</w:t>
      </w:r>
    </w:p>
    <w:p w14:paraId="6593F450" w14:textId="77777777">
      <w:r>
        <w:t xml:space="preserve">La plateforme comprendra un espace interne et un portail client sécurisé. Chaque client ne pourra consulter que ses propres dossiers. Le suivi maritime fonctionnera d’abord par lien vers la page de suivi de chaque transporteur (Maersk, MSC, Grimaldi), puis par intégration API si l’accès est autorisé.</w:t>
      </w:r>
    </w:p>
    <w:p w14:paraId="3636D85E" w14:textId="77777777">
      <w:pPr>
        <w:pStyle w:val="Heading1"/>
      </w:pPr>
      <w:r>
        <w:t xml:space="preserve">2. Objectifs</w:t>
      </w:r>
    </w:p>
    <w:p w14:paraId="6845E293" w14:textId="77777777">
      <w:pPr>
        <w:pStyle w:val="ListBullet"/>
      </w:pPr>
      <w:r>
        <w:t xml:space="preserve">Centraliser les données clients, véhicules, lots, ordres d’achat, conteneurs et expéditions.</w:t>
      </w:r>
    </w:p>
    <w:p w14:paraId="64DA7FD7" w14:textId="77777777">
      <w:pPr>
        <w:pStyle w:val="ListBullet"/>
      </w:pPr>
      <w:r>
        <w:t xml:space="preserve">Suivre les étapes opérationnelles et identifier les retards ou dossiers bloqués.</w:t>
      </w:r>
    </w:p>
    <w:p w14:paraId="2D1C8528" w14:textId="77777777">
      <w:pPr>
        <w:pStyle w:val="ListBullet"/>
      </w:pPr>
      <w:r>
        <w:t xml:space="preserve">Établir les forfaits d’acquisition et de logistique à partir des coûts saisis, enregistrer les paiements et visualiser les soldes en USD et en FCFA.</w:t>
      </w:r>
    </w:p>
    <w:p w14:paraId="5B257078" w14:textId="77777777">
      <w:pPr>
        <w:pStyle w:val="ListBullet"/>
      </w:pPr>
      <w:r>
        <w:t xml:space="preserve">Générer et archiver contrats, ordres d’achat, devis, factures, preuves de paiement, documents de transport et décharges de remise.</w:t>
      </w:r>
    </w:p>
    <w:p w14:paraId="29D7C36E" w14:textId="77777777">
      <w:pPr>
        <w:pStyle w:val="ListBullet"/>
      </w:pPr>
      <w:r>
        <w:t xml:space="preserve">Appliquer automatiquement les échéances et règles du contrat : paiement 1, solde, frais de retard, remise des documents, véhicule non réclamé.</w:t>
      </w:r>
    </w:p>
    <w:p w14:paraId="6FF1B07D" w14:textId="77777777">
      <w:pPr>
        <w:pStyle w:val="ListBullet"/>
      </w:pPr>
      <w:r>
        <w:t xml:space="preserve">Notifier les clients des étapes clés, échéances de paiement et changements de statut ou d’ETA.</w:t>
      </w:r>
    </w:p>
    <w:p w14:paraId="3F6A5955" w14:textId="77777777">
      <w:pPr>
        <w:pStyle w:val="ListBullet"/>
      </w:pPr>
      <w:r>
        <w:t xml:space="preserve">Accéder au tracking des transporteurs sans présenter les données comme une géolocalisation continue si elles ne le permettent pas.</w:t>
      </w:r>
    </w:p>
    <w:p w14:paraId="3A90748B" w14:textId="77777777">
      <w:pPr>
        <w:pStyle w:val="ListBullet"/>
      </w:pPr>
      <w:r>
        <w:t xml:space="preserve">Conserver un journal d’audit des modifications, validations et opérations financières.</w:t>
      </w:r>
    </w:p>
    <w:p w14:paraId="57F0CCA7" w14:textId="77777777">
      <w:pPr>
        <w:pStyle w:val="Heading1"/>
      </w:pPr>
      <w:r>
        <w:t xml:space="preserve">3. Modules fonctionnels</w:t>
      </w:r>
    </w:p>
    <w:tbl>
      <w:tblPr>
        <w:tblStyle w:val="TableGrid"/>
        <w:tblW w:w="10080" w:type="dxa"/>
        <w:jc w:val="center"/>
        <w:tblLayout w:type="fixed"/>
        <w:tblLook w:val="04A0" w:firstRow="1" w:lastRow="0" w:firstColumn="1" w:lastColumn="0" w:noHBand="0" w:noVBand="1"/>
      </w:tblPr>
      <w:tblGrid>
        <w:gridCol w:w="2600"/>
        <w:gridCol w:w="7480"/>
      </w:tblGrid>
      <w:tr>
        <w:trPr>
          <w:cantSplit/>
          <w:tblHeader/>
          <w:jc w:val="center"/>
        </w:trPr>
        <w:tc>
          <w:tcPr>
            <w:tcW w:w="2600" w:type="dxa"/>
            <w:shd w:val="clear" w:color="auto" w:fill="15365B"/>
            <w:vAlign w:val="center"/>
          </w:tcPr>
          <w:p w14:paraId="1A6ADCB2" w14:textId="77777777">
            <w:pPr>
              <w:spacing w:after="20"/>
            </w:pPr>
            <w:r>
              <w:rPr>
                <w:b/>
                <w:color w:val="FFFFFF"/>
                <w:sz w:val="16"/>
              </w:rPr>
              <w:t xml:space="preserve">Module</w:t>
            </w:r>
          </w:p>
        </w:tc>
        <w:tc>
          <w:tcPr>
            <w:tcW w:w="7480" w:type="dxa"/>
            <w:shd w:val="clear" w:color="auto" w:fill="15365B"/>
            <w:vAlign w:val="center"/>
          </w:tcPr>
          <w:p w14:paraId="47E34D23" w14:textId="77777777">
            <w:pPr>
              <w:spacing w:after="20"/>
            </w:pPr>
            <w:r>
              <w:rPr>
                <w:b/>
                <w:color w:val="FFFFFF"/>
                <w:sz w:val="16"/>
              </w:rPr>
              <w:t xml:space="preserve">Fonctions attendues</w:t>
            </w:r>
          </w:p>
        </w:tc>
      </w:tr>
      <w:tr>
        <w:trPr>
          <w:cantSplit/>
          <w:jc w:val="center"/>
        </w:trPr>
        <w:tc>
          <w:tcPr>
            <w:tcW w:w="2600" w:type="dxa"/>
            <w:vAlign w:val="center"/>
          </w:tcPr>
          <w:p w14:paraId="715A4C58" w14:textId="77777777">
            <w:pPr>
              <w:spacing w:after="20"/>
            </w:pPr>
            <w:r>
              <w:rPr>
                <w:sz w:val="16"/>
              </w:rPr>
              <w:t xml:space="preserve">Clients</w:t>
            </w:r>
          </w:p>
        </w:tc>
        <w:tc>
          <w:tcPr>
            <w:tcW w:w="7480" w:type="dxa"/>
            <w:vAlign w:val="center"/>
          </w:tcPr>
          <w:p w14:paraId="4C5C1CA5" w14:textId="77777777">
            <w:pPr>
              <w:spacing w:after="20"/>
            </w:pPr>
            <w:r>
              <w:rPr>
                <w:sz w:val="16"/>
              </w:rPr>
              <w:t xml:space="preserve">Coordonnées, pièce d’identité ou NINEA/RCCM, numéro WhatsApp et e-mail de notification, historique, statut, pièces justificatives.</w:t>
            </w:r>
          </w:p>
        </w:tc>
      </w:tr>
      <w:tr>
        <w:trPr>
          <w:cantSplit/>
          <w:jc w:val="center"/>
        </w:trPr>
        <w:tc>
          <w:tcPr>
            <w:tcW w:w="2600" w:type="dxa"/>
            <w:shd w:val="clear" w:color="auto" w:fill="F1F5F9"/>
            <w:vAlign w:val="center"/>
          </w:tcPr>
          <w:p w14:paraId="2215CBFE" w14:textId="77777777">
            <w:pPr>
              <w:spacing w:after="20"/>
            </w:pPr>
            <w:r>
              <w:rPr>
                <w:sz w:val="16"/>
              </w:rPr>
              <w:t xml:space="preserve">Véhicules</w:t>
            </w:r>
          </w:p>
        </w:tc>
        <w:tc>
          <w:tcPr>
            <w:tcW w:w="7480" w:type="dxa"/>
            <w:shd w:val="clear" w:color="auto" w:fill="F1F5F9"/>
            <w:vAlign w:val="center"/>
          </w:tcPr>
          <w:p w14:paraId="2BF1621D" w14:textId="77777777">
            <w:pPr>
              <w:spacing w:after="20"/>
            </w:pPr>
            <w:r>
              <w:rPr>
                <w:sz w:val="16"/>
              </w:rPr>
              <w:t xml:space="preserve">VIN, marque, modèle, année (contrôle de la limite d’âge à l’importation), kilométrage, statut du titre, clés, photos, lot, plateforme et état déclaré.</w:t>
            </w:r>
          </w:p>
        </w:tc>
      </w:tr>
      <w:tr>
        <w:trPr>
          <w:cantSplit/>
          <w:jc w:val="center"/>
        </w:trPr>
        <w:tc>
          <w:tcPr>
            <w:tcW w:w="2600" w:type="dxa"/>
            <w:vAlign w:val="center"/>
          </w:tcPr>
          <w:p w14:paraId="17B22832" w14:textId="77777777">
            <w:pPr>
              <w:spacing w:after="20"/>
            </w:pPr>
            <w:r>
              <w:rPr>
                <w:sz w:val="16"/>
              </w:rPr>
              <w:t xml:space="preserve">Ordres d’achat</w:t>
            </w:r>
          </w:p>
        </w:tc>
        <w:tc>
          <w:tcPr>
            <w:tcW w:w="7480" w:type="dxa"/>
            <w:vAlign w:val="center"/>
          </w:tcPr>
          <w:p w14:paraId="6C830A2E" w14:textId="77777777">
            <w:pPr>
              <w:spacing w:after="20"/>
            </w:pPr>
            <w:r>
              <w:rPr>
                <w:sz w:val="16"/>
              </w:rPr>
              <w:t xml:space="preserve">Mandat d’enchère : plateforme, lot, VIN, enchère maximale autorisée, dépôt, confirmations du client, signature horodatée.</w:t>
            </w:r>
          </w:p>
        </w:tc>
      </w:tr>
      <w:tr>
        <w:trPr>
          <w:cantSplit/>
          <w:jc w:val="center"/>
        </w:trPr>
        <w:tc>
          <w:tcPr>
            <w:tcW w:w="2600" w:type="dxa"/>
            <w:shd w:val="clear" w:color="auto" w:fill="F1F5F9"/>
            <w:vAlign w:val="center"/>
          </w:tcPr>
          <w:p w14:paraId="320FC11B" w14:textId="77777777">
            <w:pPr>
              <w:spacing w:after="20"/>
            </w:pPr>
            <w:r>
              <w:rPr>
                <w:sz w:val="16"/>
              </w:rPr>
              <w:t xml:space="preserve">Contrats</w:t>
            </w:r>
          </w:p>
        </w:tc>
        <w:tc>
          <w:tcPr>
            <w:tcW w:w="7480" w:type="dxa"/>
            <w:shd w:val="clear" w:color="auto" w:fill="F1F5F9"/>
            <w:vAlign w:val="center"/>
          </w:tcPr>
          <w:p w14:paraId="34600DEC" w14:textId="77777777">
            <w:pPr>
              <w:spacing w:after="20"/>
            </w:pPr>
            <w:r>
              <w:rPr>
                <w:sz w:val="16"/>
              </w:rPr>
              <w:t xml:space="preserve">Génération à partir du modèle validé (contrat et annexes A à D), validation/signature, versions et archivage.</w:t>
            </w:r>
          </w:p>
        </w:tc>
      </w:tr>
      <w:tr>
        <w:trPr>
          <w:cantSplit/>
          <w:jc w:val="center"/>
        </w:trPr>
        <w:tc>
          <w:tcPr>
            <w:tcW w:w="2600" w:type="dxa"/>
            <w:vAlign w:val="center"/>
          </w:tcPr>
          <w:p w14:paraId="29523D23" w14:textId="77777777">
            <w:pPr>
              <w:spacing w:after="20"/>
            </w:pPr>
            <w:r>
              <w:rPr>
                <w:sz w:val="16"/>
              </w:rPr>
              <w:t xml:space="preserve">Devis et facturation</w:t>
            </w:r>
          </w:p>
        </w:tc>
        <w:tc>
          <w:tcPr>
            <w:tcW w:w="7480" w:type="dxa"/>
            <w:vAlign w:val="center"/>
          </w:tcPr>
          <w:p w14:paraId="1CD06FCE" w14:textId="77777777">
            <w:pPr>
              <w:spacing w:after="20"/>
            </w:pPr>
            <w:r>
              <w:rPr>
                <w:sz w:val="16"/>
              </w:rPr>
              <w:t xml:space="preserve">Devis forfaitaire (A acquisition, B logistique et maritime, C assurance en option, D ajustements), facture d’acompte, facture de solde, numérotation par type, paiements partiels, soldes, échéances, conversion FCFA.</w:t>
            </w:r>
          </w:p>
        </w:tc>
      </w:tr>
      <w:tr>
        <w:trPr>
          <w:cantSplit/>
          <w:jc w:val="center"/>
        </w:trPr>
        <w:tc>
          <w:tcPr>
            <w:tcW w:w="2600" w:type="dxa"/>
            <w:shd w:val="clear" w:color="auto" w:fill="F1F5F9"/>
            <w:vAlign w:val="center"/>
          </w:tcPr>
          <w:p w14:paraId="6BB93F55" w14:textId="77777777">
            <w:pPr>
              <w:spacing w:after="20"/>
            </w:pPr>
            <w:r>
              <w:rPr>
                <w:sz w:val="16"/>
              </w:rPr>
              <w:t xml:space="preserve">Taux de change</w:t>
            </w:r>
          </w:p>
        </w:tc>
        <w:tc>
          <w:tcPr>
            <w:tcW w:w="7480" w:type="dxa"/>
            <w:shd w:val="clear" w:color="auto" w:fill="F1F5F9"/>
            <w:vAlign w:val="center"/>
          </w:tcPr>
          <w:p w14:paraId="2BDBAAC4" w14:textId="77777777">
            <w:pPr>
              <w:spacing w:after="20"/>
            </w:pPr>
            <w:r>
              <w:rPr>
                <w:sz w:val="16"/>
              </w:rPr>
              <w:t xml:space="preserve">Taux USD → XOF relevé sur XE.com (taux moyen du marché), date et heure du relevé, auteur, historique.</w:t>
            </w:r>
          </w:p>
        </w:tc>
      </w:tr>
      <w:tr>
        <w:trPr>
          <w:cantSplit/>
          <w:jc w:val="center"/>
        </w:trPr>
        <w:tc>
          <w:tcPr>
            <w:tcW w:w="2600" w:type="dxa"/>
            <w:vAlign w:val="center"/>
          </w:tcPr>
          <w:p w14:paraId="63DE128B" w14:textId="77777777">
            <w:pPr>
              <w:spacing w:after="20"/>
            </w:pPr>
            <w:r>
              <w:rPr>
                <w:sz w:val="16"/>
              </w:rPr>
              <w:t xml:space="preserve">Logistique USA</w:t>
            </w:r>
          </w:p>
        </w:tc>
        <w:tc>
          <w:tcPr>
            <w:tcW w:w="7480" w:type="dxa"/>
            <w:vAlign w:val="center"/>
          </w:tcPr>
          <w:p w14:paraId="259DF230" w14:textId="77777777">
            <w:pPr>
              <w:spacing w:after="20"/>
            </w:pPr>
            <w:r>
              <w:rPr>
                <w:sz w:val="16"/>
              </w:rPr>
              <w:t xml:space="preserve">Enlèvement, transporteur terrestre, sites, dates, frais internes et preuve de prise en charge.</w:t>
            </w:r>
          </w:p>
        </w:tc>
      </w:tr>
      <w:tr>
        <w:trPr>
          <w:cantSplit/>
          <w:jc w:val="center"/>
        </w:trPr>
        <w:tc>
          <w:tcPr>
            <w:tcW w:w="2600" w:type="dxa"/>
            <w:shd w:val="clear" w:color="auto" w:fill="F1F5F9"/>
            <w:vAlign w:val="center"/>
          </w:tcPr>
          <w:p w14:paraId="289972C9" w14:textId="77777777">
            <w:pPr>
              <w:spacing w:after="20"/>
            </w:pPr>
            <w:r>
              <w:rPr>
                <w:sz w:val="16"/>
              </w:rPr>
              <w:t xml:space="preserve">Conteneurs</w:t>
            </w:r>
          </w:p>
        </w:tc>
        <w:tc>
          <w:tcPr>
            <w:tcW w:w="7480" w:type="dxa"/>
            <w:shd w:val="clear" w:color="auto" w:fill="F1F5F9"/>
            <w:vAlign w:val="center"/>
          </w:tcPr>
          <w:p w14:paraId="72888057" w14:textId="77777777">
            <w:pPr>
              <w:spacing w:after="20"/>
            </w:pPr>
            <w:r>
              <w:rPr>
                <w:sz w:val="16"/>
              </w:rPr>
              <w:t xml:space="preserve">Numéro, transporteur (Maersk, MSC, Grimaldi, autre), navire, voyage, ports, Bill of Lading et ETA.</w:t>
            </w:r>
          </w:p>
        </w:tc>
      </w:tr>
      <w:tr>
        <w:trPr>
          <w:cantSplit/>
          <w:jc w:val="center"/>
        </w:trPr>
        <w:tc>
          <w:tcPr>
            <w:tcW w:w="2600" w:type="dxa"/>
            <w:vAlign w:val="center"/>
          </w:tcPr>
          <w:p w14:paraId="7E17EF3C" w14:textId="77777777">
            <w:pPr>
              <w:spacing w:after="20"/>
            </w:pPr>
            <w:r>
              <w:rPr>
                <w:sz w:val="16"/>
              </w:rPr>
              <w:t xml:space="preserve">Tracking</w:t>
            </w:r>
          </w:p>
        </w:tc>
        <w:tc>
          <w:tcPr>
            <w:tcW w:w="7480" w:type="dxa"/>
            <w:vAlign w:val="center"/>
          </w:tcPr>
          <w:p w14:paraId="65A480E8" w14:textId="77777777">
            <w:pPr>
              <w:spacing w:after="20"/>
            </w:pPr>
            <w:r>
              <w:rPr>
                <w:sz w:val="16"/>
              </w:rPr>
              <w:t xml:space="preserve">Lien de suivi par transporteur, événements, escales, changements d’ETA, arrivée réelle et date de dernière vérification.</w:t>
            </w:r>
          </w:p>
        </w:tc>
      </w:tr>
      <w:tr>
        <w:trPr>
          <w:cantSplit/>
          <w:jc w:val="center"/>
        </w:trPr>
        <w:tc>
          <w:tcPr>
            <w:tcW w:w="2600" w:type="dxa"/>
            <w:shd w:val="clear" w:color="auto" w:fill="F1F5F9"/>
            <w:vAlign w:val="center"/>
          </w:tcPr>
          <w:p w14:paraId="3001E8DD" w14:textId="77777777">
            <w:pPr>
              <w:spacing w:after="20"/>
            </w:pPr>
            <w:r>
              <w:rPr>
                <w:sz w:val="16"/>
              </w:rPr>
              <w:t xml:space="preserve">Documents</w:t>
            </w:r>
          </w:p>
        </w:tc>
        <w:tc>
          <w:tcPr>
            <w:tcW w:w="7480" w:type="dxa"/>
            <w:shd w:val="clear" w:color="auto" w:fill="F1F5F9"/>
            <w:vAlign w:val="center"/>
          </w:tcPr>
          <w:p w14:paraId="759098BE" w14:textId="77777777">
            <w:pPr>
              <w:spacing w:after="20"/>
            </w:pPr>
            <w:r>
              <w:rPr>
                <w:sz w:val="16"/>
              </w:rPr>
              <w:t xml:space="preserve">Contrat signé, ordre d’achat, devis, factures, factures d’enchères, titre, connaissement, preuves de paiement, procurations, décharges et documents de livraison.</w:t>
            </w:r>
          </w:p>
        </w:tc>
      </w:tr>
      <w:tr>
        <w:trPr>
          <w:cantSplit/>
          <w:jc w:val="center"/>
        </w:trPr>
        <w:tc>
          <w:tcPr>
            <w:tcW w:w="2600" w:type="dxa"/>
            <w:vAlign w:val="center"/>
          </w:tcPr>
          <w:p w14:paraId="67FF2AF0" w14:textId="77777777">
            <w:pPr>
              <w:spacing w:after="20"/>
            </w:pPr>
            <w:r>
              <w:rPr>
                <w:sz w:val="16"/>
              </w:rPr>
              <w:t xml:space="preserve">Notifications</w:t>
            </w:r>
          </w:p>
        </w:tc>
        <w:tc>
          <w:tcPr>
            <w:tcW w:w="7480" w:type="dxa"/>
            <w:vAlign w:val="center"/>
          </w:tcPr>
          <w:p w14:paraId="4C353498" w14:textId="77777777">
            <w:pPr>
              <w:spacing w:after="20"/>
            </w:pPr>
            <w:r>
              <w:rPr>
                <w:sz w:val="16"/>
              </w:rPr>
              <w:t xml:space="preserve">E-mail ; WhatsApp en option selon le fournisseur et les autorisations.</w:t>
            </w:r>
          </w:p>
        </w:tc>
      </w:tr>
      <w:tr>
        <w:trPr>
          <w:cantSplit/>
          <w:jc w:val="center"/>
        </w:trPr>
        <w:tc>
          <w:tcPr>
            <w:tcW w:w="2600" w:type="dxa"/>
            <w:shd w:val="clear" w:color="auto" w:fill="F1F5F9"/>
            <w:vAlign w:val="center"/>
          </w:tcPr>
          <w:p w14:paraId="2D84E130" w14:textId="77777777">
            <w:pPr>
              <w:spacing w:after="20"/>
            </w:pPr>
            <w:r>
              <w:rPr>
                <w:sz w:val="16"/>
              </w:rPr>
              <w:t xml:space="preserve">Recouvrement</w:t>
            </w:r>
          </w:p>
        </w:tc>
        <w:tc>
          <w:tcPr>
            <w:tcW w:w="7480" w:type="dxa"/>
            <w:shd w:val="clear" w:color="auto" w:fill="F1F5F9"/>
            <w:vAlign w:val="center"/>
          </w:tcPr>
          <w:p w14:paraId="5EE4F8DE" w14:textId="77777777">
            <w:pPr>
              <w:spacing w:after="20"/>
            </w:pPr>
            <w:r>
              <w:rPr>
                <w:sz w:val="16"/>
              </w:rPr>
              <w:t xml:space="preserve">Frais de retard, relances, mises en demeure et suivi du délai de quatre mois pour véhicule non réclamé.</w:t>
            </w:r>
          </w:p>
        </w:tc>
      </w:tr>
      <w:tr>
        <w:trPr>
          <w:cantSplit/>
          <w:jc w:val="center"/>
        </w:trPr>
        <w:tc>
          <w:tcPr>
            <w:tcW w:w="2600" w:type="dxa"/>
            <w:vAlign w:val="center"/>
          </w:tcPr>
          <w:p w14:paraId="561D91BF" w14:textId="77777777">
            <w:pPr>
              <w:spacing w:after="20"/>
            </w:pPr>
            <w:r>
              <w:rPr>
                <w:sz w:val="16"/>
              </w:rPr>
              <w:t xml:space="preserve">Réclamations</w:t>
            </w:r>
          </w:p>
        </w:tc>
        <w:tc>
          <w:tcPr>
            <w:tcW w:w="7480" w:type="dxa"/>
            <w:vAlign w:val="center"/>
          </w:tcPr>
          <w:p w14:paraId="3F91F702" w14:textId="77777777">
            <w:pPr>
              <w:spacing w:after="20"/>
            </w:pPr>
            <w:r>
              <w:rPr>
                <w:sz w:val="16"/>
              </w:rPr>
              <w:t xml:space="preserve">Réserves à l’enlèvement, photos, délai de déclaration, transmission aux transporteurs ou assureurs et suivi.</w:t>
            </w:r>
          </w:p>
        </w:tc>
      </w:tr>
      <w:tr>
        <w:trPr>
          <w:cantSplit/>
          <w:jc w:val="center"/>
        </w:trPr>
        <w:tc>
          <w:tcPr>
            <w:tcW w:w="2600" w:type="dxa"/>
            <w:shd w:val="clear" w:color="auto" w:fill="F1F5F9"/>
            <w:vAlign w:val="center"/>
          </w:tcPr>
          <w:p w14:paraId="206EC4A3" w14:textId="77777777">
            <w:pPr>
              <w:spacing w:after="20"/>
            </w:pPr>
            <w:r>
              <w:rPr>
                <w:sz w:val="16"/>
              </w:rPr>
              <w:t xml:space="preserve">Rapports</w:t>
            </w:r>
          </w:p>
        </w:tc>
        <w:tc>
          <w:tcPr>
            <w:tcW w:w="7480" w:type="dxa"/>
            <w:shd w:val="clear" w:color="auto" w:fill="F1F5F9"/>
            <w:vAlign w:val="center"/>
          </w:tcPr>
          <w:p w14:paraId="3582497D" w14:textId="77777777">
            <w:pPr>
              <w:spacing w:after="20"/>
            </w:pPr>
            <w:r>
              <w:rPr>
                <w:sz w:val="16"/>
              </w:rPr>
              <w:t xml:space="preserve">Dossiers actifs, retards, créances, coûts internes et marge par véhicule, délais et rentabilité.</w:t>
            </w:r>
          </w:p>
        </w:tc>
      </w:tr>
    </w:tbl>
    <w:p w14:paraId="3D8A9E7D" w14:textId="77777777"/>
    <w:p w14:paraId="3BC3F695" w14:textId="77777777">
      <w:pPr>
        <w:pStyle w:val="Heading1"/>
      </w:pPr>
      <w:r>
        <w:t xml:space="preserve">4. Parcours opérationnel</w:t>
      </w:r>
    </w:p>
    <w:p w14:paraId="1FF73AD5" w14:textId="77777777">
      <w:pPr>
        <w:pStyle w:val="ListNumber"/>
      </w:pPr>
      <w:r>
        <w:t xml:space="preserve">Ouverture du dossier client (identité, coordonnées de notification) et signature du contrat de prestation.</w:t>
      </w:r>
    </w:p>
    <w:p w14:paraId="6935BD50" w14:textId="77777777">
      <w:pPr>
        <w:pStyle w:val="ListNumber"/>
      </w:pPr>
      <w:r>
        <w:t xml:space="preserve">Signature de l’ordre d’achat : lot, VIN, enchère maximale autorisée, vérification de l’âge du véhicule ; enregistrement du dépôt éventuel.</w:t>
      </w:r>
    </w:p>
    <w:p w14:paraId="7D14FDC7" w14:textId="77777777">
      <w:pPr>
        <w:pStyle w:val="ListNumber"/>
      </w:pPr>
      <w:r>
        <w:t xml:space="preserve">Enchère dans la limite autorisée et notification du lot remporté au client.</w:t>
      </w:r>
    </w:p>
    <w:p w14:paraId="21CB9FFC" w14:textId="77777777">
      <w:pPr>
        <w:pStyle w:val="ListNumber"/>
      </w:pPr>
      <w:r>
        <w:t xml:space="preserve">Saisie du coût d’acquisition (enchère, frais, taxes et autres frais connus) et des coûts logistiques estimés ; établissement interne des forfaits A et B ; émission du devis forfaitaire avec l’option d’assurance, valable </w:t>
      </w:r>
      <w:r>
        <w:rPr>
          <w:highlight w:val="yellow"/>
        </w:rPr>
        <w:t xml:space="preserve">48 heures</w:t>
      </w:r>
      <w:r>
        <w:t xml:space="preserve">.</w:t>
      </w:r>
    </w:p>
    <w:p w14:paraId="3644316F" w14:textId="77777777">
      <w:pPr>
        <w:pStyle w:val="ListNumber"/>
      </w:pPr>
      <w:r>
        <w:t xml:space="preserve">Validation du devis par le client (signature, e-mail ou WhatsApp) et enregistrement de son choix d’assurance.</w:t>
      </w:r>
    </w:p>
    <w:p w14:paraId="1AC65908" w14:textId="77777777">
      <w:pPr>
        <w:pStyle w:val="ListNumber"/>
      </w:pPr>
      <w:r>
        <w:t xml:space="preserve">Émission de la facture d’acompte (section A) et encaissement du paiement 1 dans un délai de </w:t>
      </w:r>
      <w:r>
        <w:rPr>
          <w:highlight w:val="yellow"/>
        </w:rPr>
        <w:t xml:space="preserve">24 heures</w:t>
      </w:r>
      <w:r>
        <w:t xml:space="preserve"> après la notification du lot remporté.</w:t>
      </w:r>
    </w:p>
    <w:p w14:paraId="31C2745F" w14:textId="77777777">
      <w:pPr>
        <w:pStyle w:val="ListNumber"/>
      </w:pPr>
      <w:r>
        <w:t xml:space="preserve">Enregistrement de l’achat, des documents et des instructions logistiques ; suivi du transport terrestre vers le site de consolidation ou le port américain.</w:t>
      </w:r>
    </w:p>
    <w:p w14:paraId="6DAABC1F" w14:textId="77777777">
      <w:pPr>
        <w:pStyle w:val="ListNumber"/>
      </w:pPr>
      <w:r>
        <w:t xml:space="preserve">Enregistrement du chargement, association du véhicule au conteneur et saisie du transporteur, du conteneur, du B/L, du navire, du voyage et du lien de suivi.</w:t>
      </w:r>
    </w:p>
    <w:p w14:paraId="76B81FD4" w14:textId="77777777">
      <w:pPr>
        <w:pStyle w:val="ListNumber"/>
      </w:pPr>
      <w:r>
        <w:t xml:space="preserve">Émission de la facture de solde (B + C si l’assurance est acceptée + D) mentionnant l’ETA de référence ; échéance fixée à 48 heures avant cette ETA.</w:t>
      </w:r>
    </w:p>
    <w:p w14:paraId="1899430F" w14:textId="77777777">
      <w:pPr>
        <w:pStyle w:val="ListNumber"/>
      </w:pPr>
      <w:r>
        <w:t xml:space="preserve">Mise à jour de l’ETA et des événements ; recalcul de l’échéance si l’ETA est avancée ; notifications au client.</w:t>
      </w:r>
    </w:p>
    <w:p w14:paraId="180390B4" w14:textId="77777777">
      <w:pPr>
        <w:pStyle w:val="ListNumber"/>
      </w:pPr>
      <w:r>
        <w:t xml:space="preserve">Saisie de l’arrivée réelle (ATA) et notification du client dans les 24 heures.</w:t>
      </w:r>
    </w:p>
    <w:p w14:paraId="6491A559" w14:textId="77777777">
      <w:pPr>
        <w:pStyle w:val="ListNumber"/>
      </w:pPr>
      <w:r>
        <w:t xml:space="preserve">Encaissement du solde ; remise des documents sous </w:t>
      </w:r>
      <w:r>
        <w:rPr>
          <w:highlight w:val="yellow"/>
        </w:rPr>
        <w:t xml:space="preserve">48 heures ouvrées</w:t>
      </w:r>
      <w:r>
        <w:t xml:space="preserve">, au client ou à son mandataire, contre pièce d’identité et décharge signée.</w:t>
      </w:r>
    </w:p>
    <w:p w14:paraId="281AE420" w14:textId="77777777">
      <w:pPr>
        <w:pStyle w:val="ListNumber"/>
      </w:pPr>
      <w:r>
        <w:t xml:space="preserve">Enregistrement du dédouanement et de l’enlèvement (délai de </w:t>
      </w:r>
      <w:r>
        <w:rPr>
          <w:highlight w:val="yellow"/>
        </w:rPr>
        <w:t xml:space="preserve">15 jours</w:t>
      </w:r>
      <w:r>
        <w:t xml:space="preserve">), des réserves éventuelles, puis clôture.</w:t>
      </w:r>
    </w:p>
    <w:p w14:paraId="72463923" w14:textId="77777777">
      <w:pPr>
        <w:pStyle w:val="ListNumber"/>
      </w:pPr>
      <w:r>
        <w:t xml:space="preserve">À défaut de paiement ou d’enlèvement : frais de retard, relance, mise en demeure et procédure de véhicule non réclamé (section 6).</w:t>
      </w:r>
    </w:p>
    <w:p w14:paraId="40D14016" w14:textId="77777777">
      <w:pPr>
        <w:pStyle w:val="Heading1"/>
      </w:pPr>
      <w:r>
        <w:t xml:space="preserve">5. Tracking maritime et transporteurs</w:t>
      </w:r>
    </w:p>
    <w:p w14:paraId="1198EF5F" w14:textId="77777777">
      <w:pPr>
        <w:pStyle w:val="Heading2"/>
      </w:pPr>
      <w:r>
        <w:t xml:space="preserve">5.1 Première version : lien de suivi par transporteur</w:t>
      </w:r>
    </w:p>
    <w:p w14:paraId="15DBA118" w14:textId="77777777">
      <w:r>
        <w:t xml:space="preserve">Un agent saisit le transporteur, le numéro de conteneur et/ou le numéro de connaissement. Le système construit le lien de suivi à partir de la configuration du transporteur. Le portail client affiche les références et permet d’ouvrir la page de suivi.</w:t>
      </w:r>
    </w:p>
    <w:tbl>
      <w:tblPr>
        <w:tblStyle w:val="TableGrid"/>
        <w:tblW w:w="10080" w:type="dxa"/>
        <w:jc w:val="center"/>
        <w:tblLayout w:type="fixed"/>
        <w:tblLook w:val="04A0" w:firstRow="1" w:lastRow="0" w:firstColumn="1" w:lastColumn="0" w:noHBand="0" w:noVBand="1"/>
      </w:tblPr>
      <w:tblGrid>
        <w:gridCol w:w="1500"/>
        <w:gridCol w:w="3700"/>
        <w:gridCol w:w="2280"/>
        <w:gridCol w:w="2600"/>
      </w:tblGrid>
      <w:tr>
        <w:trPr>
          <w:cantSplit/>
          <w:tblHeader/>
          <w:jc w:val="center"/>
        </w:trPr>
        <w:tc>
          <w:tcPr>
            <w:tcW w:w="1500" w:type="dxa"/>
            <w:shd w:val="clear" w:color="auto" w:fill="15365B"/>
            <w:vAlign w:val="center"/>
          </w:tcPr>
          <w:p w14:paraId="395C16FF" w14:textId="77777777">
            <w:pPr>
              <w:spacing w:after="20"/>
            </w:pPr>
            <w:r>
              <w:rPr>
                <w:b/>
                <w:color w:val="FFFFFF"/>
                <w:sz w:val="16"/>
              </w:rPr>
              <w:t xml:space="preserve">Transporteur</w:t>
            </w:r>
          </w:p>
        </w:tc>
        <w:tc>
          <w:tcPr>
            <w:tcW w:w="3700" w:type="dxa"/>
            <w:shd w:val="clear" w:color="auto" w:fill="15365B"/>
            <w:vAlign w:val="center"/>
          </w:tcPr>
          <w:p w14:paraId="6629C52C" w14:textId="77777777">
            <w:pPr>
              <w:spacing w:after="20"/>
            </w:pPr>
            <w:r>
              <w:rPr>
                <w:b/>
                <w:color w:val="FFFFFF"/>
                <w:sz w:val="16"/>
              </w:rPr>
              <w:t xml:space="preserve">Lien de suivi</w:t>
            </w:r>
          </w:p>
        </w:tc>
        <w:tc>
          <w:tcPr>
            <w:tcW w:w="2280" w:type="dxa"/>
            <w:shd w:val="clear" w:color="auto" w:fill="15365B"/>
            <w:vAlign w:val="center"/>
          </w:tcPr>
          <w:p w14:paraId="1B22F589" w14:textId="77777777">
            <w:pPr>
              <w:spacing w:after="20"/>
            </w:pPr>
            <w:r>
              <w:rPr>
                <w:b/>
                <w:color w:val="FFFFFF"/>
                <w:sz w:val="16"/>
              </w:rPr>
              <w:t xml:space="preserve">Type</w:t>
            </w:r>
          </w:p>
        </w:tc>
        <w:tc>
          <w:tcPr>
            <w:tcW w:w="2600" w:type="dxa"/>
            <w:shd w:val="clear" w:color="auto" w:fill="15365B"/>
            <w:vAlign w:val="center"/>
          </w:tcPr>
          <w:p w14:paraId="5A5BE760" w14:textId="77777777">
            <w:pPr>
              <w:spacing w:after="20"/>
            </w:pPr>
            <w:r>
              <w:rPr>
                <w:b/>
                <w:color w:val="FFFFFF"/>
                <w:sz w:val="16"/>
              </w:rPr>
              <w:t xml:space="preserve">Référence</w:t>
            </w:r>
          </w:p>
        </w:tc>
      </w:tr>
      <w:tr>
        <w:trPr>
          <w:cantSplit/>
          <w:jc w:val="center"/>
        </w:trPr>
        <w:tc>
          <w:tcPr>
            <w:tcW w:w="1500" w:type="dxa"/>
            <w:vAlign w:val="center"/>
          </w:tcPr>
          <w:p w14:paraId="135919B8" w14:textId="77777777">
            <w:pPr>
              <w:spacing w:after="20"/>
            </w:pPr>
            <w:r>
              <w:rPr>
                <w:sz w:val="16"/>
              </w:rPr>
              <w:t xml:space="preserve">Maersk</w:t>
            </w:r>
          </w:p>
        </w:tc>
        <w:tc>
          <w:tcPr>
            <w:tcW w:w="3700" w:type="dxa"/>
            <w:vAlign w:val="center"/>
          </w:tcPr>
          <w:p w14:paraId="636FEDE8" w14:textId="77777777">
            <w:pPr>
              <w:spacing w:after="20"/>
            </w:pPr>
            <w:r>
              <w:rPr>
                <w:sz w:val="16"/>
              </w:rPr>
              <w:t xml:space="preserve">https://www.maersk.com/tracking/</w:t>
            </w:r>
          </w:p>
        </w:tc>
        <w:tc>
          <w:tcPr>
            <w:tcW w:w="2280" w:type="dxa"/>
            <w:vAlign w:val="center"/>
          </w:tcPr>
          <w:p w14:paraId="2DA7D2A5" w14:textId="77777777">
            <w:pPr>
              <w:spacing w:after="20"/>
            </w:pPr>
            <w:r>
              <w:rPr>
                <w:sz w:val="16"/>
              </w:rPr>
              <w:t xml:space="preserve">Officiel</w:t>
            </w:r>
          </w:p>
        </w:tc>
        <w:tc>
          <w:tcPr>
            <w:tcW w:w="2600" w:type="dxa"/>
            <w:vAlign w:val="center"/>
          </w:tcPr>
          <w:p w14:paraId="4E803DF2" w14:textId="77777777">
            <w:pPr>
              <w:spacing w:after="20"/>
            </w:pPr>
            <w:r>
              <w:rPr>
                <w:sz w:val="16"/>
              </w:rPr>
              <w:t xml:space="preserve">Insérée dans le lien (modèle …/tracking/{ref})</w:t>
            </w:r>
          </w:p>
        </w:tc>
      </w:tr>
      <w:tr>
        <w:trPr>
          <w:cantSplit/>
          <w:jc w:val="center"/>
        </w:trPr>
        <w:tc>
          <w:tcPr>
            <w:tcW w:w="1500" w:type="dxa"/>
            <w:shd w:val="clear" w:color="auto" w:fill="F1F5F9"/>
            <w:vAlign w:val="center"/>
          </w:tcPr>
          <w:p w14:paraId="61D293EC" w14:textId="77777777">
            <w:pPr>
              <w:spacing w:after="20"/>
            </w:pPr>
            <w:r>
              <w:rPr>
                <w:sz w:val="16"/>
              </w:rPr>
              <w:t xml:space="preserve">MSC</w:t>
            </w:r>
          </w:p>
        </w:tc>
        <w:tc>
          <w:tcPr>
            <w:tcW w:w="3700" w:type="dxa"/>
            <w:shd w:val="clear" w:color="auto" w:fill="F1F5F9"/>
            <w:vAlign w:val="center"/>
          </w:tcPr>
          <w:p w14:paraId="1A0BA2A2" w14:textId="77777777">
            <w:pPr>
              <w:spacing w:after="20"/>
            </w:pPr>
            <w:r>
              <w:rPr>
                <w:sz w:val="16"/>
              </w:rPr>
              <w:t xml:space="preserve">https://www.msc.com/fr/track-a-shipment</w:t>
            </w:r>
          </w:p>
        </w:tc>
        <w:tc>
          <w:tcPr>
            <w:tcW w:w="2280" w:type="dxa"/>
            <w:shd w:val="clear" w:color="auto" w:fill="F1F5F9"/>
            <w:vAlign w:val="center"/>
          </w:tcPr>
          <w:p w14:paraId="3E7C4A03" w14:textId="77777777">
            <w:pPr>
              <w:spacing w:after="20"/>
            </w:pPr>
            <w:r>
              <w:rPr>
                <w:sz w:val="16"/>
              </w:rPr>
              <w:t xml:space="preserve">Officiel</w:t>
            </w:r>
          </w:p>
        </w:tc>
        <w:tc>
          <w:tcPr>
            <w:tcW w:w="2600" w:type="dxa"/>
            <w:shd w:val="clear" w:color="auto" w:fill="F1F5F9"/>
            <w:vAlign w:val="center"/>
          </w:tcPr>
          <w:p w14:paraId="533F5E4A" w14:textId="77777777">
            <w:pPr>
              <w:spacing w:after="20"/>
            </w:pPr>
            <w:r>
              <w:rPr>
                <w:sz w:val="16"/>
              </w:rPr>
              <w:t xml:space="preserve">À saisir sur la page</w:t>
            </w:r>
          </w:p>
        </w:tc>
      </w:tr>
      <w:tr>
        <w:trPr>
          <w:cantSplit/>
          <w:jc w:val="center"/>
        </w:trPr>
        <w:tc>
          <w:tcPr>
            <w:tcW w:w="1500" w:type="dxa"/>
            <w:vAlign w:val="center"/>
          </w:tcPr>
          <w:p w14:paraId="26AC3F67" w14:textId="77777777">
            <w:pPr>
              <w:spacing w:after="20"/>
            </w:pPr>
            <w:r>
              <w:rPr>
                <w:sz w:val="16"/>
              </w:rPr>
              <w:t xml:space="preserve">Grimaldi</w:t>
            </w:r>
          </w:p>
        </w:tc>
        <w:tc>
          <w:tcPr>
            <w:tcW w:w="3700" w:type="dxa"/>
            <w:vAlign w:val="center"/>
          </w:tcPr>
          <w:p w14:paraId="2215CECF" w14:textId="77777777">
            <w:pPr>
              <w:spacing w:after="20"/>
            </w:pPr>
            <w:r>
              <w:rPr>
                <w:sz w:val="16"/>
              </w:rPr>
              <w:t xml:space="preserve">https://trackingmcp.com/track/grimaldi</w:t>
            </w:r>
          </w:p>
        </w:tc>
        <w:tc>
          <w:tcPr>
            <w:tcW w:w="2280" w:type="dxa"/>
            <w:vAlign w:val="center"/>
          </w:tcPr>
          <w:p w14:paraId="58D1EEA5" w14:textId="77777777">
            <w:pPr>
              <w:spacing w:after="20"/>
            </w:pPr>
            <w:r>
              <w:rPr>
                <w:sz w:val="16"/>
              </w:rPr>
              <w:t xml:space="preserve">Service tiers (TrackingMCP), non officiel</w:t>
            </w:r>
          </w:p>
        </w:tc>
        <w:tc>
          <w:tcPr>
            <w:tcW w:w="2600" w:type="dxa"/>
            <w:vAlign w:val="center"/>
          </w:tcPr>
          <w:p w14:paraId="55010204" w14:textId="77777777">
            <w:pPr>
              <w:spacing w:after="20"/>
            </w:pPr>
            <w:r>
              <w:rPr>
                <w:sz w:val="16"/>
              </w:rPr>
              <w:t xml:space="preserve">À saisir sur la page (conteneur, B/L ou réservation)</w:t>
            </w:r>
          </w:p>
        </w:tc>
      </w:tr>
    </w:tbl>
    <w:p w14:paraId="31E9BE3F" w14:textId="77777777"/>
    <w:p w14:paraId="40540BC5" w14:textId="77777777">
      <w:pPr>
        <w:pStyle w:val="ListBullet"/>
      </w:pPr>
      <w:r>
        <w:t xml:space="preserve">Configuration extensible : nom, lien, modèle de lien avec {ref} si le site l’accepte, type de lien (officiel ou tiers) et état de l’accès API.</w:t>
      </w:r>
    </w:p>
    <w:p w14:paraId="23EF171D" w14:textId="77777777">
      <w:pPr>
        <w:pStyle w:val="ListBullet"/>
      </w:pPr>
      <w:r>
        <w:t xml:space="preserve">Signaler au client lorsque le lien passe par un service tiers. </w:t>
      </w:r>
      <w:r>
        <w:rPr>
          <w:highlight w:val="yellow"/>
        </w:rPr>
        <w:t xml:space="preserve">Remplacer le lien Grimaldi par la page officielle du transporteur si elle est disponible.</w:t>
      </w:r>
    </w:p>
    <w:p w14:paraId="38253457" w14:textId="77777777">
      <w:pPr>
        <w:pStyle w:val="ListBullet"/>
      </w:pPr>
      <w:r>
        <w:t xml:space="preserve">Conserver la date de dernière vérification et les notes internes.</w:t>
      </w:r>
    </w:p>
    <w:p w14:paraId="2D552DFD" w14:textId="77777777">
      <w:pPr>
        <w:pStyle w:val="ListBullet"/>
      </w:pPr>
      <w:r>
        <w:t xml:space="preserve">Identifier clairement les statuts et événements saisis manuellement.</w:t>
      </w:r>
    </w:p>
    <w:p w14:paraId="6B864586" w14:textId="77777777">
      <w:pPr>
        <w:pStyle w:val="Heading2"/>
      </w:pPr>
      <w:r>
        <w:t xml:space="preserve">5.2 Évolution : intégration API</w:t>
      </w:r>
    </w:p>
    <w:p w14:paraId="235B8FC6" w14:textId="77777777">
      <w:r>
        <w:t xml:space="preserve">Une intégration automatique ne sera développée qu’après vérification des conditions d’accès, autorisations, droits d’utilisation et couverture des données pour chaque transporteur (portails développeurs Maersk et MSC ; accès Grimaldi à étudier). Le connecteur devra gérer les erreurs, limites d’appels, données manquantes et changements de format.</w:t>
      </w:r>
    </w:p>
    <w:tbl>
      <w:tblPr>
        <w:tblStyle w:val="TableGrid"/>
        <w:tblW w:w="10080" w:type="dxa"/>
        <w:jc w:val="center"/>
        <w:tblLayout w:type="fixed"/>
        <w:tblLook w:val="04A0" w:firstRow="1" w:lastRow="0" w:firstColumn="1" w:lastColumn="0" w:noHBand="0" w:noVBand="1"/>
      </w:tblPr>
      <w:tblGrid>
        <w:gridCol w:w="3000"/>
        <w:gridCol w:w="7080"/>
      </w:tblGrid>
      <w:tr>
        <w:trPr>
          <w:cantSplit/>
          <w:tblHeader/>
          <w:jc w:val="center"/>
        </w:trPr>
        <w:tc>
          <w:tcPr>
            <w:tcW w:w="3000" w:type="dxa"/>
            <w:shd w:val="clear" w:color="auto" w:fill="15365B"/>
            <w:vAlign w:val="center"/>
          </w:tcPr>
          <w:p w14:paraId="15A26EFF" w14:textId="77777777">
            <w:pPr>
              <w:spacing w:after="20"/>
            </w:pPr>
            <w:r>
              <w:rPr>
                <w:b/>
                <w:color w:val="FFFFFF"/>
                <w:sz w:val="16"/>
              </w:rPr>
              <w:t xml:space="preserve">Donnée</w:t>
            </w:r>
          </w:p>
        </w:tc>
        <w:tc>
          <w:tcPr>
            <w:tcW w:w="7080" w:type="dxa"/>
            <w:shd w:val="clear" w:color="auto" w:fill="15365B"/>
            <w:vAlign w:val="center"/>
          </w:tcPr>
          <w:p w14:paraId="1980A2E5" w14:textId="77777777">
            <w:pPr>
              <w:spacing w:after="20"/>
            </w:pPr>
            <w:r>
              <w:rPr>
                <w:b/>
                <w:color w:val="FFFFFF"/>
                <w:sz w:val="16"/>
              </w:rPr>
              <w:t xml:space="preserve">Utilisation</w:t>
            </w:r>
          </w:p>
        </w:tc>
      </w:tr>
      <w:tr>
        <w:trPr>
          <w:cantSplit/>
          <w:jc w:val="center"/>
        </w:trPr>
        <w:tc>
          <w:tcPr>
            <w:tcW w:w="3000" w:type="dxa"/>
            <w:vAlign w:val="center"/>
          </w:tcPr>
          <w:p w14:paraId="7F9B5B2A" w14:textId="77777777">
            <w:pPr>
              <w:spacing w:after="20"/>
            </w:pPr>
            <w:r>
              <w:rPr>
                <w:sz w:val="16"/>
              </w:rPr>
              <w:t xml:space="preserve">Transporteur</w:t>
            </w:r>
          </w:p>
        </w:tc>
        <w:tc>
          <w:tcPr>
            <w:tcW w:w="7080" w:type="dxa"/>
            <w:vAlign w:val="center"/>
          </w:tcPr>
          <w:p w14:paraId="38AC20CA" w14:textId="77777777">
            <w:pPr>
              <w:spacing w:after="20"/>
            </w:pPr>
            <w:r>
              <w:rPr>
                <w:sz w:val="16"/>
              </w:rPr>
              <w:t xml:space="preserve">Sélection du connecteur ou du lien de suivi.</w:t>
            </w:r>
          </w:p>
        </w:tc>
      </w:tr>
      <w:tr>
        <w:trPr>
          <w:cantSplit/>
          <w:jc w:val="center"/>
        </w:trPr>
        <w:tc>
          <w:tcPr>
            <w:tcW w:w="3000" w:type="dxa"/>
            <w:shd w:val="clear" w:color="auto" w:fill="F1F5F9"/>
            <w:vAlign w:val="center"/>
          </w:tcPr>
          <w:p w14:paraId="2A4E7F1B" w14:textId="77777777">
            <w:pPr>
              <w:spacing w:after="20"/>
            </w:pPr>
            <w:r>
              <w:rPr>
                <w:sz w:val="16"/>
              </w:rPr>
              <w:t xml:space="preserve">Conteneur / Bill of Lading</w:t>
            </w:r>
          </w:p>
        </w:tc>
        <w:tc>
          <w:tcPr>
            <w:tcW w:w="7080" w:type="dxa"/>
            <w:shd w:val="clear" w:color="auto" w:fill="F1F5F9"/>
            <w:vAlign w:val="center"/>
          </w:tcPr>
          <w:p w14:paraId="57673B2D" w14:textId="77777777">
            <w:pPr>
              <w:spacing w:after="20"/>
            </w:pPr>
            <w:r>
              <w:rPr>
                <w:sz w:val="16"/>
              </w:rPr>
              <w:t xml:space="preserve">Références pour identifier l’expédition.</w:t>
            </w:r>
          </w:p>
        </w:tc>
      </w:tr>
      <w:tr>
        <w:trPr>
          <w:cantSplit/>
          <w:jc w:val="center"/>
        </w:trPr>
        <w:tc>
          <w:tcPr>
            <w:tcW w:w="3000" w:type="dxa"/>
            <w:vAlign w:val="center"/>
          </w:tcPr>
          <w:p w14:paraId="5C8FDEFF" w14:textId="77777777">
            <w:pPr>
              <w:spacing w:after="20"/>
            </w:pPr>
            <w:r>
              <w:rPr>
                <w:sz w:val="16"/>
              </w:rPr>
              <w:t xml:space="preserve">Navire / voyage</w:t>
            </w:r>
          </w:p>
        </w:tc>
        <w:tc>
          <w:tcPr>
            <w:tcW w:w="7080" w:type="dxa"/>
            <w:vAlign w:val="center"/>
          </w:tcPr>
          <w:p w14:paraId="6F6EE78D" w14:textId="77777777">
            <w:pPr>
              <w:spacing w:after="20"/>
            </w:pPr>
            <w:r>
              <w:rPr>
                <w:sz w:val="16"/>
              </w:rPr>
              <w:t xml:space="preserve">Identification du voyage maritime.</w:t>
            </w:r>
          </w:p>
        </w:tc>
      </w:tr>
      <w:tr>
        <w:trPr>
          <w:cantSplit/>
          <w:jc w:val="center"/>
        </w:trPr>
        <w:tc>
          <w:tcPr>
            <w:tcW w:w="3000" w:type="dxa"/>
            <w:shd w:val="clear" w:color="auto" w:fill="F1F5F9"/>
            <w:vAlign w:val="center"/>
          </w:tcPr>
          <w:p w14:paraId="733B23A3" w14:textId="77777777">
            <w:pPr>
              <w:spacing w:after="20"/>
            </w:pPr>
            <w:r>
              <w:rPr>
                <w:sz w:val="16"/>
              </w:rPr>
              <w:t xml:space="preserve">Événements</w:t>
            </w:r>
          </w:p>
        </w:tc>
        <w:tc>
          <w:tcPr>
            <w:tcW w:w="7080" w:type="dxa"/>
            <w:shd w:val="clear" w:color="auto" w:fill="F1F5F9"/>
            <w:vAlign w:val="center"/>
          </w:tcPr>
          <w:p w14:paraId="51E177F7" w14:textId="77777777">
            <w:pPr>
              <w:spacing w:after="20"/>
            </w:pPr>
            <w:r>
              <w:rPr>
                <w:sz w:val="16"/>
              </w:rPr>
              <w:t xml:space="preserve">Départ, transbordement, arrivée et événements fournis.</w:t>
            </w:r>
          </w:p>
        </w:tc>
      </w:tr>
      <w:tr>
        <w:trPr>
          <w:cantSplit/>
          <w:jc w:val="center"/>
        </w:trPr>
        <w:tc>
          <w:tcPr>
            <w:tcW w:w="3000" w:type="dxa"/>
            <w:vAlign w:val="center"/>
          </w:tcPr>
          <w:p w14:paraId="61BD7DEC" w14:textId="77777777">
            <w:pPr>
              <w:spacing w:after="20"/>
            </w:pPr>
            <w:r>
              <w:rPr>
                <w:sz w:val="16"/>
              </w:rPr>
              <w:t xml:space="preserve">ETA / ATA</w:t>
            </w:r>
          </w:p>
        </w:tc>
        <w:tc>
          <w:tcPr>
            <w:tcW w:w="7080" w:type="dxa"/>
            <w:vAlign w:val="center"/>
          </w:tcPr>
          <w:p w14:paraId="2626B584" w14:textId="77777777">
            <w:pPr>
              <w:spacing w:after="20"/>
            </w:pPr>
            <w:r>
              <w:rPr>
                <w:sz w:val="16"/>
              </w:rPr>
              <w:t xml:space="preserve">Date estimée et date réelle d’arrivée ; l’ETA de référence sert au calcul de l’échéance du solde.</w:t>
            </w:r>
          </w:p>
        </w:tc>
      </w:tr>
      <w:tr>
        <w:trPr>
          <w:cantSplit/>
          <w:jc w:val="center"/>
        </w:trPr>
        <w:tc>
          <w:tcPr>
            <w:tcW w:w="3000" w:type="dxa"/>
            <w:shd w:val="clear" w:color="auto" w:fill="F1F5F9"/>
            <w:vAlign w:val="center"/>
          </w:tcPr>
          <w:p w14:paraId="66D538BE" w14:textId="77777777">
            <w:pPr>
              <w:spacing w:after="20"/>
            </w:pPr>
            <w:r>
              <w:rPr>
                <w:sz w:val="16"/>
              </w:rPr>
              <w:t xml:space="preserve">Date et source</w:t>
            </w:r>
          </w:p>
        </w:tc>
        <w:tc>
          <w:tcPr>
            <w:tcW w:w="7080" w:type="dxa"/>
            <w:shd w:val="clear" w:color="auto" w:fill="F1F5F9"/>
            <w:vAlign w:val="center"/>
          </w:tcPr>
          <w:p w14:paraId="18AE0208" w14:textId="77777777">
            <w:pPr>
              <w:spacing w:after="20"/>
            </w:pPr>
            <w:r>
              <w:rPr>
                <w:sz w:val="16"/>
              </w:rPr>
              <w:t xml:space="preserve">Traçabilité de la mise à jour : API, saisie manuelle, lien officiel ou service tiers.</w:t>
            </w:r>
          </w:p>
        </w:tc>
      </w:tr>
    </w:tbl>
    <w:p w14:paraId="314D9548" w14:textId="77777777"/>
    <w:p w14:paraId="6D9E50A7" w14:textId="77777777">
      <w:r>
        <w:t xml:space="preserve">Le tracking ne doit pas être présenté comme une géolocalisation GPS continue. La fréquence et la précision dépendent des données fournies par le transporteur.</w:t>
      </w:r>
    </w:p>
    <w:p w14:paraId="385526AF" w14:textId="77777777">
      <w:pPr>
        <w:pStyle w:val="Heading1"/>
      </w:pPr>
      <w:r>
        <w:t xml:space="preserve">6. Règles contractuelles à paramétrer</w:t>
      </w:r>
    </w:p>
    <w:p w14:paraId="21A655E4" w14:textId="77777777">
      <w:r>
        <w:t xml:space="preserve">Les règles suivantes proviennent du contrat de prestation révisé. Elles sont paramétrables par l’administrateur, chaque modification étant journalisée, et s’appliquent aux nouveaux dossiers à partir de leur date d’effet.</w:t>
      </w:r>
    </w:p>
    <w:tbl>
      <w:tblPr>
        <w:tblStyle w:val="TableGrid"/>
        <w:tblW w:w="10080" w:type="dxa"/>
        <w:jc w:val="center"/>
        <w:tblLayout w:type="fixed"/>
        <w:tblLook w:val="04A0" w:firstRow="1" w:lastRow="0" w:firstColumn="1" w:lastColumn="0" w:noHBand="0" w:noVBand="1"/>
      </w:tblPr>
      <w:tblGrid>
        <w:gridCol w:w="2000"/>
        <w:gridCol w:w="3300"/>
        <w:gridCol w:w="3480"/>
        <w:gridCol w:w="1300"/>
      </w:tblGrid>
      <w:tr>
        <w:trPr>
          <w:cantSplit/>
          <w:tblHeader/>
          <w:jc w:val="center"/>
        </w:trPr>
        <w:tc>
          <w:tcPr>
            <w:tcW w:w="2000" w:type="dxa"/>
            <w:shd w:val="clear" w:color="auto" w:fill="15365B"/>
            <w:vAlign w:val="center"/>
          </w:tcPr>
          <w:p w14:paraId="34375CDB" w14:textId="77777777">
            <w:pPr>
              <w:spacing w:after="20"/>
            </w:pPr>
            <w:r>
              <w:rPr>
                <w:b/>
                <w:color w:val="FFFFFF"/>
                <w:sz w:val="16"/>
              </w:rPr>
              <w:t xml:space="preserve">Règle</w:t>
            </w:r>
          </w:p>
        </w:tc>
        <w:tc>
          <w:tcPr>
            <w:tcW w:w="3300" w:type="dxa"/>
            <w:shd w:val="clear" w:color="auto" w:fill="15365B"/>
            <w:vAlign w:val="center"/>
          </w:tcPr>
          <w:p w14:paraId="1B39CAC1" w14:textId="77777777">
            <w:pPr>
              <w:spacing w:after="20"/>
            </w:pPr>
            <w:r>
              <w:rPr>
                <w:b/>
                <w:color w:val="FFFFFF"/>
                <w:sz w:val="16"/>
              </w:rPr>
              <w:t xml:space="preserve">Valeur contractuelle</w:t>
            </w:r>
          </w:p>
        </w:tc>
        <w:tc>
          <w:tcPr>
            <w:tcW w:w="3480" w:type="dxa"/>
            <w:shd w:val="clear" w:color="auto" w:fill="15365B"/>
            <w:vAlign w:val="center"/>
          </w:tcPr>
          <w:p w14:paraId="6181D04A" w14:textId="77777777">
            <w:pPr>
              <w:spacing w:after="20"/>
            </w:pPr>
            <w:r>
              <w:rPr>
                <w:b/>
                <w:color w:val="FFFFFF"/>
                <w:sz w:val="16"/>
              </w:rPr>
              <w:t xml:space="preserve">Comportement attendu du système</w:t>
            </w:r>
          </w:p>
        </w:tc>
        <w:tc>
          <w:tcPr>
            <w:tcW w:w="1300" w:type="dxa"/>
            <w:shd w:val="clear" w:color="auto" w:fill="15365B"/>
            <w:vAlign w:val="center"/>
          </w:tcPr>
          <w:p w14:paraId="33725E5B" w14:textId="77777777">
            <w:pPr>
              <w:spacing w:after="20"/>
            </w:pPr>
            <w:r>
              <w:rPr>
                <w:b/>
                <w:color w:val="FFFFFF"/>
                <w:sz w:val="16"/>
              </w:rPr>
              <w:t xml:space="preserve">Contrat</w:t>
            </w:r>
          </w:p>
        </w:tc>
      </w:tr>
      <w:tr>
        <w:trPr>
          <w:cantSplit/>
          <w:jc w:val="center"/>
        </w:trPr>
        <w:tc>
          <w:tcPr>
            <w:tcW w:w="2000" w:type="dxa"/>
            <w:vAlign w:val="center"/>
          </w:tcPr>
          <w:p w14:paraId="18FF08DA" w14:textId="77777777">
            <w:pPr>
              <w:spacing w:after="20"/>
            </w:pPr>
            <w:r>
              <w:rPr>
                <w:sz w:val="16"/>
              </w:rPr>
              <w:t xml:space="preserve">Devise</w:t>
            </w:r>
          </w:p>
        </w:tc>
        <w:tc>
          <w:tcPr>
            <w:tcW w:w="3300" w:type="dxa"/>
            <w:vAlign w:val="center"/>
          </w:tcPr>
          <w:p w14:paraId="14D36B17" w14:textId="77777777">
            <w:pPr>
              <w:spacing w:after="20"/>
            </w:pPr>
            <w:r>
              <w:rPr>
                <w:sz w:val="16"/>
              </w:rPr>
              <w:t xml:space="preserve">USD, qui fait foi ; FCFA indicatif.</w:t>
            </w:r>
          </w:p>
        </w:tc>
        <w:tc>
          <w:tcPr>
            <w:tcW w:w="3480" w:type="dxa"/>
            <w:vAlign w:val="center"/>
          </w:tcPr>
          <w:p w14:paraId="19A42446" w14:textId="77777777">
            <w:pPr>
              <w:spacing w:after="20"/>
            </w:pPr>
            <w:r>
              <w:rPr>
                <w:sz w:val="16"/>
              </w:rPr>
              <w:t xml:space="preserve">Montants stockés en USD ; conversion affichée sur devis, factures et portail.</w:t>
            </w:r>
          </w:p>
        </w:tc>
        <w:tc>
          <w:tcPr>
            <w:tcW w:w="1300" w:type="dxa"/>
            <w:vAlign w:val="center"/>
          </w:tcPr>
          <w:p w14:paraId="480ED589" w14:textId="77777777">
            <w:pPr>
              <w:spacing w:after="20"/>
            </w:pPr>
            <w:r>
              <w:rPr>
                <w:sz w:val="16"/>
              </w:rPr>
              <w:t xml:space="preserve">Art. 8</w:t>
            </w:r>
          </w:p>
        </w:tc>
      </w:tr>
      <w:tr>
        <w:trPr>
          <w:cantSplit/>
          <w:jc w:val="center"/>
        </w:trPr>
        <w:tc>
          <w:tcPr>
            <w:tcW w:w="2000" w:type="dxa"/>
            <w:shd w:val="clear" w:color="auto" w:fill="F1F5F9"/>
            <w:vAlign w:val="center"/>
          </w:tcPr>
          <w:p w14:paraId="54DBAB25" w14:textId="77777777">
            <w:pPr>
              <w:spacing w:after="20"/>
            </w:pPr>
            <w:r>
              <w:rPr>
                <w:sz w:val="16"/>
              </w:rPr>
              <w:t xml:space="preserve">Taux de change</w:t>
            </w:r>
          </w:p>
        </w:tc>
        <w:tc>
          <w:tcPr>
            <w:tcW w:w="3300" w:type="dxa"/>
            <w:shd w:val="clear" w:color="auto" w:fill="F1F5F9"/>
            <w:vAlign w:val="center"/>
          </w:tcPr>
          <w:p w14:paraId="6F97985B" w14:textId="77777777">
            <w:pPr>
              <w:spacing w:after="20"/>
            </w:pPr>
            <w:r>
              <w:rPr>
                <w:sz w:val="16"/>
              </w:rPr>
              <w:t xml:space="preserve">Taux moyen du marché XE.com, relevé </w:t>
            </w:r>
            <w:r>
              <w:rPr>
                <w:sz w:val="16"/>
                <w:highlight w:val="yellow"/>
              </w:rPr>
              <w:t xml:space="preserve">à la date d’émission de la facture</w:t>
            </w:r>
            <w:r>
              <w:rPr>
                <w:sz w:val="16"/>
              </w:rPr>
              <w:t xml:space="preserve"> ; valable jusqu’à l’échéance.</w:t>
            </w:r>
          </w:p>
        </w:tc>
        <w:tc>
          <w:tcPr>
            <w:tcW w:w="3480" w:type="dxa"/>
            <w:shd w:val="clear" w:color="auto" w:fill="F1F5F9"/>
            <w:vAlign w:val="center"/>
          </w:tcPr>
          <w:p w14:paraId="6EA6AD39" w14:textId="77777777">
            <w:pPr>
              <w:spacing w:after="20"/>
            </w:pPr>
            <w:r>
              <w:rPr>
                <w:sz w:val="16"/>
              </w:rPr>
              <w:t xml:space="preserve">Saisie par la comptabilité ; taux, source, date et heure imprimés sur chaque facture ; historique. </w:t>
            </w:r>
            <w:r>
              <w:rPr>
                <w:sz w:val="16"/>
                <w:highlight w:val="yellow"/>
              </w:rPr>
              <w:t xml:space="preserve">Majoration éventuelle à décider.</w:t>
            </w:r>
          </w:p>
        </w:tc>
        <w:tc>
          <w:tcPr>
            <w:tcW w:w="1300" w:type="dxa"/>
            <w:shd w:val="clear" w:color="auto" w:fill="F1F5F9"/>
            <w:vAlign w:val="center"/>
          </w:tcPr>
          <w:p w14:paraId="3E651A02" w14:textId="77777777">
            <w:pPr>
              <w:spacing w:after="20"/>
            </w:pPr>
            <w:r>
              <w:rPr>
                <w:sz w:val="16"/>
              </w:rPr>
              <w:t xml:space="preserve">Art. 8</w:t>
            </w:r>
          </w:p>
        </w:tc>
      </w:tr>
      <w:tr>
        <w:trPr>
          <w:cantSplit/>
          <w:jc w:val="center"/>
        </w:trPr>
        <w:tc>
          <w:tcPr>
            <w:tcW w:w="2000" w:type="dxa"/>
            <w:vAlign w:val="center"/>
          </w:tcPr>
          <w:p w14:paraId="46575A24" w14:textId="77777777">
            <w:pPr>
              <w:spacing w:after="20"/>
            </w:pPr>
            <w:r>
              <w:rPr>
                <w:sz w:val="16"/>
              </w:rPr>
              <w:t xml:space="preserve">Validité du devis</w:t>
            </w:r>
          </w:p>
        </w:tc>
        <w:tc>
          <w:tcPr>
            <w:tcW w:w="3300" w:type="dxa"/>
            <w:vAlign w:val="center"/>
          </w:tcPr>
          <w:p w14:paraId="4D8CCAF0" w14:textId="77777777">
            <w:pPr>
              <w:spacing w:after="20"/>
            </w:pPr>
            <w:r>
              <w:rPr>
                <w:sz w:val="16"/>
                <w:highlight w:val="yellow"/>
              </w:rPr>
              <w:t xml:space="preserve">48 heures</w:t>
            </w:r>
            <w:r>
              <w:rPr>
                <w:sz w:val="16"/>
              </w:rPr>
              <w:t xml:space="preserve">.</w:t>
            </w:r>
          </w:p>
        </w:tc>
        <w:tc>
          <w:tcPr>
            <w:tcW w:w="3480" w:type="dxa"/>
            <w:vAlign w:val="center"/>
          </w:tcPr>
          <w:p w14:paraId="148FE563" w14:textId="77777777">
            <w:pPr>
              <w:spacing w:after="20"/>
            </w:pPr>
            <w:r>
              <w:rPr>
                <w:sz w:val="16"/>
              </w:rPr>
              <w:t xml:space="preserve">Expiration automatique et alerte à l’agent.</w:t>
            </w:r>
          </w:p>
        </w:tc>
        <w:tc>
          <w:tcPr>
            <w:tcW w:w="1300" w:type="dxa"/>
            <w:vAlign w:val="center"/>
          </w:tcPr>
          <w:p w14:paraId="1C7AD00E" w14:textId="77777777">
            <w:pPr>
              <w:spacing w:after="20"/>
            </w:pPr>
            <w:r>
              <w:rPr>
                <w:sz w:val="16"/>
              </w:rPr>
              <w:t xml:space="preserve">Art. 7</w:t>
            </w:r>
          </w:p>
        </w:tc>
      </w:tr>
      <w:tr>
        <w:trPr>
          <w:cantSplit/>
          <w:jc w:val="center"/>
        </w:trPr>
        <w:tc>
          <w:tcPr>
            <w:tcW w:w="2000" w:type="dxa"/>
            <w:shd w:val="clear" w:color="auto" w:fill="F1F5F9"/>
            <w:vAlign w:val="center"/>
          </w:tcPr>
          <w:p w14:paraId="56BF2404" w14:textId="77777777">
            <w:pPr>
              <w:spacing w:after="20"/>
            </w:pPr>
            <w:r>
              <w:rPr>
                <w:sz w:val="16"/>
              </w:rPr>
              <w:t xml:space="preserve">Dépôt</w:t>
            </w:r>
          </w:p>
        </w:tc>
        <w:tc>
          <w:tcPr>
            <w:tcW w:w="3300" w:type="dxa"/>
            <w:shd w:val="clear" w:color="auto" w:fill="F1F5F9"/>
            <w:vAlign w:val="center"/>
          </w:tcPr>
          <w:p w14:paraId="7FC21956" w14:textId="77777777">
            <w:pPr>
              <w:spacing w:after="20"/>
            </w:pPr>
            <w:r>
              <w:rPr>
                <w:sz w:val="16"/>
                <w:highlight w:val="yellow"/>
              </w:rPr>
              <w:t xml:space="preserve">Montant à définir</w:t>
            </w:r>
            <w:r>
              <w:rPr>
                <w:sz w:val="16"/>
              </w:rPr>
              <w:t xml:space="preserve"> ; imputé sur le paiement 1 ou restitué sous </w:t>
            </w:r>
            <w:r>
              <w:rPr>
                <w:sz w:val="16"/>
                <w:highlight w:val="yellow"/>
              </w:rPr>
              <w:t xml:space="preserve">5 jours ouvrés</w:t>
            </w:r>
            <w:r>
              <w:rPr>
                <w:sz w:val="16"/>
              </w:rPr>
              <w:t xml:space="preserve">.</w:t>
            </w:r>
          </w:p>
        </w:tc>
        <w:tc>
          <w:tcPr>
            <w:tcW w:w="3480" w:type="dxa"/>
            <w:shd w:val="clear" w:color="auto" w:fill="F1F5F9"/>
            <w:vAlign w:val="center"/>
          </w:tcPr>
          <w:p w14:paraId="3151968E" w14:textId="77777777">
            <w:pPr>
              <w:spacing w:after="20"/>
            </w:pPr>
            <w:r>
              <w:rPr>
                <w:sz w:val="16"/>
              </w:rPr>
              <w:t xml:space="preserve">Enregistrement, imputation et suivi de la restitution.</w:t>
            </w:r>
          </w:p>
        </w:tc>
        <w:tc>
          <w:tcPr>
            <w:tcW w:w="1300" w:type="dxa"/>
            <w:shd w:val="clear" w:color="auto" w:fill="F1F5F9"/>
            <w:vAlign w:val="center"/>
          </w:tcPr>
          <w:p w14:paraId="77498189" w14:textId="77777777">
            <w:pPr>
              <w:spacing w:after="20"/>
            </w:pPr>
            <w:r>
              <w:rPr>
                <w:sz w:val="16"/>
              </w:rPr>
              <w:t xml:space="preserve">Art. 6</w:t>
            </w:r>
          </w:p>
        </w:tc>
      </w:tr>
      <w:tr>
        <w:trPr>
          <w:cantSplit/>
          <w:jc w:val="center"/>
        </w:trPr>
        <w:tc>
          <w:tcPr>
            <w:tcW w:w="2000" w:type="dxa"/>
            <w:vAlign w:val="center"/>
          </w:tcPr>
          <w:p w14:paraId="490C3F0B" w14:textId="77777777">
            <w:pPr>
              <w:spacing w:after="20"/>
            </w:pPr>
            <w:r>
              <w:rPr>
                <w:sz w:val="16"/>
              </w:rPr>
              <w:t xml:space="preserve">Paiement 1</w:t>
            </w:r>
          </w:p>
        </w:tc>
        <w:tc>
          <w:tcPr>
            <w:tcW w:w="3300" w:type="dxa"/>
            <w:vAlign w:val="center"/>
          </w:tcPr>
          <w:p w14:paraId="4FAE7403" w14:textId="77777777">
            <w:pPr>
              <w:spacing w:after="20"/>
            </w:pPr>
            <w:r>
              <w:rPr>
                <w:sz w:val="16"/>
              </w:rPr>
              <w:t xml:space="preserve">Section A, </w:t>
            </w:r>
            <w:r>
              <w:rPr>
                <w:sz w:val="16"/>
                <w:highlight w:val="yellow"/>
              </w:rPr>
              <w:t xml:space="preserve">24 heures</w:t>
            </w:r>
            <w:r>
              <w:rPr>
                <w:sz w:val="16"/>
              </w:rPr>
              <w:t xml:space="preserve"> après la notification du lot remporté.</w:t>
            </w:r>
          </w:p>
        </w:tc>
        <w:tc>
          <w:tcPr>
            <w:tcW w:w="3480" w:type="dxa"/>
            <w:vAlign w:val="center"/>
          </w:tcPr>
          <w:p w14:paraId="64D54513" w14:textId="77777777">
            <w:pPr>
              <w:spacing w:after="20"/>
            </w:pPr>
            <w:r>
              <w:rPr>
                <w:sz w:val="16"/>
              </w:rPr>
              <w:t xml:space="preserve">Calcul de l’échéance et rappel ; alerte en cas de dépassement.</w:t>
            </w:r>
          </w:p>
        </w:tc>
        <w:tc>
          <w:tcPr>
            <w:tcW w:w="1300" w:type="dxa"/>
            <w:vAlign w:val="center"/>
          </w:tcPr>
          <w:p w14:paraId="3EBA997C" w14:textId="77777777">
            <w:pPr>
              <w:spacing w:after="20"/>
            </w:pPr>
            <w:r>
              <w:rPr>
                <w:sz w:val="16"/>
              </w:rPr>
              <w:t xml:space="preserve">Art. 9.1</w:t>
            </w:r>
          </w:p>
        </w:tc>
      </w:tr>
      <w:tr>
        <w:trPr>
          <w:cantSplit/>
          <w:jc w:val="center"/>
        </w:trPr>
        <w:tc>
          <w:tcPr>
            <w:tcW w:w="2000" w:type="dxa"/>
            <w:shd w:val="clear" w:color="auto" w:fill="F1F5F9"/>
            <w:vAlign w:val="center"/>
          </w:tcPr>
          <w:p w14:paraId="5A45EC68" w14:textId="77777777">
            <w:pPr>
              <w:spacing w:after="20"/>
            </w:pPr>
            <w:r>
              <w:rPr>
                <w:sz w:val="16"/>
              </w:rPr>
              <w:t xml:space="preserve">Solde</w:t>
            </w:r>
          </w:p>
        </w:tc>
        <w:tc>
          <w:tcPr>
            <w:tcW w:w="3300" w:type="dxa"/>
            <w:shd w:val="clear" w:color="auto" w:fill="F1F5F9"/>
            <w:vAlign w:val="center"/>
          </w:tcPr>
          <w:p w14:paraId="4C7B0143" w14:textId="77777777">
            <w:pPr>
              <w:spacing w:after="20"/>
            </w:pPr>
            <w:r>
              <w:rPr>
                <w:sz w:val="16"/>
              </w:rPr>
              <w:t xml:space="preserve">48 h avant l’ETA de l’avis de solde (7 jours recommandés). ETA avancée : au plus tôt 48 h après la notification. ETA retardée : échéance inchangée.</w:t>
            </w:r>
          </w:p>
        </w:tc>
        <w:tc>
          <w:tcPr>
            <w:tcW w:w="3480" w:type="dxa"/>
            <w:shd w:val="clear" w:color="auto" w:fill="F1F5F9"/>
            <w:vAlign w:val="center"/>
          </w:tcPr>
          <w:p w14:paraId="7611113B" w14:textId="77777777">
            <w:pPr>
              <w:spacing w:after="20"/>
            </w:pPr>
            <w:r>
              <w:rPr>
                <w:sz w:val="16"/>
              </w:rPr>
              <w:t xml:space="preserve">Recalcul automatique ; rappels à J-7, J-3 et J-2.</w:t>
            </w:r>
          </w:p>
        </w:tc>
        <w:tc>
          <w:tcPr>
            <w:tcW w:w="1300" w:type="dxa"/>
            <w:shd w:val="clear" w:color="auto" w:fill="F1F5F9"/>
            <w:vAlign w:val="center"/>
          </w:tcPr>
          <w:p w14:paraId="33263434" w14:textId="77777777">
            <w:pPr>
              <w:spacing w:after="20"/>
            </w:pPr>
            <w:r>
              <w:rPr>
                <w:sz w:val="16"/>
              </w:rPr>
              <w:t xml:space="preserve">Art. 9.3</w:t>
            </w:r>
          </w:p>
        </w:tc>
      </w:tr>
      <w:tr>
        <w:trPr>
          <w:cantSplit/>
          <w:jc w:val="center"/>
        </w:trPr>
        <w:tc>
          <w:tcPr>
            <w:tcW w:w="2000" w:type="dxa"/>
            <w:vAlign w:val="center"/>
          </w:tcPr>
          <w:p w14:paraId="6024AD07" w14:textId="77777777">
            <w:pPr>
              <w:spacing w:after="20"/>
            </w:pPr>
            <w:r>
              <w:rPr>
                <w:sz w:val="16"/>
              </w:rPr>
              <w:t xml:space="preserve">Frais de retard</w:t>
            </w:r>
          </w:p>
        </w:tc>
        <w:tc>
          <w:tcPr>
            <w:tcW w:w="3300" w:type="dxa"/>
            <w:vAlign w:val="center"/>
          </w:tcPr>
          <w:p w14:paraId="594581E6" w14:textId="77777777">
            <w:pPr>
              <w:spacing w:after="20"/>
            </w:pPr>
            <w:r>
              <w:rPr>
                <w:sz w:val="16"/>
              </w:rPr>
              <w:t xml:space="preserve">100 USD par période de 14 jours commencée, </w:t>
            </w:r>
            <w:r>
              <w:rPr>
                <w:sz w:val="16"/>
                <w:highlight w:val="yellow"/>
              </w:rPr>
              <w:t xml:space="preserve">plafond à définir</w:t>
            </w:r>
            <w:r>
              <w:rPr>
                <w:sz w:val="16"/>
              </w:rPr>
              <w:t xml:space="preserve">.</w:t>
            </w:r>
          </w:p>
        </w:tc>
        <w:tc>
          <w:tcPr>
            <w:tcW w:w="3480" w:type="dxa"/>
            <w:vAlign w:val="center"/>
          </w:tcPr>
          <w:p w14:paraId="72EF7C71" w14:textId="77777777">
            <w:pPr>
              <w:spacing w:after="20"/>
            </w:pPr>
            <w:r>
              <w:rPr>
                <w:sz w:val="16"/>
              </w:rPr>
              <w:t xml:space="preserve">Calcul automatique en section D ; arrêt au paiement intégral.</w:t>
            </w:r>
          </w:p>
        </w:tc>
        <w:tc>
          <w:tcPr>
            <w:tcW w:w="1300" w:type="dxa"/>
            <w:vAlign w:val="center"/>
          </w:tcPr>
          <w:p w14:paraId="353FFD6A" w14:textId="77777777">
            <w:pPr>
              <w:spacing w:after="20"/>
            </w:pPr>
            <w:r>
              <w:rPr>
                <w:sz w:val="16"/>
              </w:rPr>
              <w:t xml:space="preserve">Art. 20</w:t>
            </w:r>
          </w:p>
        </w:tc>
      </w:tr>
      <w:tr>
        <w:trPr>
          <w:cantSplit/>
          <w:jc w:val="center"/>
        </w:trPr>
        <w:tc>
          <w:tcPr>
            <w:tcW w:w="2000" w:type="dxa"/>
            <w:shd w:val="clear" w:color="auto" w:fill="F1F5F9"/>
            <w:vAlign w:val="center"/>
          </w:tcPr>
          <w:p w14:paraId="7CB3A27F" w14:textId="77777777">
            <w:pPr>
              <w:spacing w:after="20"/>
            </w:pPr>
            <w:r>
              <w:rPr>
                <w:sz w:val="16"/>
              </w:rPr>
              <w:t xml:space="preserve">Notification d’arrivée</w:t>
            </w:r>
          </w:p>
        </w:tc>
        <w:tc>
          <w:tcPr>
            <w:tcW w:w="3300" w:type="dxa"/>
            <w:shd w:val="clear" w:color="auto" w:fill="F1F5F9"/>
            <w:vAlign w:val="center"/>
          </w:tcPr>
          <w:p w14:paraId="452E614D" w14:textId="77777777">
            <w:pPr>
              <w:spacing w:after="20"/>
            </w:pPr>
            <w:r>
              <w:rPr>
                <w:sz w:val="16"/>
              </w:rPr>
              <w:t xml:space="preserve">Sous 24 heures après l’information officielle.</w:t>
            </w:r>
          </w:p>
        </w:tc>
        <w:tc>
          <w:tcPr>
            <w:tcW w:w="3480" w:type="dxa"/>
            <w:shd w:val="clear" w:color="auto" w:fill="F1F5F9"/>
            <w:vAlign w:val="center"/>
          </w:tcPr>
          <w:p w14:paraId="42AC731D" w14:textId="77777777">
            <w:pPr>
              <w:spacing w:after="20"/>
            </w:pPr>
            <w:r>
              <w:rPr>
                <w:sz w:val="16"/>
              </w:rPr>
              <w:t xml:space="preserve">Alerte si la notification n’est pas partie 24 h après la saisie de l’ATA.</w:t>
            </w:r>
          </w:p>
        </w:tc>
        <w:tc>
          <w:tcPr>
            <w:tcW w:w="1300" w:type="dxa"/>
            <w:shd w:val="clear" w:color="auto" w:fill="F1F5F9"/>
            <w:vAlign w:val="center"/>
          </w:tcPr>
          <w:p w14:paraId="23D7D0A6" w14:textId="77777777">
            <w:pPr>
              <w:spacing w:after="20"/>
            </w:pPr>
            <w:r>
              <w:rPr>
                <w:sz w:val="16"/>
              </w:rPr>
              <w:t xml:space="preserve">Art. 17</w:t>
            </w:r>
          </w:p>
        </w:tc>
      </w:tr>
      <w:tr>
        <w:trPr>
          <w:cantSplit/>
          <w:jc w:val="center"/>
        </w:trPr>
        <w:tc>
          <w:tcPr>
            <w:tcW w:w="2000" w:type="dxa"/>
            <w:vAlign w:val="center"/>
          </w:tcPr>
          <w:p w14:paraId="6EF43057" w14:textId="77777777">
            <w:pPr>
              <w:spacing w:after="20"/>
            </w:pPr>
            <w:r>
              <w:rPr>
                <w:sz w:val="16"/>
              </w:rPr>
              <w:t xml:space="preserve">Remise des documents</w:t>
            </w:r>
          </w:p>
        </w:tc>
        <w:tc>
          <w:tcPr>
            <w:tcW w:w="3300" w:type="dxa"/>
            <w:vAlign w:val="center"/>
          </w:tcPr>
          <w:p w14:paraId="4DC53D0E" w14:textId="77777777">
            <w:pPr>
              <w:spacing w:after="20"/>
            </w:pPr>
            <w:r>
              <w:rPr>
                <w:sz w:val="16"/>
                <w:highlight w:val="yellow"/>
              </w:rPr>
              <w:t xml:space="preserve">48 heures ouvrées</w:t>
            </w:r>
            <w:r>
              <w:rPr>
                <w:sz w:val="16"/>
              </w:rPr>
              <w:t xml:space="preserve"> après paiement intégral ; pièce d’identité ou procuration ; décharge.</w:t>
            </w:r>
          </w:p>
        </w:tc>
        <w:tc>
          <w:tcPr>
            <w:tcW w:w="3480" w:type="dxa"/>
            <w:vAlign w:val="center"/>
          </w:tcPr>
          <w:p w14:paraId="17E8456B" w14:textId="77777777">
            <w:pPr>
              <w:spacing w:after="20"/>
            </w:pPr>
            <w:r>
              <w:rPr>
                <w:sz w:val="16"/>
              </w:rPr>
              <w:t xml:space="preserve">Blocage tant que le solde est positif ; enregistrement de la décharge.</w:t>
            </w:r>
          </w:p>
        </w:tc>
        <w:tc>
          <w:tcPr>
            <w:tcW w:w="1300" w:type="dxa"/>
            <w:vAlign w:val="center"/>
          </w:tcPr>
          <w:p w14:paraId="1806002F" w14:textId="77777777">
            <w:pPr>
              <w:spacing w:after="20"/>
            </w:pPr>
            <w:r>
              <w:rPr>
                <w:sz w:val="16"/>
              </w:rPr>
              <w:t xml:space="preserve">Art. 15</w:t>
            </w:r>
          </w:p>
        </w:tc>
      </w:tr>
      <w:tr>
        <w:trPr>
          <w:cantSplit/>
          <w:jc w:val="center"/>
        </w:trPr>
        <w:tc>
          <w:tcPr>
            <w:tcW w:w="2000" w:type="dxa"/>
            <w:shd w:val="clear" w:color="auto" w:fill="F1F5F9"/>
            <w:vAlign w:val="center"/>
          </w:tcPr>
          <w:p w14:paraId="6F7CAE84" w14:textId="77777777">
            <w:pPr>
              <w:spacing w:after="20"/>
            </w:pPr>
            <w:r>
              <w:rPr>
                <w:sz w:val="16"/>
              </w:rPr>
              <w:t xml:space="preserve">Enlèvement</w:t>
            </w:r>
          </w:p>
        </w:tc>
        <w:tc>
          <w:tcPr>
            <w:tcW w:w="3300" w:type="dxa"/>
            <w:shd w:val="clear" w:color="auto" w:fill="F1F5F9"/>
            <w:vAlign w:val="center"/>
          </w:tcPr>
          <w:p w14:paraId="694D8D76" w14:textId="77777777">
            <w:pPr>
              <w:spacing w:after="20"/>
            </w:pPr>
            <w:r>
              <w:rPr>
                <w:sz w:val="16"/>
                <w:highlight w:val="yellow"/>
              </w:rPr>
              <w:t xml:space="preserve">15 jours</w:t>
            </w:r>
            <w:r>
              <w:rPr>
                <w:sz w:val="16"/>
              </w:rPr>
              <w:t xml:space="preserve"> après la remise des documents.</w:t>
            </w:r>
          </w:p>
        </w:tc>
        <w:tc>
          <w:tcPr>
            <w:tcW w:w="3480" w:type="dxa"/>
            <w:shd w:val="clear" w:color="auto" w:fill="F1F5F9"/>
            <w:vAlign w:val="center"/>
          </w:tcPr>
          <w:p w14:paraId="2DC73257" w14:textId="77777777">
            <w:pPr>
              <w:spacing w:after="20"/>
            </w:pPr>
            <w:r>
              <w:rPr>
                <w:sz w:val="16"/>
              </w:rPr>
              <w:t xml:space="preserve">Alerte à l’échéance.</w:t>
            </w:r>
          </w:p>
        </w:tc>
        <w:tc>
          <w:tcPr>
            <w:tcW w:w="1300" w:type="dxa"/>
            <w:shd w:val="clear" w:color="auto" w:fill="F1F5F9"/>
            <w:vAlign w:val="center"/>
          </w:tcPr>
          <w:p w14:paraId="3D8AFF7B" w14:textId="77777777">
            <w:pPr>
              <w:spacing w:after="20"/>
            </w:pPr>
            <w:r>
              <w:rPr>
                <w:sz w:val="16"/>
              </w:rPr>
              <w:t xml:space="preserve">Art. 18</w:t>
            </w:r>
          </w:p>
        </w:tc>
      </w:tr>
      <w:tr>
        <w:trPr>
          <w:cantSplit/>
          <w:jc w:val="center"/>
        </w:trPr>
        <w:tc>
          <w:tcPr>
            <w:tcW w:w="2000" w:type="dxa"/>
            <w:vAlign w:val="center"/>
          </w:tcPr>
          <w:p w14:paraId="614B1FC7" w14:textId="77777777">
            <w:pPr>
              <w:spacing w:after="20"/>
            </w:pPr>
            <w:r>
              <w:rPr>
                <w:sz w:val="16"/>
              </w:rPr>
              <w:t xml:space="preserve">Réclamation</w:t>
            </w:r>
          </w:p>
        </w:tc>
        <w:tc>
          <w:tcPr>
            <w:tcW w:w="3300" w:type="dxa"/>
            <w:vAlign w:val="center"/>
          </w:tcPr>
          <w:p w14:paraId="6D353C61" w14:textId="77777777">
            <w:pPr>
              <w:spacing w:after="20"/>
            </w:pPr>
            <w:r>
              <w:rPr>
                <w:sz w:val="16"/>
                <w:highlight w:val="yellow"/>
              </w:rPr>
              <w:t xml:space="preserve">3 jours ouvrés</w:t>
            </w:r>
            <w:r>
              <w:rPr>
                <w:sz w:val="16"/>
              </w:rPr>
              <w:t xml:space="preserve"> après l’enlèvement, avec réserves et photos.</w:t>
            </w:r>
          </w:p>
        </w:tc>
        <w:tc>
          <w:tcPr>
            <w:tcW w:w="3480" w:type="dxa"/>
            <w:vAlign w:val="center"/>
          </w:tcPr>
          <w:p w14:paraId="6DFFA480" w14:textId="77777777">
            <w:pPr>
              <w:spacing w:after="20"/>
            </w:pPr>
            <w:r>
              <w:rPr>
                <w:sz w:val="16"/>
              </w:rPr>
              <w:t xml:space="preserve">Création et suivi de la réclamation.</w:t>
            </w:r>
          </w:p>
        </w:tc>
        <w:tc>
          <w:tcPr>
            <w:tcW w:w="1300" w:type="dxa"/>
            <w:vAlign w:val="center"/>
          </w:tcPr>
          <w:p w14:paraId="5B064800" w14:textId="77777777">
            <w:pPr>
              <w:spacing w:after="20"/>
            </w:pPr>
            <w:r>
              <w:rPr>
                <w:sz w:val="16"/>
              </w:rPr>
              <w:t xml:space="preserve">Art. 19</w:t>
            </w:r>
          </w:p>
        </w:tc>
      </w:tr>
      <w:tr>
        <w:trPr>
          <w:cantSplit/>
          <w:jc w:val="center"/>
        </w:trPr>
        <w:tc>
          <w:tcPr>
            <w:tcW w:w="2000" w:type="dxa"/>
            <w:shd w:val="clear" w:color="auto" w:fill="F1F5F9"/>
            <w:vAlign w:val="center"/>
          </w:tcPr>
          <w:p w14:paraId="22E491F5" w14:textId="77777777">
            <w:pPr>
              <w:spacing w:after="20"/>
            </w:pPr>
            <w:r>
              <w:rPr>
                <w:sz w:val="16"/>
              </w:rPr>
              <w:t xml:space="preserve">Frais supplémentaires</w:t>
            </w:r>
          </w:p>
        </w:tc>
        <w:tc>
          <w:tcPr>
            <w:tcW w:w="3300" w:type="dxa"/>
            <w:shd w:val="clear" w:color="auto" w:fill="F1F5F9"/>
            <w:vAlign w:val="center"/>
          </w:tcPr>
          <w:p w14:paraId="689828CF" w14:textId="77777777">
            <w:pPr>
              <w:spacing w:after="20"/>
            </w:pPr>
            <w:r>
              <w:rPr>
                <w:sz w:val="16"/>
              </w:rPr>
              <w:t xml:space="preserve">Accord préalable au-delà de </w:t>
            </w:r>
            <w:r>
              <w:rPr>
                <w:sz w:val="16"/>
                <w:highlight w:val="yellow"/>
              </w:rPr>
              <w:t xml:space="preserve">250 USD ou 10 % du forfait concerné</w:t>
            </w:r>
            <w:r>
              <w:rPr>
                <w:sz w:val="16"/>
              </w:rPr>
              <w:t xml:space="preserve">, sauf urgence.</w:t>
            </w:r>
          </w:p>
        </w:tc>
        <w:tc>
          <w:tcPr>
            <w:tcW w:w="3480" w:type="dxa"/>
            <w:shd w:val="clear" w:color="auto" w:fill="F1F5F9"/>
            <w:vAlign w:val="center"/>
          </w:tcPr>
          <w:p w14:paraId="76B3CC4E" w14:textId="77777777">
            <w:pPr>
              <w:spacing w:after="20"/>
            </w:pPr>
            <w:r>
              <w:rPr>
                <w:sz w:val="16"/>
              </w:rPr>
              <w:t xml:space="preserve">Demande d’accord au client et justificatif obligatoire.</w:t>
            </w:r>
          </w:p>
        </w:tc>
        <w:tc>
          <w:tcPr>
            <w:tcW w:w="1300" w:type="dxa"/>
            <w:shd w:val="clear" w:color="auto" w:fill="F1F5F9"/>
            <w:vAlign w:val="center"/>
          </w:tcPr>
          <w:p w14:paraId="7AE48C75" w14:textId="77777777">
            <w:pPr>
              <w:spacing w:after="20"/>
            </w:pPr>
            <w:r>
              <w:rPr>
                <w:sz w:val="16"/>
              </w:rPr>
              <w:t xml:space="preserve">Art. 26</w:t>
            </w:r>
          </w:p>
        </w:tc>
      </w:tr>
      <w:tr>
        <w:trPr>
          <w:cantSplit/>
          <w:jc w:val="center"/>
        </w:trPr>
        <w:tc>
          <w:tcPr>
            <w:tcW w:w="2000" w:type="dxa"/>
            <w:vAlign w:val="center"/>
          </w:tcPr>
          <w:p w14:paraId="30C5B433" w14:textId="77777777">
            <w:pPr>
              <w:spacing w:after="20"/>
            </w:pPr>
            <w:r>
              <w:rPr>
                <w:sz w:val="16"/>
              </w:rPr>
              <w:t xml:space="preserve">Véhicule non réclamé</w:t>
            </w:r>
          </w:p>
        </w:tc>
        <w:tc>
          <w:tcPr>
            <w:tcW w:w="3300" w:type="dxa"/>
            <w:vAlign w:val="center"/>
          </w:tcPr>
          <w:p w14:paraId="537C6CCF" w14:textId="77777777">
            <w:pPr>
              <w:spacing w:after="20"/>
            </w:pPr>
            <w:r>
              <w:rPr>
                <w:sz w:val="16"/>
              </w:rPr>
              <w:t xml:space="preserve">Relance à </w:t>
            </w:r>
            <w:r>
              <w:rPr>
                <w:sz w:val="16"/>
                <w:highlight w:val="yellow"/>
              </w:rPr>
              <w:t xml:space="preserve">J+30</w:t>
            </w:r>
            <w:r>
              <w:rPr>
                <w:sz w:val="16"/>
              </w:rPr>
              <w:t xml:space="preserve">, mise en demeure à </w:t>
            </w:r>
            <w:r>
              <w:rPr>
                <w:sz w:val="16"/>
                <w:highlight w:val="yellow"/>
              </w:rPr>
              <w:t xml:space="preserve">J+60</w:t>
            </w:r>
            <w:r>
              <w:rPr>
                <w:sz w:val="16"/>
              </w:rPr>
              <w:t xml:space="preserve"> (délai d’au moins </w:t>
            </w:r>
            <w:r>
              <w:rPr>
                <w:sz w:val="16"/>
                <w:highlight w:val="yellow"/>
              </w:rPr>
              <w:t xml:space="preserve">15 jours</w:t>
            </w:r>
            <w:r>
              <w:rPr>
                <w:sz w:val="16"/>
              </w:rPr>
              <w:t xml:space="preserve">), procédure à 4 mois après l’arrivée ; aucune appropriation automatique.</w:t>
            </w:r>
          </w:p>
        </w:tc>
        <w:tc>
          <w:tcPr>
            <w:tcW w:w="3480" w:type="dxa"/>
            <w:vAlign w:val="center"/>
          </w:tcPr>
          <w:p w14:paraId="7B43879C" w14:textId="77777777">
            <w:pPr>
              <w:spacing w:after="20"/>
            </w:pPr>
            <w:r>
              <w:rPr>
                <w:sz w:val="16"/>
              </w:rPr>
              <w:t xml:space="preserve">Compte à rebours, modèles de lettres, alertes.</w:t>
            </w:r>
          </w:p>
        </w:tc>
        <w:tc>
          <w:tcPr>
            <w:tcW w:w="1300" w:type="dxa"/>
            <w:vAlign w:val="center"/>
          </w:tcPr>
          <w:p w14:paraId="278A7DFD" w14:textId="77777777">
            <w:pPr>
              <w:spacing w:after="20"/>
            </w:pPr>
            <w:r>
              <w:rPr>
                <w:sz w:val="16"/>
              </w:rPr>
              <w:t xml:space="preserve">Art. 21–22</w:t>
            </w:r>
          </w:p>
        </w:tc>
      </w:tr>
      <w:tr>
        <w:trPr>
          <w:cantSplit/>
          <w:jc w:val="center"/>
        </w:trPr>
        <w:tc>
          <w:tcPr>
            <w:tcW w:w="2000" w:type="dxa"/>
            <w:shd w:val="clear" w:color="auto" w:fill="F1F5F9"/>
            <w:vAlign w:val="center"/>
          </w:tcPr>
          <w:p w14:paraId="1ED3E19F" w14:textId="77777777">
            <w:pPr>
              <w:spacing w:after="20"/>
            </w:pPr>
            <w:r>
              <w:rPr>
                <w:sz w:val="16"/>
              </w:rPr>
              <w:t xml:space="preserve">Propriété</w:t>
            </w:r>
          </w:p>
        </w:tc>
        <w:tc>
          <w:tcPr>
            <w:tcW w:w="3300" w:type="dxa"/>
            <w:shd w:val="clear" w:color="auto" w:fill="F1F5F9"/>
            <w:vAlign w:val="center"/>
          </w:tcPr>
          <w:p w14:paraId="237FCA37" w14:textId="77777777">
            <w:pPr>
              <w:spacing w:after="20"/>
            </w:pPr>
            <w:r>
              <w:rPr>
                <w:sz w:val="16"/>
              </w:rPr>
              <w:t xml:space="preserve">Transférée au client au paiement intégral.</w:t>
            </w:r>
          </w:p>
        </w:tc>
        <w:tc>
          <w:tcPr>
            <w:tcW w:w="3480" w:type="dxa"/>
            <w:shd w:val="clear" w:color="auto" w:fill="F1F5F9"/>
            <w:vAlign w:val="center"/>
          </w:tcPr>
          <w:p w14:paraId="5D6B92E0" w14:textId="77777777">
            <w:pPr>
              <w:spacing w:after="20"/>
            </w:pPr>
            <w:r>
              <w:rPr>
                <w:sz w:val="16"/>
              </w:rPr>
              <w:t xml:space="preserve">Statut « propriété transférée » à la date du paiement intégral.</w:t>
            </w:r>
          </w:p>
        </w:tc>
        <w:tc>
          <w:tcPr>
            <w:tcW w:w="1300" w:type="dxa"/>
            <w:shd w:val="clear" w:color="auto" w:fill="F1F5F9"/>
            <w:vAlign w:val="center"/>
          </w:tcPr>
          <w:p w14:paraId="52987745" w14:textId="77777777">
            <w:pPr>
              <w:spacing w:after="20"/>
            </w:pPr>
            <w:r>
              <w:rPr>
                <w:sz w:val="16"/>
              </w:rPr>
              <w:t xml:space="preserve">Art. 11</w:t>
            </w:r>
          </w:p>
        </w:tc>
      </w:tr>
      <w:tr>
        <w:trPr>
          <w:cantSplit/>
          <w:jc w:val="center"/>
        </w:trPr>
        <w:tc>
          <w:tcPr>
            <w:tcW w:w="2000" w:type="dxa"/>
            <w:vAlign w:val="center"/>
          </w:tcPr>
          <w:p w14:paraId="55EBBA83" w14:textId="77777777">
            <w:pPr>
              <w:spacing w:after="20"/>
            </w:pPr>
            <w:r>
              <w:rPr>
                <w:sz w:val="16"/>
              </w:rPr>
              <w:t xml:space="preserve">Limite d’âge</w:t>
            </w:r>
          </w:p>
        </w:tc>
        <w:tc>
          <w:tcPr>
            <w:tcW w:w="3300" w:type="dxa"/>
            <w:vAlign w:val="center"/>
          </w:tcPr>
          <w:p w14:paraId="1CB8D400" w14:textId="77777777">
            <w:pPr>
              <w:spacing w:after="20"/>
            </w:pPr>
            <w:r>
              <w:rPr>
                <w:sz w:val="16"/>
              </w:rPr>
              <w:t xml:space="preserve">10 ans (tourisme, utilitaires légers &lt; 3,5 t) ; 15 ans (camions, transport de personnes) — décret signé le 24 octobre 2025, </w:t>
            </w:r>
            <w:r>
              <w:rPr>
                <w:sz w:val="16"/>
                <w:highlight w:val="yellow"/>
              </w:rPr>
              <w:t xml:space="preserve">publication au Journal officiel à vérifier</w:t>
            </w:r>
            <w:r>
              <w:rPr>
                <w:sz w:val="16"/>
              </w:rPr>
              <w:t xml:space="preserve">.</w:t>
            </w:r>
          </w:p>
        </w:tc>
        <w:tc>
          <w:tcPr>
            <w:tcW w:w="3480" w:type="dxa"/>
            <w:vAlign w:val="center"/>
          </w:tcPr>
          <w:p w14:paraId="22295B36" w14:textId="77777777">
            <w:pPr>
              <w:spacing w:after="20"/>
            </w:pPr>
            <w:r>
              <w:rPr>
                <w:sz w:val="16"/>
              </w:rPr>
              <w:t xml:space="preserve">Paramètre ; alerte à la saisie de l’ordre d’achat.</w:t>
            </w:r>
          </w:p>
        </w:tc>
        <w:tc>
          <w:tcPr>
            <w:tcW w:w="1300" w:type="dxa"/>
            <w:vAlign w:val="center"/>
          </w:tcPr>
          <w:p w14:paraId="7514067E" w14:textId="77777777">
            <w:pPr>
              <w:spacing w:after="20"/>
            </w:pPr>
            <w:r>
              <w:rPr>
                <w:sz w:val="16"/>
              </w:rPr>
              <w:t xml:space="preserve">Art. 5</w:t>
            </w:r>
          </w:p>
        </w:tc>
      </w:tr>
    </w:tbl>
    <w:p w14:paraId="493A6DB0" w14:textId="77777777"/>
    <w:p w14:paraId="5C98B016" w14:textId="77777777">
      <w:pPr>
        <w:pStyle w:val="Heading1"/>
      </w:pPr>
      <w:r>
        <w:t xml:space="preserve">7. Devis, facturation et paiements</w:t>
      </w:r>
    </w:p>
    <w:p w14:paraId="47A14E91" w14:textId="77777777">
      <w:pPr>
        <w:pStyle w:val="Heading2"/>
      </w:pPr>
      <w:r>
        <w:t xml:space="preserve">7.1 Devis forfaitaire</w:t>
      </w:r>
    </w:p>
    <w:p w14:paraId="4E91B936" w14:textId="77777777">
      <w:pPr>
        <w:pStyle w:val="ListBullet"/>
      </w:pPr>
      <w:r>
        <w:rPr>
          <w:b/>
        </w:rPr>
        <w:t xml:space="preserve">Section A – Coût total d’acquisition du véhicule</w:t>
      </w:r>
      <w:r>
        <w:t xml:space="preserve"> : un montant forfaitaire unique. La description cite les éléments couverts (enchère, frais COPART/IAA/vendeur, taxes aux États-Unis, transport terrestre, frais de service) sans les ventiler.</w:t>
      </w:r>
    </w:p>
    <w:p w14:paraId="7E1C0A07" w14:textId="77777777">
      <w:pPr>
        <w:pStyle w:val="ListBullet"/>
      </w:pPr>
      <w:r>
        <w:rPr>
          <w:b/>
        </w:rPr>
        <w:t xml:space="preserve">Section B – Logistique et transport maritime vers Dakar</w:t>
      </w:r>
      <w:r>
        <w:t xml:space="preserve"> : un montant forfaitaire unique (manutention, stockage, mise en conteneur, fret, frais documentaires et de terminal).</w:t>
      </w:r>
    </w:p>
    <w:p w14:paraId="4F912E5E" w14:textId="77777777">
      <w:pPr>
        <w:pStyle w:val="ListBullet"/>
      </w:pPr>
      <w:r>
        <w:rPr>
          <w:b/>
        </w:rPr>
        <w:t xml:space="preserve">C – Assurance transport</w:t>
      </w:r>
      <w:r>
        <w:t xml:space="preserve"> : seule option soumise au choix du client, acceptée ou refusée avec ses initiales.</w:t>
      </w:r>
    </w:p>
    <w:p w14:paraId="5B2689EF" w14:textId="77777777">
      <w:pPr>
        <w:pStyle w:val="ListBullet"/>
      </w:pPr>
      <w:r>
        <w:rPr>
          <w:b/>
        </w:rPr>
        <w:t xml:space="preserve">Section D – Ajustements</w:t>
      </w:r>
      <w:r>
        <w:t xml:space="preserve"> : frais supplémentaires justifiés, frais de retard et remise.</w:t>
      </w:r>
    </w:p>
    <w:p w14:paraId="6467DDD7" w14:textId="77777777">
      <w:pPr>
        <w:pStyle w:val="ListBullet"/>
      </w:pPr>
      <w:r>
        <w:t xml:space="preserve">TVA si applicable </w:t>
      </w:r>
      <w:r>
        <w:rPr>
          <w:highlight w:val="yellow"/>
        </w:rPr>
        <w:t xml:space="preserve">(traitement fiscal des forfaits à confirmer avec l’expert-comptable)</w:t>
      </w:r>
      <w:r>
        <w:t xml:space="preserve">.</w:t>
      </w:r>
    </w:p>
    <w:p w14:paraId="750165F8" w14:textId="77777777">
      <w:pPr>
        <w:pStyle w:val="Heading2"/>
      </w:pPr>
      <w:r>
        <w:t xml:space="preserve">7.2 Calcul interne des forfaits</w:t>
      </w:r>
    </w:p>
    <w:p w14:paraId="43233DFC" w14:textId="77777777">
      <w:r>
        <w:t xml:space="preserve">L’agent saisit les coûts connus (enchère, frais, taxes et autres frais) et les coûts logistiques estimés. Le système propose les forfaits A et B (coûts + marge) ; l’agent ou la comptabilité les valide. Le détail des coûts et la marge sont visibles uniquement par l’administration, la comptabilité et la direction, et ne sont jamais affichés au client. Le forfait accepté n’est pas révisé, sauf frais supplémentaires ou frais de retard prévus au contrat.</w:t>
      </w:r>
    </w:p>
    <w:p w14:paraId="68B4D349" w14:textId="77777777">
      <w:pPr>
        <w:pStyle w:val="Heading2"/>
      </w:pPr>
      <w:r>
        <w:t xml:space="preserve">7.3 Documents et numérotation</w:t>
      </w:r>
    </w:p>
    <w:tbl>
      <w:tblPr>
        <w:tblStyle w:val="TableGrid"/>
        <w:tblW w:w="10080" w:type="dxa"/>
        <w:jc w:val="center"/>
        <w:tblLayout w:type="fixed"/>
        <w:tblLook w:val="04A0" w:firstRow="1" w:lastRow="0" w:firstColumn="1" w:lastColumn="0" w:noHBand="0" w:noVBand="1"/>
      </w:tblPr>
      <w:tblGrid>
        <w:gridCol w:w="2600"/>
        <w:gridCol w:w="2200"/>
        <w:gridCol w:w="5280"/>
      </w:tblGrid>
      <w:tr>
        <w:trPr>
          <w:cantSplit/>
          <w:tblHeader/>
          <w:jc w:val="center"/>
        </w:trPr>
        <w:tc>
          <w:tcPr>
            <w:tcW w:w="2600" w:type="dxa"/>
            <w:shd w:val="clear" w:color="auto" w:fill="15365B"/>
            <w:vAlign w:val="center"/>
          </w:tcPr>
          <w:p w14:paraId="3DE00C2D" w14:textId="77777777">
            <w:pPr>
              <w:spacing w:after="20"/>
            </w:pPr>
            <w:r>
              <w:rPr>
                <w:b/>
                <w:color w:val="FFFFFF"/>
                <w:sz w:val="16"/>
              </w:rPr>
              <w:t xml:space="preserve">Document</w:t>
            </w:r>
          </w:p>
        </w:tc>
        <w:tc>
          <w:tcPr>
            <w:tcW w:w="2200" w:type="dxa"/>
            <w:shd w:val="clear" w:color="auto" w:fill="15365B"/>
            <w:vAlign w:val="center"/>
          </w:tcPr>
          <w:p w14:paraId="15C9CA15" w14:textId="77777777">
            <w:pPr>
              <w:spacing w:after="20"/>
            </w:pPr>
            <w:r>
              <w:rPr>
                <w:b/>
                <w:color w:val="FFFFFF"/>
                <w:sz w:val="16"/>
              </w:rPr>
              <w:t xml:space="preserve">Numérotation</w:t>
            </w:r>
          </w:p>
        </w:tc>
        <w:tc>
          <w:tcPr>
            <w:tcW w:w="5280" w:type="dxa"/>
            <w:shd w:val="clear" w:color="auto" w:fill="15365B"/>
            <w:vAlign w:val="center"/>
          </w:tcPr>
          <w:p w14:paraId="60E6AA46" w14:textId="77777777">
            <w:pPr>
              <w:spacing w:after="20"/>
            </w:pPr>
            <w:r>
              <w:rPr>
                <w:b/>
                <w:color w:val="FFFFFF"/>
                <w:sz w:val="16"/>
              </w:rPr>
              <w:t xml:space="preserve">Contenu</w:t>
            </w:r>
          </w:p>
        </w:tc>
      </w:tr>
      <w:tr>
        <w:trPr>
          <w:cantSplit/>
          <w:jc w:val="center"/>
        </w:trPr>
        <w:tc>
          <w:tcPr>
            <w:tcW w:w="2600" w:type="dxa"/>
            <w:vAlign w:val="center"/>
          </w:tcPr>
          <w:p w14:paraId="24F7FB78" w14:textId="77777777">
            <w:pPr>
              <w:spacing w:after="20"/>
            </w:pPr>
            <w:r>
              <w:rPr>
                <w:sz w:val="16"/>
              </w:rPr>
              <w:t xml:space="preserve">Devis</w:t>
            </w:r>
          </w:p>
        </w:tc>
        <w:tc>
          <w:tcPr>
            <w:tcW w:w="2200" w:type="dxa"/>
            <w:vAlign w:val="center"/>
          </w:tcPr>
          <w:p w14:paraId="486AB56F" w14:textId="77777777">
            <w:pPr>
              <w:spacing w:after="20"/>
            </w:pPr>
            <w:r>
              <w:rPr>
                <w:sz w:val="16"/>
              </w:rPr>
              <w:t xml:space="preserve">DV-AAAA-####</w:t>
            </w:r>
          </w:p>
        </w:tc>
        <w:tc>
          <w:tcPr>
            <w:tcW w:w="5280" w:type="dxa"/>
            <w:vAlign w:val="center"/>
          </w:tcPr>
          <w:p w14:paraId="451E1289" w14:textId="77777777">
            <w:pPr>
              <w:spacing w:after="20"/>
            </w:pPr>
            <w:r>
              <w:rPr>
                <w:sz w:val="16"/>
              </w:rPr>
              <w:t xml:space="preserve">Sections A, B, C, D, validité, taux de change, choix d’assurance.</w:t>
            </w:r>
          </w:p>
        </w:tc>
      </w:tr>
      <w:tr>
        <w:trPr>
          <w:cantSplit/>
          <w:jc w:val="center"/>
        </w:trPr>
        <w:tc>
          <w:tcPr>
            <w:tcW w:w="2600" w:type="dxa"/>
            <w:shd w:val="clear" w:color="auto" w:fill="F1F5F9"/>
            <w:vAlign w:val="center"/>
          </w:tcPr>
          <w:p w14:paraId="5D87F005" w14:textId="77777777">
            <w:pPr>
              <w:spacing w:after="20"/>
            </w:pPr>
            <w:r>
              <w:rPr>
                <w:sz w:val="16"/>
              </w:rPr>
              <w:t xml:space="preserve">Facture d’acompte</w:t>
            </w:r>
          </w:p>
        </w:tc>
        <w:tc>
          <w:tcPr>
            <w:tcW w:w="2200" w:type="dxa"/>
            <w:shd w:val="clear" w:color="auto" w:fill="F1F5F9"/>
            <w:vAlign w:val="center"/>
          </w:tcPr>
          <w:p w14:paraId="4CECE578" w14:textId="77777777">
            <w:pPr>
              <w:spacing w:after="20"/>
            </w:pPr>
            <w:r>
              <w:rPr>
                <w:sz w:val="16"/>
              </w:rPr>
              <w:t xml:space="preserve">FA-AAAA-####</w:t>
            </w:r>
          </w:p>
        </w:tc>
        <w:tc>
          <w:tcPr>
            <w:tcW w:w="5280" w:type="dxa"/>
            <w:shd w:val="clear" w:color="auto" w:fill="F1F5F9"/>
            <w:vAlign w:val="center"/>
          </w:tcPr>
          <w:p w14:paraId="421A68DF" w14:textId="77777777">
            <w:pPr>
              <w:spacing w:after="20"/>
            </w:pPr>
            <w:r>
              <w:rPr>
                <w:sz w:val="16"/>
              </w:rPr>
              <w:t xml:space="preserve">Section A ; échéance du paiement 1.</w:t>
            </w:r>
          </w:p>
        </w:tc>
      </w:tr>
      <w:tr>
        <w:trPr>
          <w:cantSplit/>
          <w:jc w:val="center"/>
        </w:trPr>
        <w:tc>
          <w:tcPr>
            <w:tcW w:w="2600" w:type="dxa"/>
            <w:vAlign w:val="center"/>
          </w:tcPr>
          <w:p w14:paraId="1CE1AEF3" w14:textId="77777777">
            <w:pPr>
              <w:spacing w:after="20"/>
            </w:pPr>
            <w:r>
              <w:rPr>
                <w:sz w:val="16"/>
              </w:rPr>
              <w:t xml:space="preserve">Facture de solde</w:t>
            </w:r>
          </w:p>
        </w:tc>
        <w:tc>
          <w:tcPr>
            <w:tcW w:w="2200" w:type="dxa"/>
            <w:vAlign w:val="center"/>
          </w:tcPr>
          <w:p w14:paraId="72C717C0" w14:textId="77777777">
            <w:pPr>
              <w:spacing w:after="20"/>
            </w:pPr>
            <w:r>
              <w:rPr>
                <w:sz w:val="16"/>
              </w:rPr>
              <w:t xml:space="preserve">FS-AAAA-####</w:t>
            </w:r>
          </w:p>
        </w:tc>
        <w:tc>
          <w:tcPr>
            <w:tcW w:w="5280" w:type="dxa"/>
            <w:vAlign w:val="center"/>
          </w:tcPr>
          <w:p w14:paraId="6B7CC92E" w14:textId="77777777">
            <w:pPr>
              <w:spacing w:after="20"/>
            </w:pPr>
            <w:r>
              <w:rPr>
                <w:sz w:val="16"/>
              </w:rPr>
              <w:t xml:space="preserve">Sections B, C (si acceptée) et D ; ETA de référence ; échéance du solde.</w:t>
            </w:r>
          </w:p>
        </w:tc>
      </w:tr>
    </w:tbl>
    <w:p w14:paraId="1BB2F698" w14:textId="77777777"/>
    <w:p w14:paraId="21E3CD83" w14:textId="77777777">
      <w:r>
        <w:t xml:space="preserve">Mentions légales des factures (RCCM, NINEA, TVA) </w:t>
      </w:r>
      <w:r>
        <w:rPr>
          <w:highlight w:val="yellow"/>
        </w:rPr>
        <w:t xml:space="preserve">à confirmer avec l’expert-comptable</w:t>
      </w:r>
      <w:r>
        <w:t xml:space="preserve">.</w:t>
      </w:r>
    </w:p>
    <w:p w14:paraId="5D9E8007" w14:textId="77777777">
      <w:pPr>
        <w:pStyle w:val="Heading2"/>
      </w:pPr>
      <w:r>
        <w:t xml:space="preserve">7.4 Paiements</w:t>
      </w:r>
    </w:p>
    <w:p w14:paraId="1FF273F0" w14:textId="77777777">
      <w:pPr>
        <w:pStyle w:val="ListBullet"/>
      </w:pPr>
      <w:r>
        <w:t xml:space="preserve">Modes : virement, Wave, Orange Money, espèces au bureau contre reçu.</w:t>
      </w:r>
    </w:p>
    <w:p w14:paraId="2286A60A" w14:textId="77777777">
      <w:pPr>
        <w:pStyle w:val="ListBullet"/>
      </w:pPr>
      <w:r>
        <w:t xml:space="preserve">Paiements acceptés uniquement sur les comptes officiels de l’annexe D du contrat, avec la référence du dossier.</w:t>
      </w:r>
    </w:p>
    <w:p w14:paraId="5B0B5814" w14:textId="77777777">
      <w:pPr>
        <w:pStyle w:val="ListBullet"/>
      </w:pPr>
      <w:r>
        <w:t xml:space="preserve">Pour chaque paiement : montant, devise, date de crédit effectif, mode, référence, justificatif et validateur.</w:t>
      </w:r>
    </w:p>
    <w:p w14:paraId="32992E19" w14:textId="77777777">
      <w:pPr>
        <w:pStyle w:val="ListBullet"/>
      </w:pPr>
      <w:r>
        <w:t xml:space="preserve">Comptes officiels modifiables par l’administrateur seulement, avec double validation et journalisation. Aucune notification ne contient de nouvelles coordonnées de paiement.</w:t>
      </w:r>
    </w:p>
    <w:p w14:paraId="23D1220D" w14:textId="77777777">
      <w:pPr>
        <w:pStyle w:val="Heading1"/>
      </w:pPr>
      <w:r>
        <w:t xml:space="preserve">8. Écrans principaux</w:t>
      </w:r>
    </w:p>
    <w:tbl>
      <w:tblPr>
        <w:tblStyle w:val="TableGrid"/>
        <w:tblW w:w="10080" w:type="dxa"/>
        <w:jc w:val="center"/>
        <w:tblLayout w:type="fixed"/>
        <w:tblLook w:val="04A0" w:firstRow="1" w:lastRow="0" w:firstColumn="1" w:lastColumn="0" w:noHBand="0" w:noVBand="1"/>
      </w:tblPr>
      <w:tblGrid>
        <w:gridCol w:w="2600"/>
        <w:gridCol w:w="7480"/>
      </w:tblGrid>
      <w:tr>
        <w:trPr>
          <w:cantSplit/>
          <w:tblHeader/>
          <w:jc w:val="center"/>
        </w:trPr>
        <w:tc>
          <w:tcPr>
            <w:tcW w:w="2600" w:type="dxa"/>
            <w:shd w:val="clear" w:color="auto" w:fill="15365B"/>
            <w:vAlign w:val="center"/>
          </w:tcPr>
          <w:p w14:paraId="2C39160C" w14:textId="77777777">
            <w:pPr>
              <w:spacing w:after="20"/>
            </w:pPr>
            <w:r>
              <w:rPr>
                <w:b/>
                <w:color w:val="FFFFFF"/>
                <w:sz w:val="16"/>
              </w:rPr>
              <w:t xml:space="preserve">Écran</w:t>
            </w:r>
          </w:p>
        </w:tc>
        <w:tc>
          <w:tcPr>
            <w:tcW w:w="7480" w:type="dxa"/>
            <w:shd w:val="clear" w:color="auto" w:fill="15365B"/>
            <w:vAlign w:val="center"/>
          </w:tcPr>
          <w:p w14:paraId="363988BF" w14:textId="77777777">
            <w:pPr>
              <w:spacing w:after="20"/>
            </w:pPr>
            <w:r>
              <w:rPr>
                <w:b/>
                <w:color w:val="FFFFFF"/>
                <w:sz w:val="16"/>
              </w:rPr>
              <w:t xml:space="preserve">Contenu minimum</w:t>
            </w:r>
          </w:p>
        </w:tc>
      </w:tr>
      <w:tr>
        <w:trPr>
          <w:cantSplit/>
          <w:jc w:val="center"/>
        </w:trPr>
        <w:tc>
          <w:tcPr>
            <w:tcW w:w="2600" w:type="dxa"/>
            <w:vAlign w:val="center"/>
          </w:tcPr>
          <w:p w14:paraId="40FA212E" w14:textId="77777777">
            <w:pPr>
              <w:spacing w:after="20"/>
            </w:pPr>
            <w:r>
              <w:rPr>
                <w:sz w:val="16"/>
              </w:rPr>
              <w:t xml:space="preserve">Tableau de bord</w:t>
            </w:r>
          </w:p>
        </w:tc>
        <w:tc>
          <w:tcPr>
            <w:tcW w:w="7480" w:type="dxa"/>
            <w:vAlign w:val="center"/>
          </w:tcPr>
          <w:p w14:paraId="28ACC17A" w14:textId="77777777">
            <w:pPr>
              <w:spacing w:after="20"/>
            </w:pPr>
            <w:r>
              <w:rPr>
                <w:sz w:val="16"/>
              </w:rPr>
              <w:t xml:space="preserve">Dossiers actifs, conteneurs en transit, échéances (paiement 1, solde), retards, soldes dus, devis expirés, véhicules non réclamés.</w:t>
            </w:r>
          </w:p>
        </w:tc>
      </w:tr>
      <w:tr>
        <w:trPr>
          <w:cantSplit/>
          <w:jc w:val="center"/>
        </w:trPr>
        <w:tc>
          <w:tcPr>
            <w:tcW w:w="2600" w:type="dxa"/>
            <w:shd w:val="clear" w:color="auto" w:fill="F1F5F9"/>
            <w:vAlign w:val="center"/>
          </w:tcPr>
          <w:p w14:paraId="2CB41F24" w14:textId="77777777">
            <w:pPr>
              <w:spacing w:after="20"/>
            </w:pPr>
            <w:r>
              <w:rPr>
                <w:sz w:val="16"/>
              </w:rPr>
              <w:t xml:space="preserve">Liste des dossiers</w:t>
            </w:r>
          </w:p>
        </w:tc>
        <w:tc>
          <w:tcPr>
            <w:tcW w:w="7480" w:type="dxa"/>
            <w:shd w:val="clear" w:color="auto" w:fill="F1F5F9"/>
            <w:vAlign w:val="center"/>
          </w:tcPr>
          <w:p w14:paraId="7FF4229C" w14:textId="77777777">
            <w:pPr>
              <w:spacing w:after="20"/>
            </w:pPr>
            <w:r>
              <w:rPr>
                <w:sz w:val="16"/>
              </w:rPr>
              <w:t xml:space="preserve">Référence, client, véhicule, étape, dernière mise à jour, responsable et solde.</w:t>
            </w:r>
          </w:p>
        </w:tc>
      </w:tr>
      <w:tr>
        <w:trPr>
          <w:cantSplit/>
          <w:jc w:val="center"/>
        </w:trPr>
        <w:tc>
          <w:tcPr>
            <w:tcW w:w="2600" w:type="dxa"/>
            <w:vAlign w:val="center"/>
          </w:tcPr>
          <w:p w14:paraId="671B205C" w14:textId="77777777">
            <w:pPr>
              <w:spacing w:after="20"/>
            </w:pPr>
            <w:r>
              <w:rPr>
                <w:sz w:val="16"/>
              </w:rPr>
              <w:t xml:space="preserve">Ordre d’achat</w:t>
            </w:r>
          </w:p>
        </w:tc>
        <w:tc>
          <w:tcPr>
            <w:tcW w:w="7480" w:type="dxa"/>
            <w:vAlign w:val="center"/>
          </w:tcPr>
          <w:p w14:paraId="79980E05" w14:textId="77777777">
            <w:pPr>
              <w:spacing w:after="20"/>
            </w:pPr>
            <w:r>
              <w:rPr>
                <w:sz w:val="16"/>
              </w:rPr>
              <w:t xml:space="preserve">Saisie, enchère maximale, contrôle de l’âge, confirmations du client, signature, dépôt.</w:t>
            </w:r>
          </w:p>
        </w:tc>
      </w:tr>
      <w:tr>
        <w:trPr>
          <w:cantSplit/>
          <w:jc w:val="center"/>
        </w:trPr>
        <w:tc>
          <w:tcPr>
            <w:tcW w:w="2600" w:type="dxa"/>
            <w:shd w:val="clear" w:color="auto" w:fill="F1F5F9"/>
            <w:vAlign w:val="center"/>
          </w:tcPr>
          <w:p w14:paraId="620D71BC" w14:textId="77777777">
            <w:pPr>
              <w:spacing w:after="20"/>
            </w:pPr>
            <w:r>
              <w:rPr>
                <w:sz w:val="16"/>
              </w:rPr>
              <w:t xml:space="preserve">Fiche véhicule</w:t>
            </w:r>
          </w:p>
        </w:tc>
        <w:tc>
          <w:tcPr>
            <w:tcW w:w="7480" w:type="dxa"/>
            <w:shd w:val="clear" w:color="auto" w:fill="F1F5F9"/>
            <w:vAlign w:val="center"/>
          </w:tcPr>
          <w:p w14:paraId="51E5115E" w14:textId="77777777">
            <w:pPr>
              <w:spacing w:after="20"/>
            </w:pPr>
            <w:r>
              <w:rPr>
                <w:sz w:val="16"/>
              </w:rPr>
              <w:t xml:space="preserve">Identité, chronologie, forfaits, coûts internes (selon les droits), documents, notes et réclamations.</w:t>
            </w:r>
          </w:p>
        </w:tc>
      </w:tr>
      <w:tr>
        <w:trPr>
          <w:cantSplit/>
          <w:jc w:val="center"/>
        </w:trPr>
        <w:tc>
          <w:tcPr>
            <w:tcW w:w="2600" w:type="dxa"/>
            <w:vAlign w:val="center"/>
          </w:tcPr>
          <w:p w14:paraId="6BEA544C" w14:textId="77777777">
            <w:pPr>
              <w:spacing w:after="20"/>
            </w:pPr>
            <w:r>
              <w:rPr>
                <w:sz w:val="16"/>
              </w:rPr>
              <w:t xml:space="preserve">Fiche conteneur</w:t>
            </w:r>
          </w:p>
        </w:tc>
        <w:tc>
          <w:tcPr>
            <w:tcW w:w="7480" w:type="dxa"/>
            <w:vAlign w:val="center"/>
          </w:tcPr>
          <w:p w14:paraId="2212EFA3" w14:textId="77777777">
            <w:pPr>
              <w:spacing w:after="20"/>
            </w:pPr>
            <w:r>
              <w:rPr>
                <w:sz w:val="16"/>
              </w:rPr>
              <w:t xml:space="preserve">Conteneur, navire, voyage, transporteur, lien de suivi, références, événements, historique de l’ETA.</w:t>
            </w:r>
          </w:p>
        </w:tc>
      </w:tr>
      <w:tr>
        <w:trPr>
          <w:cantSplit/>
          <w:jc w:val="center"/>
        </w:trPr>
        <w:tc>
          <w:tcPr>
            <w:tcW w:w="2600" w:type="dxa"/>
            <w:shd w:val="clear" w:color="auto" w:fill="F1F5F9"/>
            <w:vAlign w:val="center"/>
          </w:tcPr>
          <w:p w14:paraId="3CC55215" w14:textId="77777777">
            <w:pPr>
              <w:spacing w:after="20"/>
            </w:pPr>
            <w:r>
              <w:rPr>
                <w:sz w:val="16"/>
              </w:rPr>
              <w:t xml:space="preserve">Devis et factures</w:t>
            </w:r>
          </w:p>
        </w:tc>
        <w:tc>
          <w:tcPr>
            <w:tcW w:w="7480" w:type="dxa"/>
            <w:shd w:val="clear" w:color="auto" w:fill="F1F5F9"/>
            <w:vAlign w:val="center"/>
          </w:tcPr>
          <w:p w14:paraId="1D430A32" w14:textId="77777777">
            <w:pPr>
              <w:spacing w:after="20"/>
            </w:pPr>
            <w:r>
              <w:rPr>
                <w:sz w:val="16"/>
              </w:rPr>
              <w:t xml:space="preserve">Génération des devis, factures d’acompte et de solde au format Word/PDF à partir des modèles validés.</w:t>
            </w:r>
          </w:p>
        </w:tc>
      </w:tr>
      <w:tr>
        <w:trPr>
          <w:cantSplit/>
          <w:jc w:val="center"/>
        </w:trPr>
        <w:tc>
          <w:tcPr>
            <w:tcW w:w="2600" w:type="dxa"/>
            <w:vAlign w:val="center"/>
          </w:tcPr>
          <w:p w14:paraId="7981FF13" w14:textId="77777777">
            <w:pPr>
              <w:spacing w:after="20"/>
            </w:pPr>
            <w:r>
              <w:rPr>
                <w:sz w:val="16"/>
              </w:rPr>
              <w:t xml:space="preserve">Finances</w:t>
            </w:r>
          </w:p>
        </w:tc>
        <w:tc>
          <w:tcPr>
            <w:tcW w:w="7480" w:type="dxa"/>
            <w:vAlign w:val="center"/>
          </w:tcPr>
          <w:p w14:paraId="70008537" w14:textId="77777777">
            <w:pPr>
              <w:spacing w:after="20"/>
            </w:pPr>
            <w:r>
              <w:rPr>
                <w:sz w:val="16"/>
              </w:rPr>
              <w:t xml:space="preserve">Paiements, soldes, échéances, frais de retard, justificatifs et taux de change.</w:t>
            </w:r>
          </w:p>
        </w:tc>
      </w:tr>
      <w:tr>
        <w:trPr>
          <w:cantSplit/>
          <w:jc w:val="center"/>
        </w:trPr>
        <w:tc>
          <w:tcPr>
            <w:tcW w:w="2600" w:type="dxa"/>
            <w:shd w:val="clear" w:color="auto" w:fill="F1F5F9"/>
            <w:vAlign w:val="center"/>
          </w:tcPr>
          <w:p w14:paraId="3C493DC6" w14:textId="77777777">
            <w:pPr>
              <w:spacing w:after="20"/>
            </w:pPr>
            <w:r>
              <w:rPr>
                <w:sz w:val="16"/>
              </w:rPr>
              <w:t xml:space="preserve">Documents</w:t>
            </w:r>
          </w:p>
        </w:tc>
        <w:tc>
          <w:tcPr>
            <w:tcW w:w="7480" w:type="dxa"/>
            <w:shd w:val="clear" w:color="auto" w:fill="F1F5F9"/>
            <w:vAlign w:val="center"/>
          </w:tcPr>
          <w:p w14:paraId="182214F5" w14:textId="77777777">
            <w:pPr>
              <w:spacing w:after="20"/>
            </w:pPr>
            <w:r>
              <w:rPr>
                <w:sz w:val="16"/>
              </w:rPr>
              <w:t xml:space="preserve">Type, dossier, version, date et droits d’accès (interne ou visible par le client).</w:t>
            </w:r>
          </w:p>
        </w:tc>
      </w:tr>
      <w:tr>
        <w:trPr>
          <w:cantSplit/>
          <w:jc w:val="center"/>
        </w:trPr>
        <w:tc>
          <w:tcPr>
            <w:tcW w:w="2600" w:type="dxa"/>
            <w:vAlign w:val="center"/>
          </w:tcPr>
          <w:p w14:paraId="440660C9" w14:textId="77777777">
            <w:pPr>
              <w:spacing w:after="20"/>
            </w:pPr>
            <w:r>
              <w:rPr>
                <w:sz w:val="16"/>
              </w:rPr>
              <w:t xml:space="preserve">Portail client</w:t>
            </w:r>
          </w:p>
        </w:tc>
        <w:tc>
          <w:tcPr>
            <w:tcW w:w="7480" w:type="dxa"/>
            <w:vAlign w:val="center"/>
          </w:tcPr>
          <w:p w14:paraId="27530B45" w14:textId="77777777">
            <w:pPr>
              <w:spacing w:after="20"/>
            </w:pPr>
            <w:r>
              <w:rPr>
                <w:sz w:val="16"/>
              </w:rPr>
              <w:t xml:space="preserve">Ses véhicules, étapes, devis à valider et choix d’assurance, montants en USD et FCFA, paiements, documents autorisés et tracking.</w:t>
            </w:r>
          </w:p>
        </w:tc>
      </w:tr>
      <w:tr>
        <w:trPr>
          <w:cantSplit/>
          <w:jc w:val="center"/>
        </w:trPr>
        <w:tc>
          <w:tcPr>
            <w:tcW w:w="2600" w:type="dxa"/>
            <w:shd w:val="clear" w:color="auto" w:fill="F1F5F9"/>
            <w:vAlign w:val="center"/>
          </w:tcPr>
          <w:p w14:paraId="755CC50D" w14:textId="77777777">
            <w:pPr>
              <w:spacing w:after="20"/>
            </w:pPr>
            <w:r>
              <w:rPr>
                <w:sz w:val="16"/>
              </w:rPr>
              <w:t xml:space="preserve">Paramètres</w:t>
            </w:r>
          </w:p>
        </w:tc>
        <w:tc>
          <w:tcPr>
            <w:tcW w:w="7480" w:type="dxa"/>
            <w:shd w:val="clear" w:color="auto" w:fill="F1F5F9"/>
            <w:vAlign w:val="center"/>
          </w:tcPr>
          <w:p w14:paraId="30E179EF" w14:textId="77777777">
            <w:pPr>
              <w:spacing w:after="20"/>
            </w:pPr>
            <w:r>
              <w:rPr>
                <w:sz w:val="16"/>
              </w:rPr>
              <w:t xml:space="preserve">Transporteurs et liens, taux de change, règles contractuelles (section 6), comptes officiels, utilisateurs.</w:t>
            </w:r>
          </w:p>
        </w:tc>
      </w:tr>
      <w:tr>
        <w:trPr>
          <w:cantSplit/>
          <w:jc w:val="center"/>
        </w:trPr>
        <w:tc>
          <w:tcPr>
            <w:tcW w:w="2600" w:type="dxa"/>
            <w:vAlign w:val="center"/>
          </w:tcPr>
          <w:p w14:paraId="7C7E6304" w14:textId="77777777">
            <w:pPr>
              <w:spacing w:after="20"/>
            </w:pPr>
            <w:r>
              <w:rPr>
                <w:sz w:val="16"/>
              </w:rPr>
              <w:t xml:space="preserve">Rapports</w:t>
            </w:r>
          </w:p>
        </w:tc>
        <w:tc>
          <w:tcPr>
            <w:tcW w:w="7480" w:type="dxa"/>
            <w:vAlign w:val="center"/>
          </w:tcPr>
          <w:p w14:paraId="13CCD0D3" w14:textId="77777777">
            <w:pPr>
              <w:spacing w:after="20"/>
            </w:pPr>
            <w:r>
              <w:rPr>
                <w:sz w:val="16"/>
              </w:rPr>
              <w:t xml:space="preserve">Exports Excel/CSV selon les droits.</w:t>
            </w:r>
          </w:p>
        </w:tc>
      </w:tr>
    </w:tbl>
    <w:p w14:paraId="251807B8" w14:textId="77777777"/>
    <w:p w14:paraId="71008F58" w14:textId="77777777">
      <w:pPr>
        <w:pStyle w:val="Heading1"/>
      </w:pPr>
      <w:r>
        <w:t xml:space="preserve">9. Rôles et autorisations</w:t>
      </w:r>
    </w:p>
    <w:tbl>
      <w:tblPr>
        <w:tblStyle w:val="TableGrid"/>
        <w:tblW w:w="10080" w:type="dxa"/>
        <w:jc w:val="center"/>
        <w:tblLayout w:type="fixed"/>
        <w:tblLook w:val="04A0" w:firstRow="1" w:lastRow="0" w:firstColumn="1" w:lastColumn="0" w:noHBand="0" w:noVBand="1"/>
      </w:tblPr>
      <w:tblGrid>
        <w:gridCol w:w="2600"/>
        <w:gridCol w:w="7480"/>
      </w:tblGrid>
      <w:tr>
        <w:trPr>
          <w:cantSplit/>
          <w:tblHeader/>
          <w:jc w:val="center"/>
        </w:trPr>
        <w:tc>
          <w:tcPr>
            <w:tcW w:w="2600" w:type="dxa"/>
            <w:shd w:val="clear" w:color="auto" w:fill="15365B"/>
            <w:vAlign w:val="center"/>
          </w:tcPr>
          <w:p w14:paraId="5FE946C0" w14:textId="77777777">
            <w:pPr>
              <w:spacing w:after="20"/>
            </w:pPr>
            <w:r>
              <w:rPr>
                <w:b/>
                <w:color w:val="FFFFFF"/>
                <w:sz w:val="16"/>
              </w:rPr>
              <w:t xml:space="preserve">Rôle</w:t>
            </w:r>
          </w:p>
        </w:tc>
        <w:tc>
          <w:tcPr>
            <w:tcW w:w="7480" w:type="dxa"/>
            <w:shd w:val="clear" w:color="auto" w:fill="15365B"/>
            <w:vAlign w:val="center"/>
          </w:tcPr>
          <w:p w14:paraId="4CB11752" w14:textId="77777777">
            <w:pPr>
              <w:spacing w:after="20"/>
            </w:pPr>
            <w:r>
              <w:rPr>
                <w:b/>
                <w:color w:val="FFFFFF"/>
                <w:sz w:val="16"/>
              </w:rPr>
              <w:t xml:space="preserve">Autorisations</w:t>
            </w:r>
          </w:p>
        </w:tc>
      </w:tr>
      <w:tr>
        <w:trPr>
          <w:cantSplit/>
          <w:jc w:val="center"/>
        </w:trPr>
        <w:tc>
          <w:tcPr>
            <w:tcW w:w="2600" w:type="dxa"/>
            <w:vAlign w:val="center"/>
          </w:tcPr>
          <w:p w14:paraId="549548E6" w14:textId="77777777">
            <w:pPr>
              <w:spacing w:after="20"/>
            </w:pPr>
            <w:r>
              <w:rPr>
                <w:sz w:val="16"/>
              </w:rPr>
              <w:t xml:space="preserve">Administrateur</w:t>
            </w:r>
          </w:p>
        </w:tc>
        <w:tc>
          <w:tcPr>
            <w:tcW w:w="7480" w:type="dxa"/>
            <w:vAlign w:val="center"/>
          </w:tcPr>
          <w:p w14:paraId="550E899A" w14:textId="77777777">
            <w:pPr>
              <w:spacing w:after="20"/>
            </w:pPr>
            <w:r>
              <w:rPr>
                <w:sz w:val="16"/>
              </w:rPr>
              <w:t xml:space="preserve">Accès global, configuration, utilisateurs, transporteurs, règles contractuelles, comptes officiels et rapports.</w:t>
            </w:r>
          </w:p>
        </w:tc>
      </w:tr>
      <w:tr>
        <w:trPr>
          <w:cantSplit/>
          <w:jc w:val="center"/>
        </w:trPr>
        <w:tc>
          <w:tcPr>
            <w:tcW w:w="2600" w:type="dxa"/>
            <w:shd w:val="clear" w:color="auto" w:fill="F1F5F9"/>
            <w:vAlign w:val="center"/>
          </w:tcPr>
          <w:p w14:paraId="7C236D3D" w14:textId="77777777">
            <w:pPr>
              <w:spacing w:after="20"/>
            </w:pPr>
            <w:r>
              <w:rPr>
                <w:sz w:val="16"/>
              </w:rPr>
              <w:t xml:space="preserve">Agent opérations</w:t>
            </w:r>
          </w:p>
        </w:tc>
        <w:tc>
          <w:tcPr>
            <w:tcW w:w="7480" w:type="dxa"/>
            <w:shd w:val="clear" w:color="auto" w:fill="F1F5F9"/>
            <w:vAlign w:val="center"/>
          </w:tcPr>
          <w:p w14:paraId="1FDD886C" w14:textId="77777777">
            <w:pPr>
              <w:spacing w:after="20"/>
            </w:pPr>
            <w:r>
              <w:rPr>
                <w:sz w:val="16"/>
              </w:rPr>
              <w:t xml:space="preserve">Dossiers, ordres d’achat, étapes logistiques, conteneurs, tracking et documents opérationnels.</w:t>
            </w:r>
          </w:p>
        </w:tc>
      </w:tr>
      <w:tr>
        <w:trPr>
          <w:cantSplit/>
          <w:jc w:val="center"/>
        </w:trPr>
        <w:tc>
          <w:tcPr>
            <w:tcW w:w="2600" w:type="dxa"/>
            <w:vAlign w:val="center"/>
          </w:tcPr>
          <w:p w14:paraId="60708A6F" w14:textId="77777777">
            <w:pPr>
              <w:spacing w:after="20"/>
            </w:pPr>
            <w:r>
              <w:rPr>
                <w:sz w:val="16"/>
              </w:rPr>
              <w:t xml:space="preserve">Comptabilité</w:t>
            </w:r>
          </w:p>
        </w:tc>
        <w:tc>
          <w:tcPr>
            <w:tcW w:w="7480" w:type="dxa"/>
            <w:vAlign w:val="center"/>
          </w:tcPr>
          <w:p w14:paraId="278832C9" w14:textId="77777777">
            <w:pPr>
              <w:spacing w:after="20"/>
            </w:pPr>
            <w:r>
              <w:rPr>
                <w:sz w:val="16"/>
              </w:rPr>
              <w:t xml:space="preserve">Coûts internes, forfaits, devis, factures, paiements, soldes, taux de change et rapprochements.</w:t>
            </w:r>
          </w:p>
        </w:tc>
      </w:tr>
      <w:tr>
        <w:trPr>
          <w:cantSplit/>
          <w:jc w:val="center"/>
        </w:trPr>
        <w:tc>
          <w:tcPr>
            <w:tcW w:w="2600" w:type="dxa"/>
            <w:shd w:val="clear" w:color="auto" w:fill="F1F5F9"/>
            <w:vAlign w:val="center"/>
          </w:tcPr>
          <w:p w14:paraId="21109D18" w14:textId="77777777">
            <w:pPr>
              <w:spacing w:after="20"/>
            </w:pPr>
            <w:r>
              <w:rPr>
                <w:sz w:val="16"/>
              </w:rPr>
              <w:t xml:space="preserve">Direction</w:t>
            </w:r>
          </w:p>
        </w:tc>
        <w:tc>
          <w:tcPr>
            <w:tcW w:w="7480" w:type="dxa"/>
            <w:shd w:val="clear" w:color="auto" w:fill="F1F5F9"/>
            <w:vAlign w:val="center"/>
          </w:tcPr>
          <w:p w14:paraId="22B127E0" w14:textId="77777777">
            <w:pPr>
              <w:spacing w:after="20"/>
            </w:pPr>
            <w:r>
              <w:rPr>
                <w:sz w:val="16"/>
              </w:rPr>
              <w:t xml:space="preserve">Indicateurs, marges et rapports globaux.</w:t>
            </w:r>
          </w:p>
        </w:tc>
      </w:tr>
      <w:tr>
        <w:trPr>
          <w:cantSplit/>
          <w:jc w:val="center"/>
        </w:trPr>
        <w:tc>
          <w:tcPr>
            <w:tcW w:w="2600" w:type="dxa"/>
            <w:vAlign w:val="center"/>
          </w:tcPr>
          <w:p w14:paraId="7597B9BB" w14:textId="77777777">
            <w:pPr>
              <w:spacing w:after="20"/>
            </w:pPr>
            <w:r>
              <w:rPr>
                <w:sz w:val="16"/>
              </w:rPr>
              <w:t xml:space="preserve">Client</w:t>
            </w:r>
          </w:p>
        </w:tc>
        <w:tc>
          <w:tcPr>
            <w:tcW w:w="7480" w:type="dxa"/>
            <w:vAlign w:val="center"/>
          </w:tcPr>
          <w:p w14:paraId="442CEEA5" w14:textId="77777777">
            <w:pPr>
              <w:spacing w:after="20"/>
            </w:pPr>
            <w:r>
              <w:rPr>
                <w:sz w:val="16"/>
              </w:rPr>
              <w:t xml:space="preserve">Uniquement ses dossiers : validation des devis, choix d’assurance, paiements, documents autorisés et tracking. Aucun accès au détail interne des coûts.</w:t>
            </w:r>
          </w:p>
        </w:tc>
      </w:tr>
    </w:tbl>
    <w:p w14:paraId="3BABA1CE" w14:textId="77777777"/>
    <w:p w14:paraId="6D6C183A" w14:textId="77777777">
      <w:r>
        <w:t xml:space="preserve">Les autorisations doivent être appliquées côté serveur et dans la base de données, pas uniquement en masquant des éléments de l’interface.</w:t>
      </w:r>
    </w:p>
    <w:p w14:paraId="1A39BDA4" w14:textId="77777777">
      <w:pPr>
        <w:pStyle w:val="Heading1"/>
      </w:pPr>
      <w:r>
        <w:t xml:space="preserve">10. Données principales</w:t>
      </w:r>
    </w:p>
    <w:tbl>
      <w:tblPr>
        <w:tblStyle w:val="TableGrid"/>
        <w:tblW w:w="10080" w:type="dxa"/>
        <w:jc w:val="center"/>
        <w:tblLayout w:type="fixed"/>
        <w:tblLook w:val="04A0" w:firstRow="1" w:lastRow="0" w:firstColumn="1" w:lastColumn="0" w:noHBand="0" w:noVBand="1"/>
      </w:tblPr>
      <w:tblGrid>
        <w:gridCol w:w="2600"/>
        <w:gridCol w:w="7480"/>
      </w:tblGrid>
      <w:tr>
        <w:trPr>
          <w:cantSplit/>
          <w:tblHeader/>
          <w:jc w:val="center"/>
        </w:trPr>
        <w:tc>
          <w:tcPr>
            <w:tcW w:w="2600" w:type="dxa"/>
            <w:shd w:val="clear" w:color="auto" w:fill="15365B"/>
            <w:vAlign w:val="center"/>
          </w:tcPr>
          <w:p w14:paraId="770C855E" w14:textId="77777777">
            <w:pPr>
              <w:spacing w:after="20"/>
            </w:pPr>
            <w:r>
              <w:rPr>
                <w:b/>
                <w:color w:val="FFFFFF"/>
                <w:sz w:val="16"/>
              </w:rPr>
              <w:t xml:space="preserve">Entité</w:t>
            </w:r>
          </w:p>
        </w:tc>
        <w:tc>
          <w:tcPr>
            <w:tcW w:w="7480" w:type="dxa"/>
            <w:shd w:val="clear" w:color="auto" w:fill="15365B"/>
            <w:vAlign w:val="center"/>
          </w:tcPr>
          <w:p w14:paraId="5599B4FF" w14:textId="77777777">
            <w:pPr>
              <w:spacing w:after="20"/>
            </w:pPr>
            <w:r>
              <w:rPr>
                <w:b/>
                <w:color w:val="FFFFFF"/>
                <w:sz w:val="16"/>
              </w:rPr>
              <w:t xml:space="preserve">Champs principaux</w:t>
            </w:r>
          </w:p>
        </w:tc>
      </w:tr>
      <w:tr>
        <w:trPr>
          <w:cantSplit/>
          <w:jc w:val="center"/>
        </w:trPr>
        <w:tc>
          <w:tcPr>
            <w:tcW w:w="2600" w:type="dxa"/>
            <w:vAlign w:val="center"/>
          </w:tcPr>
          <w:p w14:paraId="759F996C" w14:textId="77777777">
            <w:pPr>
              <w:spacing w:after="20"/>
            </w:pPr>
            <w:r>
              <w:rPr>
                <w:sz w:val="16"/>
              </w:rPr>
              <w:t xml:space="preserve">Client</w:t>
            </w:r>
          </w:p>
        </w:tc>
        <w:tc>
          <w:tcPr>
            <w:tcW w:w="7480" w:type="dxa"/>
            <w:vAlign w:val="center"/>
          </w:tcPr>
          <w:p w14:paraId="64D4CACC" w14:textId="77777777">
            <w:pPr>
              <w:spacing w:after="20"/>
            </w:pPr>
            <w:r>
              <w:rPr>
                <w:sz w:val="16"/>
              </w:rPr>
              <w:t xml:space="preserve">ID, nom, pièce d’identité ou NINEA/RCCM, téléphone et e-mail de notification, adresse, statut, consentement et date de création.</w:t>
            </w:r>
          </w:p>
        </w:tc>
      </w:tr>
      <w:tr>
        <w:trPr>
          <w:cantSplit/>
          <w:jc w:val="center"/>
        </w:trPr>
        <w:tc>
          <w:tcPr>
            <w:tcW w:w="2600" w:type="dxa"/>
            <w:shd w:val="clear" w:color="auto" w:fill="F1F5F9"/>
            <w:vAlign w:val="center"/>
          </w:tcPr>
          <w:p w14:paraId="50851A10" w14:textId="77777777">
            <w:pPr>
              <w:spacing w:after="20"/>
            </w:pPr>
            <w:r>
              <w:rPr>
                <w:sz w:val="16"/>
              </w:rPr>
              <w:t xml:space="preserve">Ordre d’achat</w:t>
            </w:r>
          </w:p>
        </w:tc>
        <w:tc>
          <w:tcPr>
            <w:tcW w:w="7480" w:type="dxa"/>
            <w:shd w:val="clear" w:color="auto" w:fill="F1F5F9"/>
            <w:vAlign w:val="center"/>
          </w:tcPr>
          <w:p w14:paraId="2E8D3189" w14:textId="77777777">
            <w:pPr>
              <w:spacing w:after="20"/>
            </w:pPr>
            <w:r>
              <w:rPr>
                <w:sz w:val="16"/>
              </w:rPr>
              <w:t xml:space="preserve">ID, client, plateforme, lot, VIN, enchère maximale, dépôt, confirmations, date et heure de signature.</w:t>
            </w:r>
          </w:p>
        </w:tc>
      </w:tr>
      <w:tr>
        <w:trPr>
          <w:cantSplit/>
          <w:jc w:val="center"/>
        </w:trPr>
        <w:tc>
          <w:tcPr>
            <w:tcW w:w="2600" w:type="dxa"/>
            <w:vAlign w:val="center"/>
          </w:tcPr>
          <w:p w14:paraId="3465A2E1" w14:textId="77777777">
            <w:pPr>
              <w:spacing w:after="20"/>
            </w:pPr>
            <w:r>
              <w:rPr>
                <w:sz w:val="16"/>
              </w:rPr>
              <w:t xml:space="preserve">Dossier véhicule</w:t>
            </w:r>
          </w:p>
        </w:tc>
        <w:tc>
          <w:tcPr>
            <w:tcW w:w="7480" w:type="dxa"/>
            <w:vAlign w:val="center"/>
          </w:tcPr>
          <w:p w14:paraId="59EA6FE2" w14:textId="77777777">
            <w:pPr>
              <w:spacing w:after="20"/>
            </w:pPr>
            <w:r>
              <w:rPr>
                <w:sz w:val="16"/>
              </w:rPr>
              <w:t xml:space="preserve">ID, client, contrat, VIN, marque, modèle, année, kilométrage, titre, clés, lot, plateforme, statut, propriété transférée et dates.</w:t>
            </w:r>
          </w:p>
        </w:tc>
      </w:tr>
      <w:tr>
        <w:trPr>
          <w:cantSplit/>
          <w:jc w:val="center"/>
        </w:trPr>
        <w:tc>
          <w:tcPr>
            <w:tcW w:w="2600" w:type="dxa"/>
            <w:shd w:val="clear" w:color="auto" w:fill="F1F5F9"/>
            <w:vAlign w:val="center"/>
          </w:tcPr>
          <w:p w14:paraId="36E26210" w14:textId="77777777">
            <w:pPr>
              <w:spacing w:after="20"/>
            </w:pPr>
            <w:r>
              <w:rPr>
                <w:sz w:val="16"/>
              </w:rPr>
              <w:t xml:space="preserve">Coût interne</w:t>
            </w:r>
          </w:p>
        </w:tc>
        <w:tc>
          <w:tcPr>
            <w:tcW w:w="7480" w:type="dxa"/>
            <w:shd w:val="clear" w:color="auto" w:fill="F1F5F9"/>
            <w:vAlign w:val="center"/>
          </w:tcPr>
          <w:p w14:paraId="10918E82" w14:textId="77777777">
            <w:pPr>
              <w:spacing w:after="20"/>
            </w:pPr>
            <w:r>
              <w:rPr>
                <w:sz w:val="16"/>
              </w:rPr>
              <w:t xml:space="preserve">Type de frais, devise, montant, justificatif et auteur (non visible par le client).</w:t>
            </w:r>
          </w:p>
        </w:tc>
      </w:tr>
      <w:tr>
        <w:trPr>
          <w:cantSplit/>
          <w:jc w:val="center"/>
        </w:trPr>
        <w:tc>
          <w:tcPr>
            <w:tcW w:w="2600" w:type="dxa"/>
            <w:vAlign w:val="center"/>
          </w:tcPr>
          <w:p w14:paraId="6CD8B58E" w14:textId="77777777">
            <w:pPr>
              <w:spacing w:after="20"/>
            </w:pPr>
            <w:r>
              <w:rPr>
                <w:sz w:val="16"/>
              </w:rPr>
              <w:t xml:space="preserve">Devis / facture</w:t>
            </w:r>
          </w:p>
        </w:tc>
        <w:tc>
          <w:tcPr>
            <w:tcW w:w="7480" w:type="dxa"/>
            <w:vAlign w:val="center"/>
          </w:tcPr>
          <w:p w14:paraId="258A499C" w14:textId="77777777">
            <w:pPr>
              <w:spacing w:after="20"/>
            </w:pPr>
            <w:r>
              <w:rPr>
                <w:sz w:val="16"/>
              </w:rPr>
              <w:t xml:space="preserve">Type (DV, FA, FS), numéro, forfaits A et B, assurance (choix et montant), ajustements, TVA, taux de change et date de relevé, échéance, statut.</w:t>
            </w:r>
          </w:p>
        </w:tc>
      </w:tr>
      <w:tr>
        <w:trPr>
          <w:cantSplit/>
          <w:jc w:val="center"/>
        </w:trPr>
        <w:tc>
          <w:tcPr>
            <w:tcW w:w="2600" w:type="dxa"/>
            <w:shd w:val="clear" w:color="auto" w:fill="F1F5F9"/>
            <w:vAlign w:val="center"/>
          </w:tcPr>
          <w:p w14:paraId="7F589920" w14:textId="77777777">
            <w:pPr>
              <w:spacing w:after="20"/>
            </w:pPr>
            <w:r>
              <w:rPr>
                <w:sz w:val="16"/>
              </w:rPr>
              <w:t xml:space="preserve">Paiement</w:t>
            </w:r>
          </w:p>
        </w:tc>
        <w:tc>
          <w:tcPr>
            <w:tcW w:w="7480" w:type="dxa"/>
            <w:shd w:val="clear" w:color="auto" w:fill="F1F5F9"/>
            <w:vAlign w:val="center"/>
          </w:tcPr>
          <w:p w14:paraId="57BB5B80" w14:textId="77777777">
            <w:pPr>
              <w:spacing w:after="20"/>
            </w:pPr>
            <w:r>
              <w:rPr>
                <w:sz w:val="16"/>
              </w:rPr>
              <w:t xml:space="preserve">Montant, devise, date de crédit, mode, référence, compte officiel, preuve et validateur.</w:t>
            </w:r>
          </w:p>
        </w:tc>
      </w:tr>
      <w:tr>
        <w:trPr>
          <w:cantSplit/>
          <w:jc w:val="center"/>
        </w:trPr>
        <w:tc>
          <w:tcPr>
            <w:tcW w:w="2600" w:type="dxa"/>
            <w:vAlign w:val="center"/>
          </w:tcPr>
          <w:p w14:paraId="4BED3CDE" w14:textId="77777777">
            <w:pPr>
              <w:spacing w:after="20"/>
            </w:pPr>
            <w:r>
              <w:rPr>
                <w:sz w:val="16"/>
              </w:rPr>
              <w:t xml:space="preserve">Taux de change</w:t>
            </w:r>
          </w:p>
        </w:tc>
        <w:tc>
          <w:tcPr>
            <w:tcW w:w="7480" w:type="dxa"/>
            <w:vAlign w:val="center"/>
          </w:tcPr>
          <w:p w14:paraId="2F727F68" w14:textId="77777777">
            <w:pPr>
              <w:spacing w:after="20"/>
            </w:pPr>
            <w:r>
              <w:rPr>
                <w:sz w:val="16"/>
              </w:rPr>
              <w:t xml:space="preserve">Taux USD → XOF, source, date et heure du relevé, auteur.</w:t>
            </w:r>
          </w:p>
        </w:tc>
      </w:tr>
      <w:tr>
        <w:trPr>
          <w:cantSplit/>
          <w:jc w:val="center"/>
        </w:trPr>
        <w:tc>
          <w:tcPr>
            <w:tcW w:w="2600" w:type="dxa"/>
            <w:shd w:val="clear" w:color="auto" w:fill="F1F5F9"/>
            <w:vAlign w:val="center"/>
          </w:tcPr>
          <w:p w14:paraId="414B3D33" w14:textId="77777777">
            <w:pPr>
              <w:spacing w:after="20"/>
            </w:pPr>
            <w:r>
              <w:rPr>
                <w:sz w:val="16"/>
              </w:rPr>
              <w:t xml:space="preserve">Conteneur</w:t>
            </w:r>
          </w:p>
        </w:tc>
        <w:tc>
          <w:tcPr>
            <w:tcW w:w="7480" w:type="dxa"/>
            <w:shd w:val="clear" w:color="auto" w:fill="F1F5F9"/>
            <w:vAlign w:val="center"/>
          </w:tcPr>
          <w:p w14:paraId="5B469111" w14:textId="77777777">
            <w:pPr>
              <w:spacing w:after="20"/>
            </w:pPr>
            <w:r>
              <w:rPr>
                <w:sz w:val="16"/>
              </w:rPr>
              <w:t xml:space="preserve">Numéro, transporteur, navire, voyage, ports, départ, ETA, arrivée réelle.</w:t>
            </w:r>
          </w:p>
        </w:tc>
      </w:tr>
      <w:tr>
        <w:trPr>
          <w:cantSplit/>
          <w:jc w:val="center"/>
        </w:trPr>
        <w:tc>
          <w:tcPr>
            <w:tcW w:w="2600" w:type="dxa"/>
            <w:vAlign w:val="center"/>
          </w:tcPr>
          <w:p w14:paraId="4D35B1E7" w14:textId="77777777">
            <w:pPr>
              <w:spacing w:after="20"/>
            </w:pPr>
            <w:r>
              <w:rPr>
                <w:sz w:val="16"/>
              </w:rPr>
              <w:t xml:space="preserve">Expédition</w:t>
            </w:r>
          </w:p>
        </w:tc>
        <w:tc>
          <w:tcPr>
            <w:tcW w:w="7480" w:type="dxa"/>
            <w:vAlign w:val="center"/>
          </w:tcPr>
          <w:p w14:paraId="7017EC10" w14:textId="77777777">
            <w:pPr>
              <w:spacing w:after="20"/>
            </w:pPr>
            <w:r>
              <w:rPr>
                <w:sz w:val="16"/>
              </w:rPr>
              <w:t xml:space="preserve">Dossier, conteneur, Bill of Lading, lien de suivi et son type, événements, source, date de vérification.</w:t>
            </w:r>
          </w:p>
        </w:tc>
      </w:tr>
      <w:tr>
        <w:trPr>
          <w:cantSplit/>
          <w:jc w:val="center"/>
        </w:trPr>
        <w:tc>
          <w:tcPr>
            <w:tcW w:w="2600" w:type="dxa"/>
            <w:shd w:val="clear" w:color="auto" w:fill="F1F5F9"/>
            <w:vAlign w:val="center"/>
          </w:tcPr>
          <w:p w14:paraId="326D9A00" w14:textId="77777777">
            <w:pPr>
              <w:spacing w:after="20"/>
            </w:pPr>
            <w:r>
              <w:rPr>
                <w:sz w:val="16"/>
              </w:rPr>
              <w:t xml:space="preserve">Document</w:t>
            </w:r>
          </w:p>
        </w:tc>
        <w:tc>
          <w:tcPr>
            <w:tcW w:w="7480" w:type="dxa"/>
            <w:shd w:val="clear" w:color="auto" w:fill="F1F5F9"/>
            <w:vAlign w:val="center"/>
          </w:tcPr>
          <w:p w14:paraId="13F52BE1" w14:textId="77777777">
            <w:pPr>
              <w:spacing w:after="20"/>
            </w:pPr>
            <w:r>
              <w:rPr>
                <w:sz w:val="16"/>
              </w:rPr>
              <w:t xml:space="preserve">Type, dossier, stockage privé, version, date, droits ; décharges et procurations.</w:t>
            </w:r>
          </w:p>
        </w:tc>
      </w:tr>
      <w:tr>
        <w:trPr>
          <w:cantSplit/>
          <w:jc w:val="center"/>
        </w:trPr>
        <w:tc>
          <w:tcPr>
            <w:tcW w:w="2600" w:type="dxa"/>
            <w:vAlign w:val="center"/>
          </w:tcPr>
          <w:p w14:paraId="19D808B7" w14:textId="77777777">
            <w:pPr>
              <w:spacing w:after="20"/>
            </w:pPr>
            <w:r>
              <w:rPr>
                <w:sz w:val="16"/>
              </w:rPr>
              <w:t xml:space="preserve">Réclamation</w:t>
            </w:r>
          </w:p>
        </w:tc>
        <w:tc>
          <w:tcPr>
            <w:tcW w:w="7480" w:type="dxa"/>
            <w:vAlign w:val="center"/>
          </w:tcPr>
          <w:p w14:paraId="155A178B" w14:textId="77777777">
            <w:pPr>
              <w:spacing w:after="20"/>
            </w:pPr>
            <w:r>
              <w:rPr>
                <w:sz w:val="16"/>
              </w:rPr>
              <w:t xml:space="preserve">Dossier, date, réserves, photos, statut, transmission et réponse.</w:t>
            </w:r>
          </w:p>
        </w:tc>
      </w:tr>
      <w:tr>
        <w:trPr>
          <w:cantSplit/>
          <w:jc w:val="center"/>
        </w:trPr>
        <w:tc>
          <w:tcPr>
            <w:tcW w:w="2600" w:type="dxa"/>
            <w:shd w:val="clear" w:color="auto" w:fill="F1F5F9"/>
            <w:vAlign w:val="center"/>
          </w:tcPr>
          <w:p w14:paraId="57CB7B19" w14:textId="77777777">
            <w:pPr>
              <w:spacing w:after="20"/>
            </w:pPr>
            <w:r>
              <w:rPr>
                <w:sz w:val="16"/>
              </w:rPr>
              <w:t xml:space="preserve">Notification</w:t>
            </w:r>
          </w:p>
        </w:tc>
        <w:tc>
          <w:tcPr>
            <w:tcW w:w="7480" w:type="dxa"/>
            <w:shd w:val="clear" w:color="auto" w:fill="F1F5F9"/>
            <w:vAlign w:val="center"/>
          </w:tcPr>
          <w:p w14:paraId="2AA8CD1B" w14:textId="77777777">
            <w:pPr>
              <w:spacing w:after="20"/>
            </w:pPr>
            <w:r>
              <w:rPr>
                <w:sz w:val="16"/>
              </w:rPr>
              <w:t xml:space="preserve">Destinataire, canal, modèle, date, statut et erreur éventuelle.</w:t>
            </w:r>
          </w:p>
        </w:tc>
      </w:tr>
      <w:tr>
        <w:trPr>
          <w:cantSplit/>
          <w:jc w:val="center"/>
        </w:trPr>
        <w:tc>
          <w:tcPr>
            <w:tcW w:w="2600" w:type="dxa"/>
            <w:vAlign w:val="center"/>
          </w:tcPr>
          <w:p w14:paraId="69F69728" w14:textId="77777777">
            <w:pPr>
              <w:spacing w:after="20"/>
            </w:pPr>
            <w:r>
              <w:rPr>
                <w:sz w:val="16"/>
              </w:rPr>
              <w:t xml:space="preserve">Paramètre contractuel</w:t>
            </w:r>
          </w:p>
        </w:tc>
        <w:tc>
          <w:tcPr>
            <w:tcW w:w="7480" w:type="dxa"/>
            <w:vAlign w:val="center"/>
          </w:tcPr>
          <w:p w14:paraId="4FA5C40C" w14:textId="77777777">
            <w:pPr>
              <w:spacing w:after="20"/>
            </w:pPr>
            <w:r>
              <w:rPr>
                <w:sz w:val="16"/>
              </w:rPr>
              <w:t xml:space="preserve">Règle, valeur, date d’effet, auteur.</w:t>
            </w:r>
          </w:p>
        </w:tc>
      </w:tr>
      <w:tr>
        <w:trPr>
          <w:cantSplit/>
          <w:jc w:val="center"/>
        </w:trPr>
        <w:tc>
          <w:tcPr>
            <w:tcW w:w="2600" w:type="dxa"/>
            <w:shd w:val="clear" w:color="auto" w:fill="F1F5F9"/>
            <w:vAlign w:val="center"/>
          </w:tcPr>
          <w:p w14:paraId="353DE888" w14:textId="77777777">
            <w:pPr>
              <w:spacing w:after="20"/>
            </w:pPr>
            <w:r>
              <w:rPr>
                <w:sz w:val="16"/>
              </w:rPr>
              <w:t xml:space="preserve">Journal d’audit</w:t>
            </w:r>
          </w:p>
        </w:tc>
        <w:tc>
          <w:tcPr>
            <w:tcW w:w="7480" w:type="dxa"/>
            <w:shd w:val="clear" w:color="auto" w:fill="F1F5F9"/>
            <w:vAlign w:val="center"/>
          </w:tcPr>
          <w:p w14:paraId="167EAC15" w14:textId="77777777">
            <w:pPr>
              <w:spacing w:after="20"/>
            </w:pPr>
            <w:r>
              <w:rPr>
                <w:sz w:val="16"/>
              </w:rPr>
              <w:t xml:space="preserve">Utilisateur, action, horodatage, objet et valeurs modifiées pertinentes.</w:t>
            </w:r>
          </w:p>
        </w:tc>
      </w:tr>
    </w:tbl>
    <w:p w14:paraId="31279DCD" w14:textId="77777777"/>
    <w:p w14:paraId="34E63269" w14:textId="77777777">
      <w:pPr>
        <w:pStyle w:val="Heading1"/>
      </w:pPr>
      <w:r>
        <w:t xml:space="preserve">11. Règles métier et alertes</w:t>
      </w:r>
    </w:p>
    <w:p w14:paraId="2BEA154E" w14:textId="77777777">
      <w:pPr>
        <w:pStyle w:val="ListBullet"/>
      </w:pPr>
      <w:r>
        <w:t xml:space="preserve">Un changement d’étape exige les informations requises ou une validation autorisée ; toute exception est motivée et journalisée.</w:t>
      </w:r>
    </w:p>
    <w:p w14:paraId="36ED88B3" w14:textId="77777777">
      <w:pPr>
        <w:pStyle w:val="ListBullet"/>
      </w:pPr>
      <w:r>
        <w:t xml:space="preserve">Aucune enchère n’est saisie au-delà de l’enchère maximale de l’ordre d’achat ; un prix d’adjudication supérieur déclenche une alerte.</w:t>
      </w:r>
    </w:p>
    <w:p w14:paraId="7EACFB3B" w14:textId="77777777">
      <w:pPr>
        <w:pStyle w:val="ListBullet"/>
      </w:pPr>
      <w:r>
        <w:t xml:space="preserve">Les forfaits acceptés ne sont pas recalculés ; seuls les frais supplémentaires approuvés et les frais de retard s’y ajoutent.</w:t>
      </w:r>
    </w:p>
    <w:p w14:paraId="391A2545" w14:textId="77777777">
      <w:pPr>
        <w:pStyle w:val="ListBullet"/>
      </w:pPr>
      <w:r>
        <w:t xml:space="preserve">Autoriser les paiements partiels et recalculer le solde en USD et en FCFA.</w:t>
      </w:r>
    </w:p>
    <w:p w14:paraId="48812F78" w14:textId="77777777">
      <w:pPr>
        <w:pStyle w:val="ListBullet"/>
      </w:pPr>
      <w:r>
        <w:t xml:space="preserve">Calculer les échéances, rappels et frais de retard selon les paramètres de la section 6.</w:t>
      </w:r>
    </w:p>
    <w:p w14:paraId="2266D2F2" w14:textId="77777777">
      <w:pPr>
        <w:pStyle w:val="ListBullet"/>
      </w:pPr>
      <w:r>
        <w:t xml:space="preserve">Présenter l’ETA comme indicative jusqu’à confirmation de l’arrivée réelle.</w:t>
      </w:r>
    </w:p>
    <w:p w14:paraId="6C1F78E9" w14:textId="77777777">
      <w:pPr>
        <w:pStyle w:val="ListBullet"/>
      </w:pPr>
      <w:r>
        <w:t xml:space="preserve">Bloquer la remise des documents tant que le solde n’est pas réglé.</w:t>
      </w:r>
    </w:p>
    <w:p w14:paraId="4EF00934" w14:textId="77777777">
      <w:pPr>
        <w:pStyle w:val="ListBullet"/>
      </w:pPr>
      <w:r>
        <w:t xml:space="preserve">Journaliser les notifications, leurs statuts et les tentatives de renvoi.</w:t>
      </w:r>
    </w:p>
    <w:p w14:paraId="475202C1" w14:textId="77777777">
      <w:pPr>
        <w:pStyle w:val="ListBullet"/>
      </w:pPr>
      <w:r>
        <w:t xml:space="preserve">Exiger les validations et documents obligatoires avant la clôture.</w:t>
      </w:r>
    </w:p>
    <w:p w14:paraId="1F15C788" w14:textId="77777777">
      <w:pPr>
        <w:pStyle w:val="Heading1"/>
      </w:pPr>
      <w:r>
        <w:t xml:space="preserve">12. Architecture technique recommandée</w:t>
      </w:r>
    </w:p>
    <w:tbl>
      <w:tblPr>
        <w:tblStyle w:val="TableGrid"/>
        <w:tblW w:w="10080" w:type="dxa"/>
        <w:jc w:val="center"/>
        <w:tblLayout w:type="fixed"/>
        <w:tblLook w:val="04A0" w:firstRow="1" w:lastRow="0" w:firstColumn="1" w:lastColumn="0" w:noHBand="0" w:noVBand="1"/>
      </w:tblPr>
      <w:tblGrid>
        <w:gridCol w:w="2600"/>
        <w:gridCol w:w="7480"/>
      </w:tblGrid>
      <w:tr>
        <w:trPr>
          <w:cantSplit/>
          <w:tblHeader/>
          <w:jc w:val="center"/>
        </w:trPr>
        <w:tc>
          <w:tcPr>
            <w:tcW w:w="2600" w:type="dxa"/>
            <w:shd w:val="clear" w:color="auto" w:fill="15365B"/>
            <w:vAlign w:val="center"/>
          </w:tcPr>
          <w:p w14:paraId="5D52EA12" w14:textId="77777777">
            <w:pPr>
              <w:spacing w:after="20"/>
            </w:pPr>
            <w:r>
              <w:rPr>
                <w:b/>
                <w:color w:val="FFFFFF"/>
                <w:sz w:val="16"/>
              </w:rPr>
              <w:t xml:space="preserve">Couche</w:t>
            </w:r>
          </w:p>
        </w:tc>
        <w:tc>
          <w:tcPr>
            <w:tcW w:w="7480" w:type="dxa"/>
            <w:shd w:val="clear" w:color="auto" w:fill="15365B"/>
            <w:vAlign w:val="center"/>
          </w:tcPr>
          <w:p w14:paraId="4B5EC8D3" w14:textId="77777777">
            <w:pPr>
              <w:spacing w:after="20"/>
            </w:pPr>
            <w:r>
              <w:rPr>
                <w:b/>
                <w:color w:val="FFFFFF"/>
                <w:sz w:val="16"/>
              </w:rPr>
              <w:t xml:space="preserve">Option proposée</w:t>
            </w:r>
          </w:p>
        </w:tc>
      </w:tr>
      <w:tr>
        <w:trPr>
          <w:cantSplit/>
          <w:jc w:val="center"/>
        </w:trPr>
        <w:tc>
          <w:tcPr>
            <w:tcW w:w="2600" w:type="dxa"/>
            <w:vAlign w:val="center"/>
          </w:tcPr>
          <w:p w14:paraId="77A6794E" w14:textId="77777777">
            <w:pPr>
              <w:spacing w:after="20"/>
            </w:pPr>
            <w:r>
              <w:rPr>
                <w:sz w:val="16"/>
              </w:rPr>
              <w:t xml:space="preserve">Interface</w:t>
            </w:r>
          </w:p>
        </w:tc>
        <w:tc>
          <w:tcPr>
            <w:tcW w:w="7480" w:type="dxa"/>
            <w:vAlign w:val="center"/>
          </w:tcPr>
          <w:p w14:paraId="511F466E" w14:textId="77777777">
            <w:pPr>
              <w:spacing w:after="20"/>
            </w:pPr>
            <w:r>
              <w:rPr>
                <w:sz w:val="16"/>
              </w:rPr>
              <w:t xml:space="preserve">Application web responsive React / Next.js.</w:t>
            </w:r>
          </w:p>
        </w:tc>
      </w:tr>
      <w:tr>
        <w:trPr>
          <w:cantSplit/>
          <w:jc w:val="center"/>
        </w:trPr>
        <w:tc>
          <w:tcPr>
            <w:tcW w:w="2600" w:type="dxa"/>
            <w:shd w:val="clear" w:color="auto" w:fill="F1F5F9"/>
            <w:vAlign w:val="center"/>
          </w:tcPr>
          <w:p w14:paraId="4EDBE4C9" w14:textId="77777777">
            <w:pPr>
              <w:spacing w:after="20"/>
            </w:pPr>
            <w:r>
              <w:rPr>
                <w:sz w:val="16"/>
              </w:rPr>
              <w:t xml:space="preserve">Base de données</w:t>
            </w:r>
          </w:p>
        </w:tc>
        <w:tc>
          <w:tcPr>
            <w:tcW w:w="7480" w:type="dxa"/>
            <w:shd w:val="clear" w:color="auto" w:fill="F1F5F9"/>
            <w:vAlign w:val="center"/>
          </w:tcPr>
          <w:p w14:paraId="7215EFD5" w14:textId="77777777">
            <w:pPr>
              <w:spacing w:after="20"/>
            </w:pPr>
            <w:r>
              <w:rPr>
                <w:sz w:val="16"/>
              </w:rPr>
              <w:t xml:space="preserve">PostgreSQL via Supabase.</w:t>
            </w:r>
          </w:p>
        </w:tc>
      </w:tr>
      <w:tr>
        <w:trPr>
          <w:cantSplit/>
          <w:jc w:val="center"/>
        </w:trPr>
        <w:tc>
          <w:tcPr>
            <w:tcW w:w="2600" w:type="dxa"/>
            <w:vAlign w:val="center"/>
          </w:tcPr>
          <w:p w14:paraId="269E53D6" w14:textId="77777777">
            <w:pPr>
              <w:spacing w:after="20"/>
            </w:pPr>
            <w:r>
              <w:rPr>
                <w:sz w:val="16"/>
              </w:rPr>
              <w:t xml:space="preserve">Authentification</w:t>
            </w:r>
          </w:p>
        </w:tc>
        <w:tc>
          <w:tcPr>
            <w:tcW w:w="7480" w:type="dxa"/>
            <w:vAlign w:val="center"/>
          </w:tcPr>
          <w:p w14:paraId="6F0A39D9" w14:textId="77777777">
            <w:pPr>
              <w:spacing w:after="20"/>
            </w:pPr>
            <w:r>
              <w:rPr>
                <w:sz w:val="16"/>
              </w:rPr>
              <w:t xml:space="preserve">Comptes nominatifs, récupération sécurisée et rôles.</w:t>
            </w:r>
          </w:p>
        </w:tc>
      </w:tr>
      <w:tr>
        <w:trPr>
          <w:cantSplit/>
          <w:jc w:val="center"/>
        </w:trPr>
        <w:tc>
          <w:tcPr>
            <w:tcW w:w="2600" w:type="dxa"/>
            <w:shd w:val="clear" w:color="auto" w:fill="F1F5F9"/>
            <w:vAlign w:val="center"/>
          </w:tcPr>
          <w:p w14:paraId="685295C0" w14:textId="77777777">
            <w:pPr>
              <w:spacing w:after="20"/>
            </w:pPr>
            <w:r>
              <w:rPr>
                <w:sz w:val="16"/>
              </w:rPr>
              <w:t xml:space="preserve">Sécurité</w:t>
            </w:r>
          </w:p>
        </w:tc>
        <w:tc>
          <w:tcPr>
            <w:tcW w:w="7480" w:type="dxa"/>
            <w:shd w:val="clear" w:color="auto" w:fill="F1F5F9"/>
            <w:vAlign w:val="center"/>
          </w:tcPr>
          <w:p w14:paraId="6BFFBC54" w14:textId="77777777">
            <w:pPr>
              <w:spacing w:after="20"/>
            </w:pPr>
            <w:r>
              <w:rPr>
                <w:sz w:val="16"/>
              </w:rPr>
              <w:t xml:space="preserve">Règles d’accès par ligne, stockage privé et liens signés temporaires.</w:t>
            </w:r>
          </w:p>
        </w:tc>
      </w:tr>
      <w:tr>
        <w:trPr>
          <w:cantSplit/>
          <w:jc w:val="center"/>
        </w:trPr>
        <w:tc>
          <w:tcPr>
            <w:tcW w:w="2600" w:type="dxa"/>
            <w:vAlign w:val="center"/>
          </w:tcPr>
          <w:p w14:paraId="4BB96B9F" w14:textId="77777777">
            <w:pPr>
              <w:spacing w:after="20"/>
            </w:pPr>
            <w:r>
              <w:rPr>
                <w:sz w:val="16"/>
              </w:rPr>
              <w:t xml:space="preserve">Génération documentaire</w:t>
            </w:r>
          </w:p>
        </w:tc>
        <w:tc>
          <w:tcPr>
            <w:tcW w:w="7480" w:type="dxa"/>
            <w:vAlign w:val="center"/>
          </w:tcPr>
          <w:p w14:paraId="128AECFF" w14:textId="77777777">
            <w:pPr>
              <w:spacing w:after="20"/>
            </w:pPr>
            <w:r>
              <w:rPr>
                <w:sz w:val="16"/>
              </w:rPr>
              <w:t xml:space="preserve">Modèles Word du contrat, de l’ordre d’achat, du devis et des factures ; export PDF.</w:t>
            </w:r>
          </w:p>
        </w:tc>
      </w:tr>
      <w:tr>
        <w:trPr>
          <w:cantSplit/>
          <w:jc w:val="center"/>
        </w:trPr>
        <w:tc>
          <w:tcPr>
            <w:tcW w:w="2600" w:type="dxa"/>
            <w:shd w:val="clear" w:color="auto" w:fill="F1F5F9"/>
            <w:vAlign w:val="center"/>
          </w:tcPr>
          <w:p w14:paraId="7599BB05" w14:textId="77777777">
            <w:pPr>
              <w:spacing w:after="20"/>
            </w:pPr>
            <w:r>
              <w:rPr>
                <w:sz w:val="16"/>
              </w:rPr>
              <w:t xml:space="preserve">Automatisations</w:t>
            </w:r>
          </w:p>
        </w:tc>
        <w:tc>
          <w:tcPr>
            <w:tcW w:w="7480" w:type="dxa"/>
            <w:shd w:val="clear" w:color="auto" w:fill="F1F5F9"/>
            <w:vAlign w:val="center"/>
          </w:tcPr>
          <w:p w14:paraId="326BCF74" w14:textId="77777777">
            <w:pPr>
              <w:spacing w:after="20"/>
            </w:pPr>
            <w:r>
              <w:rPr>
                <w:sz w:val="16"/>
              </w:rPr>
              <w:t xml:space="preserve">Tâches planifiées pour échéances, rappels, frais de retard, synchronisation et anomalies.</w:t>
            </w:r>
          </w:p>
        </w:tc>
      </w:tr>
      <w:tr>
        <w:trPr>
          <w:cantSplit/>
          <w:jc w:val="center"/>
        </w:trPr>
        <w:tc>
          <w:tcPr>
            <w:tcW w:w="2600" w:type="dxa"/>
            <w:vAlign w:val="center"/>
          </w:tcPr>
          <w:p w14:paraId="408796A1" w14:textId="77777777">
            <w:pPr>
              <w:spacing w:after="20"/>
            </w:pPr>
            <w:r>
              <w:rPr>
                <w:sz w:val="16"/>
              </w:rPr>
              <w:t xml:space="preserve">Intégrations</w:t>
            </w:r>
          </w:p>
        </w:tc>
        <w:tc>
          <w:tcPr>
            <w:tcW w:w="7480" w:type="dxa"/>
            <w:vAlign w:val="center"/>
          </w:tcPr>
          <w:p w14:paraId="1A50EB2F" w14:textId="77777777">
            <w:pPr>
              <w:spacing w:after="20"/>
            </w:pPr>
            <w:r>
              <w:rPr>
                <w:sz w:val="16"/>
              </w:rPr>
              <w:t xml:space="preserve">Connecteurs séparés pour transporteurs (Maersk, MSC, Grimaldi), e-mail et messagerie. Taux XE.com saisi manuellement ; API XE (payante) ou autre source autorisée à étudier.</w:t>
            </w:r>
          </w:p>
        </w:tc>
      </w:tr>
      <w:tr>
        <w:trPr>
          <w:cantSplit/>
          <w:jc w:val="center"/>
        </w:trPr>
        <w:tc>
          <w:tcPr>
            <w:tcW w:w="2600" w:type="dxa"/>
            <w:shd w:val="clear" w:color="auto" w:fill="F1F5F9"/>
            <w:vAlign w:val="center"/>
          </w:tcPr>
          <w:p w14:paraId="4A5844AB" w14:textId="77777777">
            <w:pPr>
              <w:spacing w:after="20"/>
            </w:pPr>
            <w:r>
              <w:rPr>
                <w:sz w:val="16"/>
              </w:rPr>
              <w:t xml:space="preserve">Hébergement</w:t>
            </w:r>
          </w:p>
        </w:tc>
        <w:tc>
          <w:tcPr>
            <w:tcW w:w="7480" w:type="dxa"/>
            <w:shd w:val="clear" w:color="auto" w:fill="F1F5F9"/>
            <w:vAlign w:val="center"/>
          </w:tcPr>
          <w:p w14:paraId="72A91290" w14:textId="77777777">
            <w:pPr>
              <w:spacing w:after="20"/>
            </w:pPr>
            <w:r>
              <w:rPr>
                <w:sz w:val="16"/>
              </w:rPr>
              <w:t xml:space="preserve">HTTPS, sauvegardes, surveillance et environnement de test séparé.</w:t>
            </w:r>
          </w:p>
        </w:tc>
      </w:tr>
    </w:tbl>
    <w:p w14:paraId="2B0D8E2A" w14:textId="77777777"/>
    <w:p w14:paraId="1F4E9B4A" w14:textId="77777777">
      <w:pPr>
        <w:pStyle w:val="Heading1"/>
      </w:pPr>
      <w:r>
        <w:t xml:space="preserve">13. Sécurité, données personnelles et continuité</w:t>
      </w:r>
    </w:p>
    <w:p w14:paraId="56AD1F8F" w14:textId="77777777">
      <w:pPr>
        <w:pStyle w:val="ListBullet"/>
      </w:pPr>
      <w:r>
        <w:t xml:space="preserve">Principe du moindre privilège et séparation des dossiers par client.</w:t>
      </w:r>
    </w:p>
    <w:p w14:paraId="343079D8" w14:textId="77777777">
      <w:pPr>
        <w:pStyle w:val="ListBullet"/>
      </w:pPr>
      <w:r>
        <w:t xml:space="preserve">Authentification renforcée pour les administrateurs et utilisateurs internes.</w:t>
      </w:r>
    </w:p>
    <w:p w14:paraId="7B224901" w14:textId="77777777">
      <w:pPr>
        <w:pStyle w:val="ListBullet"/>
      </w:pPr>
      <w:r>
        <w:t xml:space="preserve">Journalisation des changements sensibles, des opérations financières et des modifications de comptes officiels.</w:t>
      </w:r>
    </w:p>
    <w:p w14:paraId="24A99083" w14:textId="77777777">
      <w:pPr>
        <w:pStyle w:val="ListBullet"/>
      </w:pPr>
      <w:r>
        <w:t xml:space="preserve">Protection des données personnelles conforme à la loi n° 2008-12 ou au texte qui la remplace ; </w:t>
      </w:r>
      <w:r>
        <w:rPr>
          <w:highlight w:val="yellow"/>
        </w:rPr>
        <w:t xml:space="preserve">formalités auprès de la CDP à vérifier</w:t>
      </w:r>
      <w:r>
        <w:t xml:space="preserve"> ; information du client et exercice de ses droits.</w:t>
      </w:r>
    </w:p>
    <w:p w14:paraId="1BF7E010" w14:textId="77777777">
      <w:pPr>
        <w:pStyle w:val="ListBullet"/>
      </w:pPr>
      <w:r>
        <w:t xml:space="preserve">Durée de conservation des données alignée sur le contrat (</w:t>
      </w:r>
      <w:r>
        <w:rPr>
          <w:highlight w:val="yellow"/>
        </w:rPr>
        <w:t xml:space="preserve">à définir</w:t>
      </w:r>
      <w:r>
        <w:t xml:space="preserve">) et procédure de suppression.</w:t>
      </w:r>
    </w:p>
    <w:p w14:paraId="393795DF" w14:textId="77777777">
      <w:pPr>
        <w:pStyle w:val="ListBullet"/>
      </w:pPr>
      <w:r>
        <w:t xml:space="preserve">Sauvegardes régulières et procédure documentée de restauration.</w:t>
      </w:r>
    </w:p>
    <w:p w14:paraId="5D22A3A5" w14:textId="77777777">
      <w:pPr>
        <w:pStyle w:val="ListBullet"/>
      </w:pPr>
      <w:r>
        <w:t xml:space="preserve">Chiffrement en transit et contrôle des liens documentaires.</w:t>
      </w:r>
    </w:p>
    <w:p w14:paraId="18D9D161" w14:textId="77777777">
      <w:pPr>
        <w:pStyle w:val="ListBullet"/>
      </w:pPr>
      <w:r>
        <w:t xml:space="preserve">Tests de sécurité avant mise en production et revue périodique des comptes.</w:t>
      </w:r>
    </w:p>
    <w:p w14:paraId="2836804F" w14:textId="77777777">
      <w:pPr>
        <w:pStyle w:val="Heading1"/>
      </w:pPr>
      <w:r>
        <w:t xml:space="preserve">14. Plan de réalisation</w:t>
      </w:r>
    </w:p>
    <w:tbl>
      <w:tblPr>
        <w:tblStyle w:val="TableGrid"/>
        <w:tblW w:w="10080" w:type="dxa"/>
        <w:jc w:val="center"/>
        <w:tblLayout w:type="fixed"/>
        <w:tblLook w:val="04A0" w:firstRow="1" w:lastRow="0" w:firstColumn="1" w:lastColumn="0" w:noHBand="0" w:noVBand="1"/>
      </w:tblPr>
      <w:tblGrid>
        <w:gridCol w:w="1900"/>
        <w:gridCol w:w="5280"/>
        <w:gridCol w:w="2900"/>
      </w:tblGrid>
      <w:tr>
        <w:trPr>
          <w:cantSplit/>
          <w:tblHeader/>
          <w:jc w:val="center"/>
        </w:trPr>
        <w:tc>
          <w:tcPr>
            <w:tcW w:w="1900" w:type="dxa"/>
            <w:shd w:val="clear" w:color="auto" w:fill="15365B"/>
            <w:vAlign w:val="center"/>
          </w:tcPr>
          <w:p w14:paraId="7F56B7B0" w14:textId="77777777">
            <w:pPr>
              <w:spacing w:after="20"/>
            </w:pPr>
            <w:r>
              <w:rPr>
                <w:b/>
                <w:color w:val="FFFFFF"/>
                <w:sz w:val="16"/>
              </w:rPr>
              <w:t xml:space="preserve">Phase</w:t>
            </w:r>
          </w:p>
        </w:tc>
        <w:tc>
          <w:tcPr>
            <w:tcW w:w="5280" w:type="dxa"/>
            <w:shd w:val="clear" w:color="auto" w:fill="15365B"/>
            <w:vAlign w:val="center"/>
          </w:tcPr>
          <w:p w14:paraId="792769E3" w14:textId="77777777">
            <w:pPr>
              <w:spacing w:after="20"/>
            </w:pPr>
            <w:r>
              <w:rPr>
                <w:b/>
                <w:color w:val="FFFFFF"/>
                <w:sz w:val="16"/>
              </w:rPr>
              <w:t xml:space="preserve">Livrables</w:t>
            </w:r>
          </w:p>
        </w:tc>
        <w:tc>
          <w:tcPr>
            <w:tcW w:w="2900" w:type="dxa"/>
            <w:shd w:val="clear" w:color="auto" w:fill="15365B"/>
            <w:vAlign w:val="center"/>
          </w:tcPr>
          <w:p w14:paraId="349214AB" w14:textId="77777777">
            <w:pPr>
              <w:spacing w:after="20"/>
            </w:pPr>
            <w:r>
              <w:rPr>
                <w:b/>
                <w:color w:val="FFFFFF"/>
                <w:sz w:val="16"/>
              </w:rPr>
              <w:t xml:space="preserve">Validation</w:t>
            </w:r>
          </w:p>
        </w:tc>
      </w:tr>
      <w:tr>
        <w:trPr>
          <w:cantSplit/>
          <w:jc w:val="center"/>
        </w:trPr>
        <w:tc>
          <w:tcPr>
            <w:tcW w:w="1900" w:type="dxa"/>
            <w:vAlign w:val="center"/>
          </w:tcPr>
          <w:p w14:paraId="6BBFCC4D" w14:textId="77777777">
            <w:pPr>
              <w:spacing w:after="20"/>
            </w:pPr>
            <w:r>
              <w:rPr>
                <w:sz w:val="16"/>
              </w:rPr>
              <w:t xml:space="preserve">1. Cadrage</w:t>
            </w:r>
          </w:p>
        </w:tc>
        <w:tc>
          <w:tcPr>
            <w:tcW w:w="5280" w:type="dxa"/>
            <w:vAlign w:val="center"/>
          </w:tcPr>
          <w:p w14:paraId="73269A5D" w14:textId="77777777">
            <w:pPr>
              <w:spacing w:after="20"/>
            </w:pPr>
            <w:r>
              <w:rPr>
                <w:sz w:val="16"/>
              </w:rPr>
              <w:t xml:space="preserve">Processus, rôles, statuts, modèle de données, paramètres de la section 6 ; validation juridique et comptable des modèles de contrat, devis et factures.</w:t>
            </w:r>
          </w:p>
        </w:tc>
        <w:tc>
          <w:tcPr>
            <w:tcW w:w="2900" w:type="dxa"/>
            <w:vAlign w:val="center"/>
          </w:tcPr>
          <w:p w14:paraId="16B5C9A1" w14:textId="77777777">
            <w:pPr>
              <w:spacing w:after="20"/>
            </w:pPr>
            <w:r>
              <w:rPr>
                <w:sz w:val="16"/>
              </w:rPr>
              <w:t xml:space="preserve">Périmètre et modèles approuvés par USA CARS.</w:t>
            </w:r>
          </w:p>
        </w:tc>
      </w:tr>
      <w:tr>
        <w:trPr>
          <w:cantSplit/>
          <w:jc w:val="center"/>
        </w:trPr>
        <w:tc>
          <w:tcPr>
            <w:tcW w:w="1900" w:type="dxa"/>
            <w:shd w:val="clear" w:color="auto" w:fill="F1F5F9"/>
            <w:vAlign w:val="center"/>
          </w:tcPr>
          <w:p w14:paraId="30F06D15" w14:textId="77777777">
            <w:pPr>
              <w:spacing w:after="20"/>
            </w:pPr>
            <w:r>
              <w:rPr>
                <w:sz w:val="16"/>
              </w:rPr>
              <w:t xml:space="preserve">2. MVP opérations</w:t>
            </w:r>
          </w:p>
        </w:tc>
        <w:tc>
          <w:tcPr>
            <w:tcW w:w="5280" w:type="dxa"/>
            <w:shd w:val="clear" w:color="auto" w:fill="F1F5F9"/>
            <w:vAlign w:val="center"/>
          </w:tcPr>
          <w:p w14:paraId="3C6F297E" w14:textId="77777777">
            <w:pPr>
              <w:spacing w:after="20"/>
            </w:pPr>
            <w:r>
              <w:rPr>
                <w:sz w:val="16"/>
              </w:rPr>
              <w:t xml:space="preserve">Clients, ordres d’achat, véhicules, dossiers, étapes, documents et tableau de bord.</w:t>
            </w:r>
          </w:p>
        </w:tc>
        <w:tc>
          <w:tcPr>
            <w:tcW w:w="2900" w:type="dxa"/>
            <w:shd w:val="clear" w:color="auto" w:fill="F1F5F9"/>
            <w:vAlign w:val="center"/>
          </w:tcPr>
          <w:p w14:paraId="4BAC6868" w14:textId="77777777">
            <w:pPr>
              <w:spacing w:after="20"/>
            </w:pPr>
            <w:r>
              <w:rPr>
                <w:sz w:val="16"/>
              </w:rPr>
              <w:t xml:space="preserve">Dossier test traité de bout en bout.</w:t>
            </w:r>
          </w:p>
        </w:tc>
      </w:tr>
      <w:tr>
        <w:trPr>
          <w:cantSplit/>
          <w:jc w:val="center"/>
        </w:trPr>
        <w:tc>
          <w:tcPr>
            <w:tcW w:w="1900" w:type="dxa"/>
            <w:vAlign w:val="center"/>
          </w:tcPr>
          <w:p w14:paraId="335766B4" w14:textId="77777777">
            <w:pPr>
              <w:spacing w:after="20"/>
            </w:pPr>
            <w:r>
              <w:rPr>
                <w:sz w:val="16"/>
              </w:rPr>
              <w:t xml:space="preserve">3. Finances</w:t>
            </w:r>
          </w:p>
        </w:tc>
        <w:tc>
          <w:tcPr>
            <w:tcW w:w="5280" w:type="dxa"/>
            <w:vAlign w:val="center"/>
          </w:tcPr>
          <w:p w14:paraId="4EB18914" w14:textId="77777777">
            <w:pPr>
              <w:spacing w:after="20"/>
            </w:pPr>
            <w:r>
              <w:rPr>
                <w:sz w:val="16"/>
              </w:rPr>
              <w:t xml:space="preserve">Forfaits, devis, factures, paiements, soldes, taux de change, échéances, frais de retard et rapports.</w:t>
            </w:r>
          </w:p>
        </w:tc>
        <w:tc>
          <w:tcPr>
            <w:tcW w:w="2900" w:type="dxa"/>
            <w:vAlign w:val="center"/>
          </w:tcPr>
          <w:p w14:paraId="25ACE358" w14:textId="77777777">
            <w:pPr>
              <w:spacing w:after="20"/>
            </w:pPr>
            <w:r>
              <w:rPr>
                <w:sz w:val="16"/>
              </w:rPr>
              <w:t xml:space="preserve">Calculs, échéances et droits testés.</w:t>
            </w:r>
          </w:p>
        </w:tc>
      </w:tr>
      <w:tr>
        <w:trPr>
          <w:cantSplit/>
          <w:jc w:val="center"/>
        </w:trPr>
        <w:tc>
          <w:tcPr>
            <w:tcW w:w="1900" w:type="dxa"/>
            <w:shd w:val="clear" w:color="auto" w:fill="F1F5F9"/>
            <w:vAlign w:val="center"/>
          </w:tcPr>
          <w:p w14:paraId="6963C442" w14:textId="77777777">
            <w:pPr>
              <w:spacing w:after="20"/>
            </w:pPr>
            <w:r>
              <w:rPr>
                <w:sz w:val="16"/>
              </w:rPr>
              <w:t xml:space="preserve">4. Portail client</w:t>
            </w:r>
          </w:p>
        </w:tc>
        <w:tc>
          <w:tcPr>
            <w:tcW w:w="5280" w:type="dxa"/>
            <w:shd w:val="clear" w:color="auto" w:fill="F1F5F9"/>
            <w:vAlign w:val="center"/>
          </w:tcPr>
          <w:p w14:paraId="4076F901" w14:textId="77777777">
            <w:pPr>
              <w:spacing w:after="20"/>
            </w:pPr>
            <w:r>
              <w:rPr>
                <w:sz w:val="16"/>
              </w:rPr>
              <w:t xml:space="preserve">Connexion, accès limité, validation des devis, choix d’assurance et notifications.</w:t>
            </w:r>
          </w:p>
        </w:tc>
        <w:tc>
          <w:tcPr>
            <w:tcW w:w="2900" w:type="dxa"/>
            <w:shd w:val="clear" w:color="auto" w:fill="F1F5F9"/>
            <w:vAlign w:val="center"/>
          </w:tcPr>
          <w:p w14:paraId="1AE56E20" w14:textId="77777777">
            <w:pPr>
              <w:spacing w:after="20"/>
            </w:pPr>
            <w:r>
              <w:rPr>
                <w:sz w:val="16"/>
              </w:rPr>
              <w:t xml:space="preserve">Isolation des dossiers vérifiée.</w:t>
            </w:r>
          </w:p>
        </w:tc>
      </w:tr>
      <w:tr>
        <w:trPr>
          <w:cantSplit/>
          <w:jc w:val="center"/>
        </w:trPr>
        <w:tc>
          <w:tcPr>
            <w:tcW w:w="1900" w:type="dxa"/>
            <w:vAlign w:val="center"/>
          </w:tcPr>
          <w:p w14:paraId="7FB51132" w14:textId="77777777">
            <w:pPr>
              <w:spacing w:after="20"/>
            </w:pPr>
            <w:r>
              <w:rPr>
                <w:sz w:val="16"/>
              </w:rPr>
              <w:t xml:space="preserve">5. Tracking</w:t>
            </w:r>
          </w:p>
        </w:tc>
        <w:tc>
          <w:tcPr>
            <w:tcW w:w="5280" w:type="dxa"/>
            <w:vAlign w:val="center"/>
          </w:tcPr>
          <w:p w14:paraId="21786F91" w14:textId="77777777">
            <w:pPr>
              <w:spacing w:after="20"/>
            </w:pPr>
            <w:r>
              <w:rPr>
                <w:sz w:val="16"/>
              </w:rPr>
              <w:t xml:space="preserve">Liens Maersk, MSC et Grimaldi, puis API si accès accordé.</w:t>
            </w:r>
          </w:p>
        </w:tc>
        <w:tc>
          <w:tcPr>
            <w:tcW w:w="2900" w:type="dxa"/>
            <w:vAlign w:val="center"/>
          </w:tcPr>
          <w:p w14:paraId="70384D0F" w14:textId="77777777">
            <w:pPr>
              <w:spacing w:after="20"/>
            </w:pPr>
            <w:r>
              <w:rPr>
                <w:sz w:val="16"/>
              </w:rPr>
              <w:t xml:space="preserve">Références et événements traçables.</w:t>
            </w:r>
          </w:p>
        </w:tc>
      </w:tr>
      <w:tr>
        <w:trPr>
          <w:cantSplit/>
          <w:jc w:val="center"/>
        </w:trPr>
        <w:tc>
          <w:tcPr>
            <w:tcW w:w="1900" w:type="dxa"/>
            <w:shd w:val="clear" w:color="auto" w:fill="F1F5F9"/>
            <w:vAlign w:val="center"/>
          </w:tcPr>
          <w:p w14:paraId="5A381613" w14:textId="77777777">
            <w:pPr>
              <w:spacing w:after="20"/>
            </w:pPr>
            <w:r>
              <w:rPr>
                <w:sz w:val="16"/>
              </w:rPr>
              <w:t xml:space="preserve">6. Production</w:t>
            </w:r>
          </w:p>
        </w:tc>
        <w:tc>
          <w:tcPr>
            <w:tcW w:w="5280" w:type="dxa"/>
            <w:shd w:val="clear" w:color="auto" w:fill="F1F5F9"/>
            <w:vAlign w:val="center"/>
          </w:tcPr>
          <w:p w14:paraId="104188F6" w14:textId="77777777">
            <w:pPr>
              <w:spacing w:after="20"/>
            </w:pPr>
            <w:r>
              <w:rPr>
                <w:sz w:val="16"/>
              </w:rPr>
              <w:t xml:space="preserve">Tests, sauvegardes, formation et documentation.</w:t>
            </w:r>
          </w:p>
        </w:tc>
        <w:tc>
          <w:tcPr>
            <w:tcW w:w="2900" w:type="dxa"/>
            <w:shd w:val="clear" w:color="auto" w:fill="F1F5F9"/>
            <w:vAlign w:val="center"/>
          </w:tcPr>
          <w:p w14:paraId="38DDDBE1" w14:textId="77777777">
            <w:pPr>
              <w:spacing w:after="20"/>
            </w:pPr>
            <w:r>
              <w:rPr>
                <w:sz w:val="16"/>
              </w:rPr>
              <w:t xml:space="preserve">Recette approuvée par USA CARS.</w:t>
            </w:r>
          </w:p>
        </w:tc>
      </w:tr>
    </w:tbl>
    <w:p w14:paraId="27FEC050" w14:textId="77777777"/>
    <w:p w14:paraId="66486292" w14:textId="77777777">
      <w:pPr>
        <w:pStyle w:val="Heading1"/>
      </w:pPr>
      <w:r>
        <w:t xml:space="preserve">15. Critères d’acceptation</w:t>
      </w:r>
    </w:p>
    <w:p w14:paraId="39CD5145" w14:textId="77777777">
      <w:pPr>
        <w:pStyle w:val="ListBullet"/>
      </w:pPr>
      <w:r>
        <w:t xml:space="preserve">Créer un dossier complet avec client, contrat, ordre d’achat, véhicule et documents.</w:t>
      </w:r>
    </w:p>
    <w:p w14:paraId="24008573" w14:textId="77777777">
      <w:pPr>
        <w:pStyle w:val="ListBullet"/>
      </w:pPr>
      <w:r>
        <w:t xml:space="preserve">Émettre un devis forfaitaire (A, B, C, D) sans ventilation des coûts visible par le client, puis les factures d’acompte et de solde avec leur numérotation.</w:t>
      </w:r>
    </w:p>
    <w:p w14:paraId="278BBA62" w14:textId="77777777">
      <w:pPr>
        <w:pStyle w:val="ListBullet"/>
      </w:pPr>
      <w:r>
        <w:t xml:space="preserve">Afficher les montants en USD et en FCFA avec le taux XE.com, sa date et son heure de relevé.</w:t>
      </w:r>
    </w:p>
    <w:p w14:paraId="2BB4BD82" w14:textId="77777777">
      <w:pPr>
        <w:pStyle w:val="ListBullet"/>
      </w:pPr>
      <w:r>
        <w:t xml:space="preserve">Calculer les échéances du paiement 1 et du solde, et recalculer l’échéance du solde si l’ETA est avancée.</w:t>
      </w:r>
    </w:p>
    <w:p w14:paraId="30DE713C" w14:textId="77777777">
      <w:pPr>
        <w:pStyle w:val="ListBullet"/>
      </w:pPr>
      <w:r>
        <w:t xml:space="preserve">Calculer et facturer les frais de retard selon les paramètres.</w:t>
      </w:r>
    </w:p>
    <w:p w14:paraId="55381099" w14:textId="77777777">
      <w:pPr>
        <w:pStyle w:val="ListBullet"/>
      </w:pPr>
      <w:r>
        <w:t xml:space="preserve">Associer un véhicule à un conteneur et enregistrer les références maritimes et le lien de suivi.</w:t>
      </w:r>
    </w:p>
    <w:p w14:paraId="69EA3D37" w14:textId="77777777">
      <w:pPr>
        <w:pStyle w:val="ListBullet"/>
      </w:pPr>
      <w:r>
        <w:t xml:space="preserve">Afficher l’état du dossier, la chronologie et le tracking au client sans exposer d’autres dossiers.</w:t>
      </w:r>
    </w:p>
    <w:p w14:paraId="1C243610" w14:textId="77777777">
      <w:pPr>
        <w:pStyle w:val="ListBullet"/>
      </w:pPr>
      <w:r>
        <w:t xml:space="preserve">Bloquer la remise des documents tant que le solde n’est pas réglé.</w:t>
      </w:r>
    </w:p>
    <w:p w14:paraId="66C74423" w14:textId="77777777">
      <w:pPr>
        <w:pStyle w:val="ListBullet"/>
      </w:pPr>
      <w:r>
        <w:t xml:space="preserve">Déclencher et journaliser les alertes d’échéance, d’arrivée et de véhicule non réclamé.</w:t>
      </w:r>
    </w:p>
    <w:p w14:paraId="3628B167" w14:textId="77777777">
      <w:pPr>
        <w:pStyle w:val="ListBullet"/>
      </w:pPr>
      <w:r>
        <w:t xml:space="preserve">Exporter des rapports selon les permissions et maintenir une piste d’audit.</w:t>
      </w:r>
    </w:p>
    <w:p w14:paraId="689E6112" w14:textId="77777777">
      <w:pPr>
        <w:pStyle w:val="Heading1"/>
      </w:pPr>
      <w:r>
        <w:t xml:space="preserve">16. Hypothèses et points à confirmer</w:t>
      </w:r>
    </w:p>
    <w:p w14:paraId="4B31CB77" w14:textId="77777777">
      <w:pPr>
        <w:pStyle w:val="ListBullet"/>
      </w:pPr>
      <w:r>
        <w:t xml:space="preserve">L’accès API des transporteurs n’est pas présumé acquis et doit être vérifié pour chacun.</w:t>
      </w:r>
    </w:p>
    <w:p w14:paraId="1D9FD786" w14:textId="77777777">
      <w:pPr>
        <w:pStyle w:val="ListBullet"/>
      </w:pPr>
      <w:r>
        <w:t xml:space="preserve">Lien de suivi officiel Grimaldi à identifier (le lien actuel passe par un service tiers).</w:t>
      </w:r>
    </w:p>
    <w:p w14:paraId="763788E0" w14:textId="77777777">
      <w:pPr>
        <w:pStyle w:val="ListBullet"/>
      </w:pPr>
      <w:r>
        <w:t xml:space="preserve">Valeurs contractuelles encore ouvertes : dépôt, délai du paiement 1, plafond des frais de retard, plafond de responsabilité, seuil des frais supplémentaires, majoration éventuelle du taux, durée de conservation des données.</w:t>
      </w:r>
    </w:p>
    <w:p w14:paraId="3348C51E" w14:textId="77777777">
      <w:pPr>
        <w:pStyle w:val="ListBullet"/>
      </w:pPr>
      <w:r>
        <w:t xml:space="preserve">Traitement fiscal (TVA) des forfaits et mentions légales des factures, avec l’expert-comptable.</w:t>
      </w:r>
    </w:p>
    <w:p w14:paraId="7ECC639B" w14:textId="77777777">
      <w:pPr>
        <w:pStyle w:val="ListBullet"/>
      </w:pPr>
      <w:r>
        <w:t xml:space="preserve">Publication au Journal officiel du décret sur la limite d’âge des véhicules importés.</w:t>
      </w:r>
    </w:p>
    <w:p w14:paraId="4EB32ED3" w14:textId="77777777">
      <w:pPr>
        <w:pStyle w:val="ListBullet"/>
      </w:pPr>
      <w:r>
        <w:t xml:space="preserve">Les coûts d’API, d’hébergement, de messagerie et de fournisseurs tiers restent à chiffrer.</w:t>
      </w:r>
    </w:p>
    <w:p w14:paraId="4F291C7F" w14:textId="77777777">
      <w:pPr>
        <w:pStyle w:val="ListBullet"/>
      </w:pPr>
      <w:r>
        <w:t xml:space="preserve">Les paiements en ligne ne sont pas inclus dans le MVP ; les paiements et justificatifs seront enregistrés.</w:t>
      </w:r>
    </w:p>
    <w:p w14:paraId="45E35ED3" w14:textId="77777777">
      <w:pPr>
        <w:pStyle w:val="ListBullet"/>
      </w:pPr>
      <w:r>
        <w:t xml:space="preserve">Les intégrations COPART/IAA, signatures électroniques et connexions bancaires sont à étudier séparément.</w:t>
      </w:r>
    </w:p>
    <w:p w14:paraId="39FB70E0" w14:textId="77777777">
      <w:pPr>
        <w:pStyle w:val="Heading1"/>
      </w:pPr>
      <w:r>
        <w:t xml:space="preserve">17. Liens de référence</w:t>
      </w:r>
    </w:p>
    <w:p w14:paraId="2ACFB3F9" w14:textId="77777777">
      <w:pPr>
        <w:pStyle w:val="ListBullet"/>
      </w:pPr>
      <w:r>
        <w:t xml:space="preserve">Maersk – suivi des expéditions : https://www.maersk.com/tracking/</w:t>
      </w:r>
    </w:p>
    <w:p w14:paraId="68F813C5" w14:textId="77777777">
      <w:pPr>
        <w:pStyle w:val="ListBullet"/>
      </w:pPr>
      <w:r>
        <w:t xml:space="preserve">Maersk Developer Portal : https://developer.maersk.com/</w:t>
      </w:r>
    </w:p>
    <w:p w14:paraId="208ACB6F" w14:textId="77777777">
      <w:pPr>
        <w:pStyle w:val="ListBullet"/>
      </w:pPr>
      <w:r>
        <w:t xml:space="preserve">MSC – suivi des expéditions : https://www.msc.com/fr/track-a-shipment</w:t>
      </w:r>
    </w:p>
    <w:p w14:paraId="4212CE31" w14:textId="77777777">
      <w:pPr>
        <w:pStyle w:val="ListBullet"/>
      </w:pPr>
      <w:r>
        <w:t xml:space="preserve">MSC – site et portail développeurs : https://www.msc.com/</w:t>
      </w:r>
    </w:p>
    <w:p w14:paraId="727F6251" w14:textId="77777777">
      <w:pPr>
        <w:pStyle w:val="ListBullet"/>
      </w:pPr>
      <w:r>
        <w:t xml:space="preserve">Grimaldi – suivi via TrackingMCP (service tiers) : https://trackingmcp.com/track/grimaldi</w:t>
      </w:r>
    </w:p>
    <w:p w14:paraId="138FD275" w14:textId="77777777">
      <w:pPr>
        <w:pStyle w:val="ListBullet"/>
      </w:pPr>
      <w:r>
        <w:t xml:space="preserve">XE.com – USD vers XOF : https://www.xe.com/currencyconverter/convert/?Amount=1&amp;From=USD&amp;To=XOF</w:t>
      </w:r>
    </w:p>
    <w:p w14:paraId="556D8477" w14:textId="77777777">
      <w:r>
        <w:t xml:space="preserve">Les fonctionnalités, conditions d’accès et autorisations doivent être vérifiées lors de la phase d’intégration.</w:t>
      </w:r>
    </w:p>
    <w:p w14:paraId="1D5FB2E7" w14:textId="77777777">
      <w:pPr>
        <w:pStyle w:val="Heading1"/>
      </w:pPr>
      <w:r>
        <w:t xml:space="preserve">Annexe A – Statuts suggérés</w:t>
      </w:r>
    </w:p>
    <w:tbl>
      <w:tblPr>
        <w:tblStyle w:val="TableGrid"/>
        <w:tblW w:w="10080" w:type="dxa"/>
        <w:jc w:val="center"/>
        <w:tblLayout w:type="fixed"/>
        <w:tblLook w:val="04A0" w:firstRow="1" w:lastRow="0" w:firstColumn="1" w:lastColumn="0" w:noHBand="0" w:noVBand="1"/>
      </w:tblPr>
      <w:tblGrid>
        <w:gridCol w:w="2400"/>
        <w:gridCol w:w="7680"/>
      </w:tblGrid>
      <w:tr>
        <w:trPr>
          <w:cantSplit/>
          <w:tblHeader/>
          <w:jc w:val="center"/>
        </w:trPr>
        <w:tc>
          <w:tcPr>
            <w:tcW w:w="2400" w:type="dxa"/>
            <w:shd w:val="clear" w:color="auto" w:fill="15365B"/>
            <w:vAlign w:val="center"/>
          </w:tcPr>
          <w:p w14:paraId="572E30CD" w14:textId="77777777">
            <w:pPr>
              <w:spacing w:after="20"/>
            </w:pPr>
            <w:r>
              <w:rPr>
                <w:b/>
                <w:color w:val="FFFFFF"/>
                <w:sz w:val="16"/>
              </w:rPr>
              <w:t xml:space="preserve">Étape</w:t>
            </w:r>
          </w:p>
        </w:tc>
        <w:tc>
          <w:tcPr>
            <w:tcW w:w="7680" w:type="dxa"/>
            <w:shd w:val="clear" w:color="auto" w:fill="15365B"/>
            <w:vAlign w:val="center"/>
          </w:tcPr>
          <w:p w14:paraId="7BD2EDB8" w14:textId="77777777">
            <w:pPr>
              <w:spacing w:after="20"/>
            </w:pPr>
            <w:r>
              <w:rPr>
                <w:b/>
                <w:color w:val="FFFFFF"/>
                <w:sz w:val="16"/>
              </w:rPr>
              <w:t xml:space="preserve">Statuts possibles</w:t>
            </w:r>
          </w:p>
        </w:tc>
      </w:tr>
      <w:tr>
        <w:trPr>
          <w:cantSplit/>
          <w:jc w:val="center"/>
        </w:trPr>
        <w:tc>
          <w:tcPr>
            <w:tcW w:w="2400" w:type="dxa"/>
            <w:vAlign w:val="center"/>
          </w:tcPr>
          <w:p w14:paraId="540E520F" w14:textId="77777777">
            <w:pPr>
              <w:spacing w:after="20"/>
            </w:pPr>
            <w:r>
              <w:rPr>
                <w:sz w:val="16"/>
              </w:rPr>
              <w:t xml:space="preserve">Ouverture</w:t>
            </w:r>
          </w:p>
        </w:tc>
        <w:tc>
          <w:tcPr>
            <w:tcW w:w="7680" w:type="dxa"/>
            <w:vAlign w:val="center"/>
          </w:tcPr>
          <w:p w14:paraId="19386ACD" w14:textId="77777777">
            <w:pPr>
              <w:spacing w:after="20"/>
            </w:pPr>
            <w:r>
              <w:rPr>
                <w:sz w:val="16"/>
              </w:rPr>
              <w:t xml:space="preserve">Nouveau ; informations à compléter ; contrat signé ; ordre d’achat signé ; validation requise.</w:t>
            </w:r>
          </w:p>
        </w:tc>
      </w:tr>
      <w:tr>
        <w:trPr>
          <w:cantSplit/>
          <w:jc w:val="center"/>
        </w:trPr>
        <w:tc>
          <w:tcPr>
            <w:tcW w:w="2400" w:type="dxa"/>
            <w:shd w:val="clear" w:color="auto" w:fill="F1F5F9"/>
            <w:vAlign w:val="center"/>
          </w:tcPr>
          <w:p w14:paraId="3C04A21E" w14:textId="77777777">
            <w:pPr>
              <w:spacing w:after="20"/>
            </w:pPr>
            <w:r>
              <w:rPr>
                <w:sz w:val="16"/>
              </w:rPr>
              <w:t xml:space="preserve">Achat</w:t>
            </w:r>
          </w:p>
        </w:tc>
        <w:tc>
          <w:tcPr>
            <w:tcW w:w="7680" w:type="dxa"/>
            <w:shd w:val="clear" w:color="auto" w:fill="F1F5F9"/>
            <w:vAlign w:val="center"/>
          </w:tcPr>
          <w:p w14:paraId="51B55FD6" w14:textId="77777777">
            <w:pPr>
              <w:spacing w:after="20"/>
            </w:pPr>
            <w:r>
              <w:rPr>
                <w:sz w:val="16"/>
              </w:rPr>
              <w:t xml:space="preserve">Enchère en cours ; gagné ; devis émis ; devis validé ; paiement 1 attendu ; confirmé ; annulé.</w:t>
            </w:r>
          </w:p>
        </w:tc>
      </w:tr>
      <w:tr>
        <w:trPr>
          <w:cantSplit/>
          <w:jc w:val="center"/>
        </w:trPr>
        <w:tc>
          <w:tcPr>
            <w:tcW w:w="2400" w:type="dxa"/>
            <w:vAlign w:val="center"/>
          </w:tcPr>
          <w:p w14:paraId="7F393864" w14:textId="77777777">
            <w:pPr>
              <w:spacing w:after="20"/>
            </w:pPr>
            <w:r>
              <w:rPr>
                <w:sz w:val="16"/>
              </w:rPr>
              <w:t xml:space="preserve">Transport USA</w:t>
            </w:r>
          </w:p>
        </w:tc>
        <w:tc>
          <w:tcPr>
            <w:tcW w:w="7680" w:type="dxa"/>
            <w:vAlign w:val="center"/>
          </w:tcPr>
          <w:p w14:paraId="5954C23B" w14:textId="77777777">
            <w:pPr>
              <w:spacing w:after="20"/>
            </w:pPr>
            <w:r>
              <w:rPr>
                <w:sz w:val="16"/>
              </w:rPr>
              <w:t xml:space="preserve">Enlèvement à planifier ; enlevé ; en transit ; reçu au site/port.</w:t>
            </w:r>
          </w:p>
        </w:tc>
      </w:tr>
      <w:tr>
        <w:trPr>
          <w:cantSplit/>
          <w:jc w:val="center"/>
        </w:trPr>
        <w:tc>
          <w:tcPr>
            <w:tcW w:w="2400" w:type="dxa"/>
            <w:shd w:val="clear" w:color="auto" w:fill="F1F5F9"/>
            <w:vAlign w:val="center"/>
          </w:tcPr>
          <w:p w14:paraId="609354B9" w14:textId="77777777">
            <w:pPr>
              <w:spacing w:after="20"/>
            </w:pPr>
            <w:r>
              <w:rPr>
                <w:sz w:val="16"/>
              </w:rPr>
              <w:t xml:space="preserve">Conteneur</w:t>
            </w:r>
          </w:p>
        </w:tc>
        <w:tc>
          <w:tcPr>
            <w:tcW w:w="7680" w:type="dxa"/>
            <w:shd w:val="clear" w:color="auto" w:fill="F1F5F9"/>
            <w:vAlign w:val="center"/>
          </w:tcPr>
          <w:p w14:paraId="52F79DC9" w14:textId="77777777">
            <w:pPr>
              <w:spacing w:after="20"/>
            </w:pPr>
            <w:r>
              <w:rPr>
                <w:sz w:val="16"/>
              </w:rPr>
              <w:t xml:space="preserve">Chargement planifié ; chargé ; conteneur confirmé ; documents attendus.</w:t>
            </w:r>
          </w:p>
        </w:tc>
      </w:tr>
      <w:tr>
        <w:trPr>
          <w:cantSplit/>
          <w:jc w:val="center"/>
        </w:trPr>
        <w:tc>
          <w:tcPr>
            <w:tcW w:w="2400" w:type="dxa"/>
            <w:vAlign w:val="center"/>
          </w:tcPr>
          <w:p w14:paraId="30F1AF13" w14:textId="77777777">
            <w:pPr>
              <w:spacing w:after="20"/>
            </w:pPr>
            <w:r>
              <w:rPr>
                <w:sz w:val="16"/>
              </w:rPr>
              <w:t xml:space="preserve">Maritime</w:t>
            </w:r>
          </w:p>
        </w:tc>
        <w:tc>
          <w:tcPr>
            <w:tcW w:w="7680" w:type="dxa"/>
            <w:vAlign w:val="center"/>
          </w:tcPr>
          <w:p w14:paraId="20CCBEFB" w14:textId="77777777">
            <w:pPr>
              <w:spacing w:after="20"/>
            </w:pPr>
            <w:r>
              <w:rPr>
                <w:sz w:val="16"/>
              </w:rPr>
              <w:t xml:space="preserve">Réservation confirmée ; départ prévu ; en transit ; transbordement ; arrivée estimée ; arrivé.</w:t>
            </w:r>
          </w:p>
        </w:tc>
      </w:tr>
      <w:tr>
        <w:trPr>
          <w:cantSplit/>
          <w:jc w:val="center"/>
        </w:trPr>
        <w:tc>
          <w:tcPr>
            <w:tcW w:w="2400" w:type="dxa"/>
            <w:shd w:val="clear" w:color="auto" w:fill="F1F5F9"/>
            <w:vAlign w:val="center"/>
          </w:tcPr>
          <w:p w14:paraId="3E645E0B" w14:textId="77777777">
            <w:pPr>
              <w:spacing w:after="20"/>
            </w:pPr>
            <w:r>
              <w:rPr>
                <w:sz w:val="16"/>
              </w:rPr>
              <w:t xml:space="preserve">Dakar</w:t>
            </w:r>
          </w:p>
        </w:tc>
        <w:tc>
          <w:tcPr>
            <w:tcW w:w="7680" w:type="dxa"/>
            <w:shd w:val="clear" w:color="auto" w:fill="F1F5F9"/>
            <w:vAlign w:val="center"/>
          </w:tcPr>
          <w:p w14:paraId="2383429A" w14:textId="77777777">
            <w:pPr>
              <w:spacing w:after="20"/>
            </w:pPr>
            <w:r>
              <w:rPr>
                <w:sz w:val="16"/>
              </w:rPr>
              <w:t xml:space="preserve">Documents à finaliser ; solde attendu ; documents remis ; dédouanement en cours ; enlevé.</w:t>
            </w:r>
          </w:p>
        </w:tc>
      </w:tr>
      <w:tr>
        <w:trPr>
          <w:cantSplit/>
          <w:jc w:val="center"/>
        </w:trPr>
        <w:tc>
          <w:tcPr>
            <w:tcW w:w="2400" w:type="dxa"/>
            <w:vAlign w:val="center"/>
          </w:tcPr>
          <w:p w14:paraId="2475E634" w14:textId="77777777">
            <w:pPr>
              <w:spacing w:after="20"/>
            </w:pPr>
            <w:r>
              <w:rPr>
                <w:sz w:val="16"/>
              </w:rPr>
              <w:t xml:space="preserve">Clôture</w:t>
            </w:r>
          </w:p>
        </w:tc>
        <w:tc>
          <w:tcPr>
            <w:tcW w:w="7680" w:type="dxa"/>
            <w:vAlign w:val="center"/>
          </w:tcPr>
          <w:p w14:paraId="1390AEEE" w14:textId="77777777">
            <w:pPr>
              <w:spacing w:after="20"/>
            </w:pPr>
            <w:r>
              <w:rPr>
                <w:sz w:val="16"/>
              </w:rPr>
              <w:t xml:space="preserve">Terminé ; archivé ; réclamation ; litige ; suspendu ; non réclamé (procédure en cours).</w:t>
            </w:r>
          </w:p>
        </w:tc>
      </w:tr>
    </w:tbl>
    <w:p w14:paraId="34BD818E" w14:textId="77777777"/>
    <w:p w14:paraId="66847F82" w14:textId="77777777">
      <w:pPr>
        <w:pStyle w:val="Heading1"/>
      </w:pPr>
      <w:r>
        <w:t xml:space="preserve">Annexe B – Informations à recueillir avant le développement</w:t>
      </w:r>
    </w:p>
    <w:p w14:paraId="777A50A4" w14:textId="77777777">
      <w:pPr>
        <w:pStyle w:val="ListBullet"/>
      </w:pPr>
      <w:r>
        <w:t xml:space="preserve">Identité légale de USA CARS (forme juridique, RCCM, NINEA, adresse), logo officiel et liste des utilisateurs internes.</w:t>
      </w:r>
    </w:p>
    <w:p w14:paraId="7A42CB2D" w14:textId="77777777">
      <w:pPr>
        <w:pStyle w:val="ListBullet"/>
      </w:pPr>
      <w:r>
        <w:t xml:space="preserve">Versions validées par le conseil juridique et l’expert-comptable du contrat, de l’ordre d’achat, du devis et des factures.</w:t>
      </w:r>
    </w:p>
    <w:p w14:paraId="21C885AD" w14:textId="77777777">
      <w:pPr>
        <w:pStyle w:val="ListBullet"/>
      </w:pPr>
      <w:r>
        <w:t xml:space="preserve">Valeurs définitives des paramètres de la section 6.</w:t>
      </w:r>
    </w:p>
    <w:p w14:paraId="78C4F15B" w14:textId="77777777">
      <w:pPr>
        <w:pStyle w:val="ListBullet"/>
      </w:pPr>
      <w:r>
        <w:t xml:space="preserve">Comptes officiels (banque, Wave, Orange Money), numéro WhatsApp et e-mail officiels.</w:t>
      </w:r>
    </w:p>
    <w:p w14:paraId="344E7768" w14:textId="77777777">
      <w:pPr>
        <w:pStyle w:val="ListBullet"/>
      </w:pPr>
      <w:r>
        <w:t xml:space="preserve">Méthode interne de calcul des forfaits A et B (postes de coût et marge).</w:t>
      </w:r>
    </w:p>
    <w:p w14:paraId="748FCA78" w14:textId="77777777">
      <w:pPr>
        <w:pStyle w:val="ListBullet"/>
      </w:pPr>
      <w:r>
        <w:t xml:space="preserve">Exemples de numéros de conteneur / Bill of Lading pour Maersk, MSC et Grimaldi.</w:t>
      </w:r>
    </w:p>
    <w:p w14:paraId="5DFF9118" w14:textId="77777777">
      <w:pPr>
        <w:pStyle w:val="ListBullet"/>
      </w:pPr>
      <w:r>
        <w:t xml:space="preserve">Canaux de notification et modèles de messages approuvés.</w:t>
      </w:r>
    </w:p>
    <w:p w14:paraId="15AAFF8A" w14:textId="77777777">
      <w:pPr>
        <w:pStyle w:val="ListBullet"/>
      </w:pPr>
      <w:r>
        <w:t xml:space="preserve">Volume estimé de dossiers mensuels et nombre de clients simultanés.</w:t>
      </w:r>
    </w:p>
    <w:p w14:paraId="18533161" w14:textId="77777777">
      <w:pPr>
        <w:pStyle w:val="ListBullet"/>
      </w:pPr>
      <w:r>
        <w:t xml:space="preserve">Politique d’accès, conservation des documents et exigences de sauvegarde.</w:t>
      </w:r>
    </w:p>
    <w:p w14:paraId="52465296" w14:textId="77777777">
      <w:pPr>
        <w:pStyle w:val="Heading1"/>
      </w:pPr>
      <w:r>
        <w:t xml:space="preserve">Annexe C – Correspondance entre documents contractuels et système</w:t>
      </w:r>
    </w:p>
    <w:tbl>
      <w:tblPr>
        <w:tblStyle w:val="TableGrid"/>
        <w:tblW w:w="10080" w:type="dxa"/>
        <w:jc w:val="center"/>
        <w:tblLayout w:type="fixed"/>
        <w:tblLook w:val="04A0" w:firstRow="1" w:lastRow="0" w:firstColumn="1" w:lastColumn="0" w:noHBand="0" w:noVBand="1"/>
      </w:tblPr>
      <w:tblGrid>
        <w:gridCol w:w="2700"/>
        <w:gridCol w:w="3700"/>
        <w:gridCol w:w="3680"/>
      </w:tblGrid>
      <w:tr>
        <w:trPr>
          <w:cantSplit/>
          <w:tblHeader/>
          <w:jc w:val="center"/>
        </w:trPr>
        <w:tc>
          <w:tcPr>
            <w:tcW w:w="2700" w:type="dxa"/>
            <w:shd w:val="clear" w:color="auto" w:fill="15365B"/>
            <w:vAlign w:val="center"/>
          </w:tcPr>
          <w:p w14:paraId="123EEB3B" w14:textId="77777777">
            <w:pPr>
              <w:spacing w:after="20"/>
            </w:pPr>
            <w:r>
              <w:rPr>
                <w:b/>
                <w:color w:val="FFFFFF"/>
                <w:sz w:val="16"/>
              </w:rPr>
              <w:t xml:space="preserve">Document</w:t>
            </w:r>
          </w:p>
        </w:tc>
        <w:tc>
          <w:tcPr>
            <w:tcW w:w="3700" w:type="dxa"/>
            <w:shd w:val="clear" w:color="auto" w:fill="15365B"/>
            <w:vAlign w:val="center"/>
          </w:tcPr>
          <w:p w14:paraId="568E49BD" w14:textId="77777777">
            <w:pPr>
              <w:spacing w:after="20"/>
            </w:pPr>
            <w:r>
              <w:rPr>
                <w:b/>
                <w:color w:val="FFFFFF"/>
                <w:sz w:val="16"/>
              </w:rPr>
              <w:t xml:space="preserve">Généré ou enregistré à l’étape</w:t>
            </w:r>
          </w:p>
        </w:tc>
        <w:tc>
          <w:tcPr>
            <w:tcW w:w="3680" w:type="dxa"/>
            <w:shd w:val="clear" w:color="auto" w:fill="15365B"/>
            <w:vAlign w:val="center"/>
          </w:tcPr>
          <w:p w14:paraId="55AF7C4D" w14:textId="77777777">
            <w:pPr>
              <w:spacing w:after="20"/>
            </w:pPr>
            <w:r>
              <w:rPr>
                <w:b/>
                <w:color w:val="FFFFFF"/>
                <w:sz w:val="16"/>
              </w:rPr>
              <w:t xml:space="preserve">Référence</w:t>
            </w:r>
          </w:p>
        </w:tc>
      </w:tr>
      <w:tr>
        <w:trPr>
          <w:cantSplit/>
          <w:jc w:val="center"/>
        </w:trPr>
        <w:tc>
          <w:tcPr>
            <w:tcW w:w="2700" w:type="dxa"/>
            <w:vAlign w:val="center"/>
          </w:tcPr>
          <w:p w14:paraId="78D20BFB" w14:textId="77777777">
            <w:pPr>
              <w:spacing w:after="20"/>
            </w:pPr>
            <w:r>
              <w:rPr>
                <w:sz w:val="16"/>
              </w:rPr>
              <w:t xml:space="preserve">Contrat de prestation</w:t>
            </w:r>
          </w:p>
        </w:tc>
        <w:tc>
          <w:tcPr>
            <w:tcW w:w="3700" w:type="dxa"/>
            <w:vAlign w:val="center"/>
          </w:tcPr>
          <w:p w14:paraId="2A0043AB" w14:textId="77777777">
            <w:pPr>
              <w:spacing w:after="20"/>
            </w:pPr>
            <w:r>
              <w:rPr>
                <w:sz w:val="16"/>
              </w:rPr>
              <w:t xml:space="preserve">Ouverture du dossier</w:t>
            </w:r>
          </w:p>
        </w:tc>
        <w:tc>
          <w:tcPr>
            <w:tcW w:w="3680" w:type="dxa"/>
            <w:vAlign w:val="center"/>
          </w:tcPr>
          <w:p w14:paraId="2968654D" w14:textId="77777777">
            <w:pPr>
              <w:spacing w:after="20"/>
            </w:pPr>
            <w:r>
              <w:rPr>
                <w:sz w:val="16"/>
              </w:rPr>
              <w:t xml:space="preserve">Contrat, articles 1 à 40</w:t>
            </w:r>
          </w:p>
        </w:tc>
      </w:tr>
      <w:tr>
        <w:trPr>
          <w:cantSplit/>
          <w:jc w:val="center"/>
        </w:trPr>
        <w:tc>
          <w:tcPr>
            <w:tcW w:w="2700" w:type="dxa"/>
            <w:shd w:val="clear" w:color="auto" w:fill="F1F5F9"/>
            <w:vAlign w:val="center"/>
          </w:tcPr>
          <w:p w14:paraId="5C3E7A72" w14:textId="77777777">
            <w:pPr>
              <w:spacing w:after="20"/>
            </w:pPr>
            <w:r>
              <w:rPr>
                <w:sz w:val="16"/>
              </w:rPr>
              <w:t xml:space="preserve">Ordre d’achat</w:t>
            </w:r>
          </w:p>
        </w:tc>
        <w:tc>
          <w:tcPr>
            <w:tcW w:w="3700" w:type="dxa"/>
            <w:shd w:val="clear" w:color="auto" w:fill="F1F5F9"/>
            <w:vAlign w:val="center"/>
          </w:tcPr>
          <w:p w14:paraId="3AB17E17" w14:textId="77777777">
            <w:pPr>
              <w:spacing w:after="20"/>
            </w:pPr>
            <w:r>
              <w:rPr>
                <w:sz w:val="16"/>
              </w:rPr>
              <w:t xml:space="preserve">Avant l’enchère</w:t>
            </w:r>
          </w:p>
        </w:tc>
        <w:tc>
          <w:tcPr>
            <w:tcW w:w="3680" w:type="dxa"/>
            <w:shd w:val="clear" w:color="auto" w:fill="F1F5F9"/>
            <w:vAlign w:val="center"/>
          </w:tcPr>
          <w:p w14:paraId="1E1E9D06" w14:textId="77777777">
            <w:pPr>
              <w:spacing w:after="20"/>
            </w:pPr>
            <w:r>
              <w:rPr>
                <w:sz w:val="16"/>
              </w:rPr>
              <w:t xml:space="preserve">Annexe B du contrat</w:t>
            </w:r>
          </w:p>
        </w:tc>
      </w:tr>
      <w:tr>
        <w:trPr>
          <w:cantSplit/>
          <w:jc w:val="center"/>
        </w:trPr>
        <w:tc>
          <w:tcPr>
            <w:tcW w:w="2700" w:type="dxa"/>
            <w:vAlign w:val="center"/>
          </w:tcPr>
          <w:p w14:paraId="19A065B4" w14:textId="77777777">
            <w:pPr>
              <w:spacing w:after="20"/>
            </w:pPr>
            <w:r>
              <w:rPr>
                <w:sz w:val="16"/>
              </w:rPr>
              <w:t xml:space="preserve">Devis (DV)</w:t>
            </w:r>
          </w:p>
        </w:tc>
        <w:tc>
          <w:tcPr>
            <w:tcW w:w="3700" w:type="dxa"/>
            <w:vAlign w:val="center"/>
          </w:tcPr>
          <w:p w14:paraId="5033C96B" w14:textId="77777777">
            <w:pPr>
              <w:spacing w:after="20"/>
            </w:pPr>
            <w:r>
              <w:rPr>
                <w:sz w:val="16"/>
              </w:rPr>
              <w:t xml:space="preserve">Après l’adjudication</w:t>
            </w:r>
          </w:p>
        </w:tc>
        <w:tc>
          <w:tcPr>
            <w:tcW w:w="3680" w:type="dxa"/>
            <w:vAlign w:val="center"/>
          </w:tcPr>
          <w:p w14:paraId="551A701F" w14:textId="77777777">
            <w:pPr>
              <w:spacing w:after="20"/>
            </w:pPr>
            <w:r>
              <w:rPr>
                <w:sz w:val="16"/>
              </w:rPr>
              <w:t xml:space="preserve">Devis / facture client</w:t>
            </w:r>
          </w:p>
        </w:tc>
      </w:tr>
      <w:tr>
        <w:trPr>
          <w:cantSplit/>
          <w:jc w:val="center"/>
        </w:trPr>
        <w:tc>
          <w:tcPr>
            <w:tcW w:w="2700" w:type="dxa"/>
            <w:shd w:val="clear" w:color="auto" w:fill="F1F5F9"/>
            <w:vAlign w:val="center"/>
          </w:tcPr>
          <w:p w14:paraId="7C14AF2A" w14:textId="77777777">
            <w:pPr>
              <w:spacing w:after="20"/>
            </w:pPr>
            <w:r>
              <w:rPr>
                <w:sz w:val="16"/>
              </w:rPr>
              <w:t xml:space="preserve">Facture d’acompte (FA)</w:t>
            </w:r>
          </w:p>
        </w:tc>
        <w:tc>
          <w:tcPr>
            <w:tcW w:w="3700" w:type="dxa"/>
            <w:shd w:val="clear" w:color="auto" w:fill="F1F5F9"/>
            <w:vAlign w:val="center"/>
          </w:tcPr>
          <w:p w14:paraId="70904AE6" w14:textId="77777777">
            <w:pPr>
              <w:spacing w:after="20"/>
            </w:pPr>
            <w:r>
              <w:rPr>
                <w:sz w:val="16"/>
              </w:rPr>
              <w:t xml:space="preserve">Après validation du devis</w:t>
            </w:r>
          </w:p>
        </w:tc>
        <w:tc>
          <w:tcPr>
            <w:tcW w:w="3680" w:type="dxa"/>
            <w:shd w:val="clear" w:color="auto" w:fill="F1F5F9"/>
            <w:vAlign w:val="center"/>
          </w:tcPr>
          <w:p w14:paraId="69B95E74" w14:textId="77777777">
            <w:pPr>
              <w:spacing w:after="20"/>
            </w:pPr>
            <w:r>
              <w:rPr>
                <w:sz w:val="16"/>
              </w:rPr>
              <w:t xml:space="preserve">Section A ; art. 9.1</w:t>
            </w:r>
          </w:p>
        </w:tc>
      </w:tr>
      <w:tr>
        <w:trPr>
          <w:cantSplit/>
          <w:jc w:val="center"/>
        </w:trPr>
        <w:tc>
          <w:tcPr>
            <w:tcW w:w="2700" w:type="dxa"/>
            <w:vAlign w:val="center"/>
          </w:tcPr>
          <w:p w14:paraId="1FB657BE" w14:textId="77777777">
            <w:pPr>
              <w:spacing w:after="20"/>
            </w:pPr>
            <w:r>
              <w:rPr>
                <w:sz w:val="16"/>
              </w:rPr>
              <w:t xml:space="preserve">Facture de solde (FS)</w:t>
            </w:r>
          </w:p>
        </w:tc>
        <w:tc>
          <w:tcPr>
            <w:tcW w:w="3700" w:type="dxa"/>
            <w:vAlign w:val="center"/>
          </w:tcPr>
          <w:p w14:paraId="661018A0" w14:textId="77777777">
            <w:pPr>
              <w:spacing w:after="20"/>
            </w:pPr>
            <w:r>
              <w:rPr>
                <w:sz w:val="16"/>
              </w:rPr>
              <w:t xml:space="preserve">Après embarquement et B/L</w:t>
            </w:r>
          </w:p>
        </w:tc>
        <w:tc>
          <w:tcPr>
            <w:tcW w:w="3680" w:type="dxa"/>
            <w:vAlign w:val="center"/>
          </w:tcPr>
          <w:p w14:paraId="43B04B0D" w14:textId="77777777">
            <w:pPr>
              <w:spacing w:after="20"/>
            </w:pPr>
            <w:r>
              <w:rPr>
                <w:sz w:val="16"/>
              </w:rPr>
              <w:t xml:space="preserve">Sections B, C, D ; art. 9.2–9.3</w:t>
            </w:r>
          </w:p>
        </w:tc>
      </w:tr>
      <w:tr>
        <w:trPr>
          <w:cantSplit/>
          <w:jc w:val="center"/>
        </w:trPr>
        <w:tc>
          <w:tcPr>
            <w:tcW w:w="2700" w:type="dxa"/>
            <w:shd w:val="clear" w:color="auto" w:fill="F1F5F9"/>
            <w:vAlign w:val="center"/>
          </w:tcPr>
          <w:p w14:paraId="24422165" w14:textId="77777777">
            <w:pPr>
              <w:spacing w:after="20"/>
            </w:pPr>
            <w:r>
              <w:rPr>
                <w:sz w:val="16"/>
              </w:rPr>
              <w:t xml:space="preserve">Fiche opérationnelle</w:t>
            </w:r>
          </w:p>
        </w:tc>
        <w:tc>
          <w:tcPr>
            <w:tcW w:w="3700" w:type="dxa"/>
            <w:shd w:val="clear" w:color="auto" w:fill="F1F5F9"/>
            <w:vAlign w:val="center"/>
          </w:tcPr>
          <w:p w14:paraId="7B67F7BA" w14:textId="77777777">
            <w:pPr>
              <w:spacing w:after="20"/>
            </w:pPr>
            <w:r>
              <w:rPr>
                <w:sz w:val="16"/>
              </w:rPr>
              <w:t xml:space="preserve">Mise à jour tout au long du dossier</w:t>
            </w:r>
          </w:p>
        </w:tc>
        <w:tc>
          <w:tcPr>
            <w:tcW w:w="3680" w:type="dxa"/>
            <w:shd w:val="clear" w:color="auto" w:fill="F1F5F9"/>
            <w:vAlign w:val="center"/>
          </w:tcPr>
          <w:p w14:paraId="78B452E8" w14:textId="77777777">
            <w:pPr>
              <w:spacing w:after="20"/>
            </w:pPr>
            <w:r>
              <w:rPr>
                <w:sz w:val="16"/>
              </w:rPr>
              <w:t xml:space="preserve">Annexe A du contrat</w:t>
            </w:r>
          </w:p>
        </w:tc>
      </w:tr>
      <w:tr>
        <w:trPr>
          <w:cantSplit/>
          <w:jc w:val="center"/>
        </w:trPr>
        <w:tc>
          <w:tcPr>
            <w:tcW w:w="2700" w:type="dxa"/>
            <w:vAlign w:val="center"/>
          </w:tcPr>
          <w:p w14:paraId="612BC6F7" w14:textId="77777777">
            <w:pPr>
              <w:spacing w:after="20"/>
            </w:pPr>
            <w:r>
              <w:rPr>
                <w:sz w:val="16"/>
              </w:rPr>
              <w:t xml:space="preserve">Décharge de remise</w:t>
            </w:r>
          </w:p>
        </w:tc>
        <w:tc>
          <w:tcPr>
            <w:tcW w:w="3700" w:type="dxa"/>
            <w:vAlign w:val="center"/>
          </w:tcPr>
          <w:p w14:paraId="4C1F91EC" w14:textId="77777777">
            <w:pPr>
              <w:spacing w:after="20"/>
            </w:pPr>
            <w:r>
              <w:rPr>
                <w:sz w:val="16"/>
              </w:rPr>
              <w:t xml:space="preserve">Remise des documents</w:t>
            </w:r>
          </w:p>
        </w:tc>
        <w:tc>
          <w:tcPr>
            <w:tcW w:w="3680" w:type="dxa"/>
            <w:vAlign w:val="center"/>
          </w:tcPr>
          <w:p w14:paraId="3AACEDA0" w14:textId="77777777">
            <w:pPr>
              <w:spacing w:after="20"/>
            </w:pPr>
            <w:r>
              <w:rPr>
                <w:sz w:val="16"/>
              </w:rPr>
              <w:t xml:space="preserve">Art. 15</w:t>
            </w:r>
          </w:p>
        </w:tc>
      </w:tr>
      <w:tr>
        <w:trPr>
          <w:cantSplit/>
          <w:jc w:val="center"/>
        </w:trPr>
        <w:tc>
          <w:tcPr>
            <w:tcW w:w="2700" w:type="dxa"/>
            <w:shd w:val="clear" w:color="auto" w:fill="F1F5F9"/>
            <w:vAlign w:val="center"/>
          </w:tcPr>
          <w:p w14:paraId="3C7B4A19" w14:textId="77777777">
            <w:pPr>
              <w:spacing w:after="20"/>
            </w:pPr>
            <w:r>
              <w:rPr>
                <w:sz w:val="16"/>
              </w:rPr>
              <w:t xml:space="preserve">Mise en demeure</w:t>
            </w:r>
          </w:p>
        </w:tc>
        <w:tc>
          <w:tcPr>
            <w:tcW w:w="3700" w:type="dxa"/>
            <w:shd w:val="clear" w:color="auto" w:fill="F1F5F9"/>
            <w:vAlign w:val="center"/>
          </w:tcPr>
          <w:p w14:paraId="64FDD23E" w14:textId="77777777">
            <w:pPr>
              <w:spacing w:after="20"/>
            </w:pPr>
            <w:r>
              <w:rPr>
                <w:sz w:val="16"/>
              </w:rPr>
              <w:t xml:space="preserve">Défaut de paiement ou d’enlèvement</w:t>
            </w:r>
          </w:p>
        </w:tc>
        <w:tc>
          <w:tcPr>
            <w:tcW w:w="3680" w:type="dxa"/>
            <w:shd w:val="clear" w:color="auto" w:fill="F1F5F9"/>
            <w:vAlign w:val="center"/>
          </w:tcPr>
          <w:p w14:paraId="66A66C17" w14:textId="77777777">
            <w:pPr>
              <w:spacing w:after="20"/>
            </w:pPr>
            <w:r>
              <w:rPr>
                <w:sz w:val="16"/>
              </w:rPr>
              <w:t xml:space="preserve">Art. 21–22</w:t>
            </w:r>
          </w:p>
        </w:tc>
      </w:tr>
    </w:tbl>
    <w:sectPr w:rsidR="00CD7CC7" w:rsidSect="00034616">
      <w:headerReference w:type="default" r:id="rId13"/>
      <w:footerReference w:type="default" r:id="rId1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FBA8" w14:textId="77777777" w:rsidR="00D7721E" w:rsidRPr="006A2BFD" w:rsidRDefault="00D7721E">
      <w:pPr>
        <w:spacing w:after="0" w:line="240" w:lineRule="auto"/>
      </w:pPr>
      <w:r w:rsidRPr="006A2BFD">
        <w:separator/>
      </w:r>
    </w:p>
  </w:endnote>
  <w:endnote w:type="continuationSeparator" w:id="0">
    <w:p w14:paraId="26A1AA1E" w14:textId="77777777" w:rsidR="00D7721E" w:rsidRPr="006A2BFD" w:rsidRDefault="00D7721E">
      <w:pPr>
        <w:spacing w:after="0" w:line="240" w:lineRule="auto"/>
      </w:pPr>
      <w:r w:rsidRPr="006A2B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294C1" w14:textId="77777777" w:rsidR="00CD7CC7" w:rsidRPr="006A2BFD" w:rsidRDefault="00D7721E">
    <w:pPr>
      <w:pStyle w:val="Footer"/>
      <w:jc w:val="center"/>
    </w:pPr>
    <w:r w:rsidRPr="006A2BFD">
      <w:rPr>
        <w:sz w:val="16"/>
      </w:rPr>
      <w:t>Cahier des charges fonctionnel • Version 1.1 • Octobre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7DDA0" w14:textId="77777777" w:rsidR="00D7721E" w:rsidRPr="006A2BFD" w:rsidRDefault="00D7721E">
      <w:pPr>
        <w:spacing w:after="0" w:line="240" w:lineRule="auto"/>
      </w:pPr>
      <w:r w:rsidRPr="006A2BFD">
        <w:separator/>
      </w:r>
    </w:p>
  </w:footnote>
  <w:footnote w:type="continuationSeparator" w:id="0">
    <w:p w14:paraId="6EA7DE39" w14:textId="77777777" w:rsidR="00D7721E" w:rsidRPr="006A2BFD" w:rsidRDefault="00D7721E">
      <w:pPr>
        <w:spacing w:after="0" w:line="240" w:lineRule="auto"/>
      </w:pPr>
      <w:r w:rsidRPr="006A2BF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7CDC" w14:textId="4DD7F991" w:rsidR="00CD7CC7" w:rsidRPr="006A2BFD" w:rsidRDefault="00D7721E">
    <w:pPr>
      <w:pStyle w:val="Header"/>
      <w:jc w:val="right"/>
    </w:pPr>
    <w:r w:rsidRPr="006A2BFD">
      <w:rPr>
        <w:b/>
        <w:color w:val="15365B"/>
        <w:sz w:val="16"/>
      </w:rPr>
      <w:t xml:space="preserve">USA </w:t>
    </w:r>
    <w:r w:rsidR="0084252F" w:rsidRPr="006A2BFD">
      <w:rPr>
        <w:b/>
        <w:color w:val="15365B"/>
        <w:sz w:val="16"/>
      </w:rPr>
      <w:t xml:space="preserve">CARS </w:t>
    </w:r>
    <w:proofErr w:type="gramStart"/>
    <w:r w:rsidR="0084252F" w:rsidRPr="006A2BFD">
      <w:rPr>
        <w:b/>
        <w:color w:val="15365B"/>
        <w:sz w:val="16"/>
      </w:rPr>
      <w:t>|</w:t>
    </w:r>
    <w:r w:rsidRPr="006A2BFD">
      <w:rPr>
        <w:b/>
        <w:color w:val="15365B"/>
        <w:sz w:val="16"/>
      </w:rPr>
      <w:t xml:space="preserve">  GESTION</w:t>
    </w:r>
    <w:proofErr w:type="gramEnd"/>
    <w:r w:rsidRPr="006A2BFD">
      <w:rPr>
        <w:b/>
        <w:color w:val="15365B"/>
        <w:sz w:val="16"/>
      </w:rPr>
      <w:t xml:space="preserve"> DES OPÉRATIONS &amp; TRACKING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278207">
    <w:abstractNumId w:val="8"/>
  </w:num>
  <w:num w:numId="2" w16cid:durableId="2106949425">
    <w:abstractNumId w:val="6"/>
  </w:num>
  <w:num w:numId="3" w16cid:durableId="1315722736">
    <w:abstractNumId w:val="5"/>
  </w:num>
  <w:num w:numId="4" w16cid:durableId="1040937017">
    <w:abstractNumId w:val="4"/>
  </w:num>
  <w:num w:numId="5" w16cid:durableId="1185286900">
    <w:abstractNumId w:val="7"/>
  </w:num>
  <w:num w:numId="6" w16cid:durableId="1029574386">
    <w:abstractNumId w:val="3"/>
  </w:num>
  <w:num w:numId="7" w16cid:durableId="1837188913">
    <w:abstractNumId w:val="2"/>
  </w:num>
  <w:num w:numId="8" w16cid:durableId="1400441603">
    <w:abstractNumId w:val="1"/>
  </w:num>
  <w:num w:numId="9" w16cid:durableId="9529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5540"/>
    <w:rsid w:val="00326F90"/>
    <w:rsid w:val="006A2BFD"/>
    <w:rsid w:val="0084252F"/>
    <w:rsid w:val="009A3270"/>
    <w:rsid w:val="00AA1D8D"/>
    <w:rsid w:val="00B47730"/>
    <w:rsid w:val="00CB0664"/>
    <w:rsid w:val="00CD7CC7"/>
    <w:rsid w:val="00D772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E2069"/>
  <w14:defaultImageDpi w14:val="300"/>
  <w15:docId w15:val="{53AAF833-7A88-4816-8EF8-D7BECD75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lang w:val="fr-F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6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6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36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A2BFD"/>
    <w:rPr>
      <w:color w:val="0000FF" w:themeColor="hyperlink"/>
      <w:u w:val="single"/>
    </w:rPr>
  </w:style>
  <w:style w:type="character" w:styleId="UnresolvedMention">
    <w:name w:val="Unresolved Mention"/>
    <w:basedOn w:val="DefaultParagraphFont"/>
    <w:uiPriority w:val="99"/>
    <w:semiHidden/>
    <w:unhideWhenUsed/>
    <w:rsid w:val="006A2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ersk.com/trackin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sc.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sc.com/fr/track-a-shipmen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maersk.com/" TargetMode="External"/><Relationship Id="rId4" Type="http://schemas.openxmlformats.org/officeDocument/2006/relationships/settings" Target="settings.xml"/><Relationship Id="rId9" Type="http://schemas.openxmlformats.org/officeDocument/2006/relationships/hyperlink" Target="https://www.maersk.com/track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 Ndiaye</cp:lastModifiedBy>
  <cp:revision>2</cp:revision>
  <dcterms:created xsi:type="dcterms:W3CDTF">2026-10-13T11:25:00Z</dcterms:created>
  <dcterms:modified xsi:type="dcterms:W3CDTF">2026-10-13T11:25:00Z</dcterms:modified>
  <cp:category/>
</cp:coreProperties>
</file>