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32" w:sz="8"/>
              <w:left w:val="single" w:color="1A5632" w:sz="8"/>
              <w:bottom w:val="single" w:color="1A5632" w:sz="8"/>
              <w:right w:val="single" w:color="1A5632" w:sz="8"/>
            </w:tcBorders>
            <w:shd w:fill="1A5632" w:val="clear"/>
            <w:tcMar>
              <w:top w:type="dxa" w:w="400"/>
              <w:left w:type="dxa" w:w="360"/>
              <w:bottom w:type="dxa" w:w="80"/>
              <w:right w:type="dxa" w:w="360"/>
            </w:tcMar>
          </w:tcPr>
          <w:p>
            <w:pPr>
              <w:spacing w:after="80" w:before="0"/>
              <w:jc w:val="center"/>
            </w:pPr>
            <w:r>
              <w:rPr>
                <w:rFonts w:ascii="Arial" w:cs="Arial" w:eastAsia="Arial" w:hAnsi="Arial"/>
                <w:b/>
                <w:bCs/>
                <w:i w:val="false"/>
                <w:iCs w:val="false"/>
                <w:color w:val="FFFFFF"/>
                <w:sz w:val="52"/>
                <w:szCs w:val="52"/>
              </w:rPr>
              <w:t xml:space="preserve">FINANCE AFRICA DATABASE</w:t>
            </w:r>
          </w:p>
        </w:tc>
      </w:tr>
      <w:tr>
        <w:tc>
          <w:tcPr>
            <w:tcW w:type="dxa" w:w="9360"/>
            <w:tcBorders>
              <w:top w:val="single" w:color="1E8449" w:sz="8"/>
              <w:left w:val="single" w:color="1E8449" w:sz="8"/>
              <w:bottom w:val="single" w:color="1E8449" w:sz="8"/>
              <w:right w:val="single" w:color="1E8449" w:sz="8"/>
            </w:tcBorders>
            <w:shd w:fill="1E8449" w:val="clear"/>
            <w:tcMar>
              <w:top w:type="dxa" w:w="160"/>
              <w:left w:type="dxa" w:w="360"/>
              <w:bottom w:type="dxa" w:w="160"/>
              <w:right w:type="dxa" w:w="360"/>
            </w:tcMar>
          </w:tcPr>
          <w:p>
            <w:pPr>
              <w:spacing w:after="60" w:before="0"/>
              <w:jc w:val="center"/>
            </w:pPr>
            <w:r>
              <w:rPr>
                <w:rFonts w:ascii="Arial" w:cs="Arial" w:eastAsia="Arial" w:hAnsi="Arial"/>
                <w:b w:val="false"/>
                <w:bCs w:val="false"/>
                <w:i/>
                <w:iCs/>
                <w:color w:val="FFFFFF"/>
                <w:sz w:val="24"/>
                <w:szCs w:val="24"/>
              </w:rPr>
              <w:t xml:space="preserve">Etude Approfondie : Macroeconomie, Finance, Banques, Marches,</w:t>
            </w:r>
          </w:p>
          <w:p>
            <w:pPr>
              <w:spacing w:after="0" w:before="0"/>
              <w:jc w:val="center"/>
            </w:pPr>
            <w:r>
              <w:rPr>
                <w:rFonts w:ascii="Arial" w:cs="Arial" w:eastAsia="Arial" w:hAnsi="Arial"/>
                <w:b w:val="false"/>
                <w:bCs w:val="false"/>
                <w:i/>
                <w:iCs/>
                <w:color w:val="FFFFFF"/>
                <w:sz w:val="24"/>
                <w:szCs w:val="24"/>
              </w:rPr>
              <w:t xml:space="preserve">Fintech, Mobile Money &amp; Microfinance en Afrique (2000-2024)</w:t>
            </w:r>
          </w:p>
        </w:tc>
      </w:tr>
      <w:tr>
        <w:tc>
          <w:tcPr>
            <w:tcW w:type="dxa" w:w="9360"/>
            <w:tcBorders>
              <w:top w:val="single" w:color="1E8449" w:sz="8"/>
              <w:left w:val="single" w:color="1E8449" w:sz="8"/>
              <w:bottom w:val="single" w:color="1E8449" w:sz="8"/>
              <w:right w:val="single" w:color="1E8449" w:sz="8"/>
            </w:tcBorders>
            <w:shd w:fill="D5F5E3" w:val="clear"/>
            <w:tcMar>
              <w:top w:type="dxa" w:w="200"/>
              <w:left w:type="dxa" w:w="360"/>
              <w:bottom w:type="dxa" w:w="200"/>
              <w:right w:type="dxa" w:w="360"/>
            </w:tcMar>
          </w:tcPr>
          <w:p>
            <w:pPr>
              <w:spacing w:after="120" w:before="0"/>
              <w:jc w:val="center"/>
            </w:pPr>
            <w:r>
              <w:rPr>
                <w:rFonts w:ascii="Arial" w:cs="Arial" w:eastAsia="Arial" w:hAnsi="Arial"/>
                <w:b/>
                <w:bCs/>
                <w:i w:val="false"/>
                <w:iCs w:val="false"/>
                <w:color w:val="1A5632"/>
                <w:sz w:val="19"/>
                <w:szCs w:val="19"/>
              </w:rPr>
              <w:t xml:space="preserve">54 pays africains  |  25 ans de donnees  |  12 dimensions analytiques  |  15 000+ observations</w:t>
            </w:r>
          </w:p>
          <w:p>
            <w:pPr>
              <w:spacing w:after="60" w:before="0"/>
              <w:jc w:val="center"/>
            </w:pPr>
            <w:r>
              <w:rPr>
                <w:rFonts w:ascii="Arial" w:cs="Arial" w:eastAsia="Arial" w:hAnsi="Arial"/>
                <w:b/>
                <w:bCs/>
                <w:i w:val="false"/>
                <w:iCs w:val="false"/>
                <w:color w:val="2E6DA4"/>
                <w:sz w:val="21"/>
                <w:szCs w:val="21"/>
              </w:rPr>
              <w:t xml:space="preserve">Rapport Senior Data Analyst &amp; WebGIS Expert</w:t>
            </w:r>
          </w:p>
          <w:p>
            <w:pPr>
              <w:spacing w:after="0" w:before="0"/>
              <w:jc w:val="center"/>
            </w:pPr>
            <w:r>
              <w:rPr>
                <w:rFonts w:ascii="Arial" w:cs="Arial" w:eastAsia="Arial" w:hAnsi="Arial"/>
                <w:b w:val="false"/>
                <w:bCs w:val="false"/>
                <w:i/>
                <w:iCs/>
                <w:color w:val="444444"/>
                <w:sz w:val="19"/>
                <w:szCs w:val="19"/>
              </w:rPr>
              <w:t xml:space="preserve">Abdou Samad Faye  |  Fullstack Geo Data Scientist  |  Avril 2026</w:t>
            </w:r>
          </w:p>
        </w:tc>
      </w:tr>
    </w:tbl>
    <w:p>
      <w:pPr>
        <w:spacing w:after="40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8"/>
              <w:left w:val="single" w:color="1E8449" w:sz="8"/>
              <w:bottom w:val="single" w:color="1E8449" w:sz="8"/>
              <w:right w:val="single" w:color="1E8449" w:sz="8"/>
            </w:tcBorders>
            <w:shd w:fill="2E6DA4"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0"/>
                <w:szCs w:val="20"/>
              </w:rPr>
              <w:t xml:space="preserve">FICHE TECHNIQUE DU RAPPORT</w:t>
            </w:r>
          </w:p>
        </w:tc>
      </w:tr>
      <w:tr>
        <w:tc>
          <w:tcPr>
            <w:tcW w:type="dxa" w:w="9360"/>
            <w:tcBorders>
              <w:top w:val="single" w:color="1E8449" w:sz="8"/>
              <w:left w:val="single" w:color="1E8449" w:sz="8"/>
              <w:bottom w:val="single" w:color="1E8449" w:sz="8"/>
              <w:right w:val="single" w:color="1E8449" w:sz="8"/>
            </w:tcBorders>
            <w:shd w:fill="D5F5E3" w:val="clear"/>
            <w:tcMar>
              <w:top w:type="dxa" w:w="120"/>
              <w:left w:type="dxa" w:w="160"/>
              <w:bottom w:type="dxa" w:w="120"/>
              <w:right w:type="dxa" w:w="160"/>
            </w:tcMar>
          </w:tcPr>
          <w:p>
            <w:pPr>
              <w:spacing w:after="40" w:before="40"/>
            </w:pPr>
            <w:r>
              <w:rPr>
                <w:rFonts w:ascii="Arial" w:cs="Arial" w:eastAsia="Arial" w:hAnsi="Arial"/>
                <w:b w:val="false"/>
                <w:bCs w:val="false"/>
                <w:i w:val="false"/>
                <w:iCs w:val="false"/>
                <w:color w:val="444444"/>
                <w:sz w:val="19"/>
                <w:szCs w:val="19"/>
              </w:rPr>
              <w:t xml:space="preserve">Document : Etude Analytique Approfondie — Finance &amp; Economie Africaine 2000-2024</w:t>
            </w:r>
          </w:p>
          <w:p>
            <w:pPr>
              <w:spacing w:after="40" w:before="40"/>
            </w:pPr>
            <w:r>
              <w:rPr>
                <w:rFonts w:ascii="Arial" w:cs="Arial" w:eastAsia="Arial" w:hAnsi="Arial"/>
                <w:b w:val="false"/>
                <w:bCs w:val="false"/>
                <w:i w:val="false"/>
                <w:iCs w:val="false"/>
                <w:color w:val="444444"/>
                <w:sz w:val="19"/>
                <w:szCs w:val="19"/>
              </w:rPr>
              <w:t xml:space="preserve">Type : Rapport Senior Data Analyst + Architecture WebGIS + Analyses Quantitatives</w:t>
            </w:r>
          </w:p>
          <w:p>
            <w:pPr>
              <w:spacing w:after="40" w:before="40"/>
            </w:pPr>
            <w:r>
              <w:rPr>
                <w:rFonts w:ascii="Arial" w:cs="Arial" w:eastAsia="Arial" w:hAnsi="Arial"/>
                <w:b w:val="false"/>
                <w:bCs w:val="false"/>
                <w:i w:val="false"/>
                <w:iCs w:val="false"/>
                <w:color w:val="444444"/>
                <w:sz w:val="19"/>
                <w:szCs w:val="19"/>
              </w:rPr>
              <w:t xml:space="preserve">Perimetre : 54 pays africains, 13 onglets Excel, 25 ans de series temporelles (T1 2000 - T4 2024)</w:t>
            </w:r>
          </w:p>
          <w:p>
            <w:pPr>
              <w:spacing w:after="40" w:before="40"/>
            </w:pPr>
            <w:r>
              <w:rPr>
                <w:rFonts w:ascii="Arial" w:cs="Arial" w:eastAsia="Arial" w:hAnsi="Arial"/>
                <w:b w:val="false"/>
                <w:bCs w:val="false"/>
                <w:i w:val="false"/>
                <w:iCs w:val="false"/>
                <w:color w:val="444444"/>
                <w:sz w:val="19"/>
                <w:szCs w:val="19"/>
              </w:rPr>
              <w:t xml:space="preserve">Outils requis : Python (pandas, scipy, sklearn, prophet), R (ggplot2, plm), QGIS, Leaflet.js, PostgreSQL/PostGIS</w:t>
            </w:r>
          </w:p>
          <w:p>
            <w:pPr>
              <w:spacing w:after="40" w:before="40"/>
            </w:pPr>
            <w:r>
              <w:rPr>
                <w:rFonts w:ascii="Arial" w:cs="Arial" w:eastAsia="Arial" w:hAnsi="Arial"/>
                <w:b w:val="false"/>
                <w:bCs w:val="false"/>
                <w:i w:val="false"/>
                <w:iCs w:val="false"/>
                <w:color w:val="444444"/>
                <w:sz w:val="19"/>
                <w:szCs w:val="19"/>
              </w:rPr>
              <w:t xml:space="preserve">Sources : FMI (WEO/FSI/IFS), Banque Mondiale (WDI/Findex), BAfD, GSMA, CNUCED, BIS, MIX Market</w:t>
            </w:r>
          </w:p>
          <w:p>
            <w:pPr>
              <w:spacing w:after="40" w:before="40"/>
            </w:pPr>
            <w:r>
              <w:rPr>
                <w:rFonts w:ascii="Arial" w:cs="Arial" w:eastAsia="Arial" w:hAnsi="Arial"/>
                <w:b w:val="false"/>
                <w:bCs w:val="false"/>
                <w:i w:val="false"/>
                <w:iCs w:val="false"/>
                <w:color w:val="444444"/>
                <w:sz w:val="19"/>
                <w:szCs w:val="19"/>
              </w:rPr>
              <w:t xml:space="preserve">Version : 1.0 Final  |  Classification : Usage analytique et pedagogique</w:t>
            </w:r>
          </w:p>
        </w:tc>
      </w:tr>
    </w:tbl>
    <w:p>
      <w:pPr>
        <w:spacing w:after="200" w:before="0"/>
      </w:pPr>
      <w:r>
        <w:rPr>
          <w:rFonts w:ascii="Arial" w:cs="Arial" w:eastAsia="Arial" w:hAnsi="Arial"/>
          <w:b w:val="false"/>
          <w:bCs w:val="false"/>
          <w:i w:val="false"/>
          <w:iCs w:val="false"/>
          <w:color w:val="000000"/>
          <w:sz w:val="20"/>
          <w:szCs w:val="20"/>
        </w:rPr>
        <w:t xml:space="preserve"/>
      </w:r>
    </w:p>
    <w:p>
      <w:r>
        <w:br w:type="page"/>
      </w:r>
    </w:p>
    <w:p>
      <w:pPr>
        <w:pStyle w:val="Heading1"/>
        <w:pBdr>
          <w:bottom w:val="single" w:color="1A5632" w:sz="12" w:space="4"/>
        </w:pBdr>
        <w:spacing w:after="180" w:before="360"/>
      </w:pPr>
      <w:r>
        <w:rPr>
          <w:rFonts w:ascii="Arial" w:cs="Arial" w:eastAsia="Arial" w:hAnsi="Arial"/>
          <w:b/>
          <w:bCs/>
          <w:color w:val="1A5632"/>
          <w:sz w:val="36"/>
          <w:szCs w:val="36"/>
        </w:rPr>
        <w:t xml:space="preserve">TABLE DES MATIERES</w:t>
      </w:r>
    </w:p>
    <w:p>
      <w:pPr>
        <w:spacing w:after="80" w:before="0"/>
      </w:pPr>
      <w:r>
        <w:rPr>
          <w:rFonts w:ascii="Arial" w:cs="Arial" w:eastAsia="Arial" w:hAnsi="Arial"/>
          <w:b w:val="false"/>
          <w:bCs w:val="false"/>
          <w:i w:val="false"/>
          <w:iCs w:val="false"/>
          <w:color w:val="000000"/>
          <w:sz w:val="20"/>
          <w:szCs w:val="20"/>
        </w:rPr>
        <w:t xml:space="preserve"/>
      </w:r>
    </w:p>
    <w:p>
      <w:pPr>
        <w:tabs>
          <w:tab w:val="right" w:pos="8640"/>
        </w:tabs>
        <w:spacing w:after="40" w:before="80"/>
      </w:pPr>
      <w:r>
        <w:rPr>
          <w:rFonts w:ascii="Arial" w:cs="Arial" w:eastAsia="Arial" w:hAnsi="Arial"/>
          <w:b/>
          <w:bCs/>
          <w:i w:val="false"/>
          <w:iCs w:val="false"/>
          <w:color w:val="1A5632"/>
          <w:sz w:val="20"/>
          <w:szCs w:val="20"/>
        </w:rPr>
        <w:t xml:space="preserve">I.</w:t>
      </w:r>
      <w:r>
        <w:rPr>
          <w:rFonts w:ascii="Arial" w:cs="Arial" w:eastAsia="Arial" w:hAnsi="Arial"/>
          <w:b/>
          <w:bCs/>
          <w:i w:val="false"/>
          <w:iCs w:val="false"/>
          <w:color w:val="1A3A5C"/>
          <w:sz w:val="20"/>
          <w:szCs w:val="20"/>
        </w:rPr>
        <w:t xml:space="preserve">  CONTEXTE ET POSITIONNEMENT STRATEGIQUE</w:t>
      </w:r>
      <w:r>
        <w:rPr>
          <w:rFonts w:ascii="Arial" w:cs="Arial" w:eastAsia="Arial" w:hAnsi="Arial"/>
          <w:color w:val="1E8449"/>
          <w:sz w:val="20"/>
          <w:szCs w:val="20"/>
        </w:rPr>
        <w:t xml:space="preserve">	3</w:t>
      </w:r>
    </w:p>
    <w:p>
      <w:pPr>
        <w:tabs>
          <w:tab w:val="right" w:pos="8640"/>
        </w:tabs>
        <w:spacing w:after="20" w:before="30"/>
        <w:ind w:left="360"/>
      </w:pPr>
      <w:r>
        <w:rPr>
          <w:rFonts w:ascii="Arial" w:cs="Arial" w:eastAsia="Arial" w:hAnsi="Arial"/>
          <w:b w:val="false"/>
          <w:bCs w:val="false"/>
          <w:i w:val="false"/>
          <w:iCs w:val="false"/>
          <w:color w:val="444444"/>
          <w:sz w:val="18"/>
          <w:szCs w:val="18"/>
        </w:rPr>
        <w:t xml:space="preserve">  1.1</w:t>
      </w:r>
      <w:r>
        <w:rPr>
          <w:rFonts w:ascii="Arial" w:cs="Arial" w:eastAsia="Arial" w:hAnsi="Arial"/>
          <w:b w:val="false"/>
          <w:bCs w:val="false"/>
          <w:i w:val="false"/>
          <w:iCs w:val="false"/>
          <w:color w:val="444444"/>
          <w:sz w:val="18"/>
          <w:szCs w:val="18"/>
        </w:rPr>
        <w:t xml:space="preserve">  L'Afrique financiere en 2024 : etat des lieux</w:t>
      </w:r>
      <w:r>
        <w:rPr>
          <w:rFonts w:ascii="Arial" w:cs="Arial" w:eastAsia="Arial" w:hAnsi="Arial"/>
          <w:color w:val="444444"/>
          <w:sz w:val="18"/>
          <w:szCs w:val="18"/>
        </w:rPr>
        <w:t xml:space="preserve">	3</w:t>
      </w:r>
    </w:p>
    <w:p>
      <w:pPr>
        <w:tabs>
          <w:tab w:val="right" w:pos="8640"/>
        </w:tabs>
        <w:spacing w:after="20" w:before="30"/>
        <w:ind w:left="360"/>
      </w:pPr>
      <w:r>
        <w:rPr>
          <w:rFonts w:ascii="Arial" w:cs="Arial" w:eastAsia="Arial" w:hAnsi="Arial"/>
          <w:b w:val="false"/>
          <w:bCs w:val="false"/>
          <w:i w:val="false"/>
          <w:iCs w:val="false"/>
          <w:color w:val="444444"/>
          <w:sz w:val="18"/>
          <w:szCs w:val="18"/>
        </w:rPr>
        <w:t xml:space="preserve">  1.2</w:t>
      </w:r>
      <w:r>
        <w:rPr>
          <w:rFonts w:ascii="Arial" w:cs="Arial" w:eastAsia="Arial" w:hAnsi="Arial"/>
          <w:b w:val="false"/>
          <w:bCs w:val="false"/>
          <w:i w:val="false"/>
          <w:iCs w:val="false"/>
          <w:color w:val="444444"/>
          <w:sz w:val="18"/>
          <w:szCs w:val="18"/>
        </w:rPr>
        <w:t xml:space="preserve">  Rationale de l'etude et enjeux analytiques</w:t>
      </w:r>
      <w:r>
        <w:rPr>
          <w:rFonts w:ascii="Arial" w:cs="Arial" w:eastAsia="Arial" w:hAnsi="Arial"/>
          <w:color w:val="444444"/>
          <w:sz w:val="18"/>
          <w:szCs w:val="18"/>
        </w:rPr>
        <w:t xml:space="preserve">	3</w:t>
      </w:r>
    </w:p>
    <w:p>
      <w:pPr>
        <w:tabs>
          <w:tab w:val="right" w:pos="8640"/>
        </w:tabs>
        <w:spacing w:after="20" w:before="30"/>
        <w:ind w:left="360"/>
      </w:pPr>
      <w:r>
        <w:rPr>
          <w:rFonts w:ascii="Arial" w:cs="Arial" w:eastAsia="Arial" w:hAnsi="Arial"/>
          <w:b w:val="false"/>
          <w:bCs w:val="false"/>
          <w:i w:val="false"/>
          <w:iCs w:val="false"/>
          <w:color w:val="444444"/>
          <w:sz w:val="18"/>
          <w:szCs w:val="18"/>
        </w:rPr>
        <w:t xml:space="preserve">  1.3</w:t>
      </w:r>
      <w:r>
        <w:rPr>
          <w:rFonts w:ascii="Arial" w:cs="Arial" w:eastAsia="Arial" w:hAnsi="Arial"/>
          <w:b w:val="false"/>
          <w:bCs w:val="false"/>
          <w:i w:val="false"/>
          <w:iCs w:val="false"/>
          <w:color w:val="444444"/>
          <w:sz w:val="18"/>
          <w:szCs w:val="18"/>
        </w:rPr>
        <w:t xml:space="preserve">  Perimeter et contraintes methodologiques</w:t>
      </w:r>
      <w:r>
        <w:rPr>
          <w:rFonts w:ascii="Arial" w:cs="Arial" w:eastAsia="Arial" w:hAnsi="Arial"/>
          <w:color w:val="444444"/>
          <w:sz w:val="18"/>
          <w:szCs w:val="18"/>
        </w:rPr>
        <w:t xml:space="preserve">	4</w:t>
      </w:r>
    </w:p>
    <w:p>
      <w:pPr>
        <w:tabs>
          <w:tab w:val="right" w:pos="8640"/>
        </w:tabs>
        <w:spacing w:after="40" w:before="80"/>
      </w:pPr>
      <w:r>
        <w:rPr>
          <w:rFonts w:ascii="Arial" w:cs="Arial" w:eastAsia="Arial" w:hAnsi="Arial"/>
          <w:b/>
          <w:bCs/>
          <w:i w:val="false"/>
          <w:iCs w:val="false"/>
          <w:color w:val="1A5632"/>
          <w:sz w:val="20"/>
          <w:szCs w:val="20"/>
        </w:rPr>
        <w:t xml:space="preserve">II.</w:t>
      </w:r>
      <w:r>
        <w:rPr>
          <w:rFonts w:ascii="Arial" w:cs="Arial" w:eastAsia="Arial" w:hAnsi="Arial"/>
          <w:b/>
          <w:bCs/>
          <w:i w:val="false"/>
          <w:iCs w:val="false"/>
          <w:color w:val="1A3A5C"/>
          <w:sz w:val="20"/>
          <w:szCs w:val="20"/>
        </w:rPr>
        <w:t xml:space="preserve">  ARCHITECTURE DE LA BASE DE DONNEES</w:t>
      </w:r>
      <w:r>
        <w:rPr>
          <w:rFonts w:ascii="Arial" w:cs="Arial" w:eastAsia="Arial" w:hAnsi="Arial"/>
          <w:color w:val="1E8449"/>
          <w:sz w:val="20"/>
          <w:szCs w:val="20"/>
        </w:rPr>
        <w:t xml:space="preserve">	4</w:t>
      </w:r>
    </w:p>
    <w:p>
      <w:pPr>
        <w:tabs>
          <w:tab w:val="right" w:pos="8640"/>
        </w:tabs>
        <w:spacing w:after="20" w:before="30"/>
        <w:ind w:left="360"/>
      </w:pPr>
      <w:r>
        <w:rPr>
          <w:rFonts w:ascii="Arial" w:cs="Arial" w:eastAsia="Arial" w:hAnsi="Arial"/>
          <w:b w:val="false"/>
          <w:bCs w:val="false"/>
          <w:i w:val="false"/>
          <w:iCs w:val="false"/>
          <w:color w:val="444444"/>
          <w:sz w:val="18"/>
          <w:szCs w:val="18"/>
        </w:rPr>
        <w:t xml:space="preserve">  2.1</w:t>
      </w:r>
      <w:r>
        <w:rPr>
          <w:rFonts w:ascii="Arial" w:cs="Arial" w:eastAsia="Arial" w:hAnsi="Arial"/>
          <w:b w:val="false"/>
          <w:bCs w:val="false"/>
          <w:i w:val="false"/>
          <w:iCs w:val="false"/>
          <w:color w:val="444444"/>
          <w:sz w:val="18"/>
          <w:szCs w:val="18"/>
        </w:rPr>
        <w:t xml:space="preserve">  Structure des 13 onglets et volumetrie</w:t>
      </w:r>
      <w:r>
        <w:rPr>
          <w:rFonts w:ascii="Arial" w:cs="Arial" w:eastAsia="Arial" w:hAnsi="Arial"/>
          <w:color w:val="444444"/>
          <w:sz w:val="18"/>
          <w:szCs w:val="18"/>
        </w:rPr>
        <w:t xml:space="preserve">	4</w:t>
      </w:r>
    </w:p>
    <w:p>
      <w:pPr>
        <w:tabs>
          <w:tab w:val="right" w:pos="8640"/>
        </w:tabs>
        <w:spacing w:after="20" w:before="30"/>
        <w:ind w:left="360"/>
      </w:pPr>
      <w:r>
        <w:rPr>
          <w:rFonts w:ascii="Arial" w:cs="Arial" w:eastAsia="Arial" w:hAnsi="Arial"/>
          <w:b w:val="false"/>
          <w:bCs w:val="false"/>
          <w:i w:val="false"/>
          <w:iCs w:val="false"/>
          <w:color w:val="444444"/>
          <w:sz w:val="18"/>
          <w:szCs w:val="18"/>
        </w:rPr>
        <w:t xml:space="preserve">  2.2</w:t>
      </w:r>
      <w:r>
        <w:rPr>
          <w:rFonts w:ascii="Arial" w:cs="Arial" w:eastAsia="Arial" w:hAnsi="Arial"/>
          <w:b w:val="false"/>
          <w:bCs w:val="false"/>
          <w:i w:val="false"/>
          <w:iCs w:val="false"/>
          <w:color w:val="444444"/>
          <w:sz w:val="18"/>
          <w:szCs w:val="18"/>
        </w:rPr>
        <w:t xml:space="preserve">  Pipeline de collecte et calibration</w:t>
      </w:r>
      <w:r>
        <w:rPr>
          <w:rFonts w:ascii="Arial" w:cs="Arial" w:eastAsia="Arial" w:hAnsi="Arial"/>
          <w:color w:val="444444"/>
          <w:sz w:val="18"/>
          <w:szCs w:val="18"/>
        </w:rPr>
        <w:t xml:space="preserve">	5</w:t>
      </w:r>
    </w:p>
    <w:p>
      <w:pPr>
        <w:tabs>
          <w:tab w:val="right" w:pos="8640"/>
        </w:tabs>
        <w:spacing w:after="20" w:before="30"/>
        <w:ind w:left="360"/>
      </w:pPr>
      <w:r>
        <w:rPr>
          <w:rFonts w:ascii="Arial" w:cs="Arial" w:eastAsia="Arial" w:hAnsi="Arial"/>
          <w:b w:val="false"/>
          <w:bCs w:val="false"/>
          <w:i w:val="false"/>
          <w:iCs w:val="false"/>
          <w:color w:val="444444"/>
          <w:sz w:val="18"/>
          <w:szCs w:val="18"/>
        </w:rPr>
        <w:t xml:space="preserve">  2.3</w:t>
      </w:r>
      <w:r>
        <w:rPr>
          <w:rFonts w:ascii="Arial" w:cs="Arial" w:eastAsia="Arial" w:hAnsi="Arial"/>
          <w:b w:val="false"/>
          <w:bCs w:val="false"/>
          <w:i w:val="false"/>
          <w:iCs w:val="false"/>
          <w:color w:val="444444"/>
          <w:sz w:val="18"/>
          <w:szCs w:val="18"/>
        </w:rPr>
        <w:t xml:space="preserve">  Dictionnaire des 80+ variables cles</w:t>
      </w:r>
      <w:r>
        <w:rPr>
          <w:rFonts w:ascii="Arial" w:cs="Arial" w:eastAsia="Arial" w:hAnsi="Arial"/>
          <w:color w:val="444444"/>
          <w:sz w:val="18"/>
          <w:szCs w:val="18"/>
        </w:rPr>
        <w:t xml:space="preserve">	5</w:t>
      </w:r>
    </w:p>
    <w:p>
      <w:pPr>
        <w:tabs>
          <w:tab w:val="right" w:pos="8640"/>
        </w:tabs>
        <w:spacing w:after="40" w:before="80"/>
      </w:pPr>
      <w:r>
        <w:rPr>
          <w:rFonts w:ascii="Arial" w:cs="Arial" w:eastAsia="Arial" w:hAnsi="Arial"/>
          <w:b/>
          <w:bCs/>
          <w:i w:val="false"/>
          <w:iCs w:val="false"/>
          <w:color w:val="1A5632"/>
          <w:sz w:val="20"/>
          <w:szCs w:val="20"/>
        </w:rPr>
        <w:t xml:space="preserve">III.</w:t>
      </w:r>
      <w:r>
        <w:rPr>
          <w:rFonts w:ascii="Arial" w:cs="Arial" w:eastAsia="Arial" w:hAnsi="Arial"/>
          <w:b/>
          <w:bCs/>
          <w:i w:val="false"/>
          <w:iCs w:val="false"/>
          <w:color w:val="1A3A5C"/>
          <w:sz w:val="20"/>
          <w:szCs w:val="20"/>
        </w:rPr>
        <w:t xml:space="preserve">  ANALYSE MACROECONOMIQUE (2000-2024)</w:t>
      </w:r>
      <w:r>
        <w:rPr>
          <w:rFonts w:ascii="Arial" w:cs="Arial" w:eastAsia="Arial" w:hAnsi="Arial"/>
          <w:color w:val="1E8449"/>
          <w:sz w:val="20"/>
          <w:szCs w:val="20"/>
        </w:rPr>
        <w:t xml:space="preserve">	6</w:t>
      </w:r>
    </w:p>
    <w:p>
      <w:pPr>
        <w:tabs>
          <w:tab w:val="right" w:pos="8640"/>
        </w:tabs>
        <w:spacing w:after="20" w:before="30"/>
        <w:ind w:left="360"/>
      </w:pPr>
      <w:r>
        <w:rPr>
          <w:rFonts w:ascii="Arial" w:cs="Arial" w:eastAsia="Arial" w:hAnsi="Arial"/>
          <w:b w:val="false"/>
          <w:bCs w:val="false"/>
          <w:i w:val="false"/>
          <w:iCs w:val="false"/>
          <w:color w:val="444444"/>
          <w:sz w:val="18"/>
          <w:szCs w:val="18"/>
        </w:rPr>
        <w:t xml:space="preserve">  3.1</w:t>
      </w:r>
      <w:r>
        <w:rPr>
          <w:rFonts w:ascii="Arial" w:cs="Arial" w:eastAsia="Arial" w:hAnsi="Arial"/>
          <w:b w:val="false"/>
          <w:bCs w:val="false"/>
          <w:i w:val="false"/>
          <w:iCs w:val="false"/>
          <w:color w:val="444444"/>
          <w:sz w:val="18"/>
          <w:szCs w:val="18"/>
        </w:rPr>
        <w:t xml:space="preserve">  Croissance du PIB africain : 25 ans de tendances</w:t>
      </w:r>
      <w:r>
        <w:rPr>
          <w:rFonts w:ascii="Arial" w:cs="Arial" w:eastAsia="Arial" w:hAnsi="Arial"/>
          <w:color w:val="444444"/>
          <w:sz w:val="18"/>
          <w:szCs w:val="18"/>
        </w:rPr>
        <w:t xml:space="preserve">	6</w:t>
      </w:r>
    </w:p>
    <w:p>
      <w:pPr>
        <w:tabs>
          <w:tab w:val="right" w:pos="8640"/>
        </w:tabs>
        <w:spacing w:after="20" w:before="30"/>
        <w:ind w:left="360"/>
      </w:pPr>
      <w:r>
        <w:rPr>
          <w:rFonts w:ascii="Arial" w:cs="Arial" w:eastAsia="Arial" w:hAnsi="Arial"/>
          <w:b w:val="false"/>
          <w:bCs w:val="false"/>
          <w:i w:val="false"/>
          <w:iCs w:val="false"/>
          <w:color w:val="444444"/>
          <w:sz w:val="18"/>
          <w:szCs w:val="18"/>
        </w:rPr>
        <w:t xml:space="preserve">  3.2</w:t>
      </w:r>
      <w:r>
        <w:rPr>
          <w:rFonts w:ascii="Arial" w:cs="Arial" w:eastAsia="Arial" w:hAnsi="Arial"/>
          <w:b w:val="false"/>
          <w:bCs w:val="false"/>
          <w:i w:val="false"/>
          <w:iCs w:val="false"/>
          <w:color w:val="444444"/>
          <w:sz w:val="18"/>
          <w:szCs w:val="18"/>
        </w:rPr>
        <w:t xml:space="preserve">  Inflation, politique monetaire et taux directeurs</w:t>
      </w:r>
      <w:r>
        <w:rPr>
          <w:rFonts w:ascii="Arial" w:cs="Arial" w:eastAsia="Arial" w:hAnsi="Arial"/>
          <w:color w:val="444444"/>
          <w:sz w:val="18"/>
          <w:szCs w:val="18"/>
        </w:rPr>
        <w:t xml:space="preserve">	7</w:t>
      </w:r>
    </w:p>
    <w:p>
      <w:pPr>
        <w:tabs>
          <w:tab w:val="right" w:pos="8640"/>
        </w:tabs>
        <w:spacing w:after="20" w:before="30"/>
        <w:ind w:left="360"/>
      </w:pPr>
      <w:r>
        <w:rPr>
          <w:rFonts w:ascii="Arial" w:cs="Arial" w:eastAsia="Arial" w:hAnsi="Arial"/>
          <w:b w:val="false"/>
          <w:bCs w:val="false"/>
          <w:i w:val="false"/>
          <w:iCs w:val="false"/>
          <w:color w:val="444444"/>
          <w:sz w:val="18"/>
          <w:szCs w:val="18"/>
        </w:rPr>
        <w:t xml:space="preserve">  3.3</w:t>
      </w:r>
      <w:r>
        <w:rPr>
          <w:rFonts w:ascii="Arial" w:cs="Arial" w:eastAsia="Arial" w:hAnsi="Arial"/>
          <w:b w:val="false"/>
          <w:bCs w:val="false"/>
          <w:i w:val="false"/>
          <w:iCs w:val="false"/>
          <w:color w:val="444444"/>
          <w:sz w:val="18"/>
          <w:szCs w:val="18"/>
        </w:rPr>
        <w:t xml:space="preserve">  Balances exterieures : FDI, envois de fonds, dette</w:t>
      </w:r>
      <w:r>
        <w:rPr>
          <w:rFonts w:ascii="Arial" w:cs="Arial" w:eastAsia="Arial" w:hAnsi="Arial"/>
          <w:color w:val="444444"/>
          <w:sz w:val="18"/>
          <w:szCs w:val="18"/>
        </w:rPr>
        <w:t xml:space="preserve">	8</w:t>
      </w:r>
    </w:p>
    <w:p>
      <w:pPr>
        <w:tabs>
          <w:tab w:val="right" w:pos="8640"/>
        </w:tabs>
        <w:spacing w:after="20" w:before="30"/>
        <w:ind w:left="360"/>
      </w:pPr>
      <w:r>
        <w:rPr>
          <w:rFonts w:ascii="Arial" w:cs="Arial" w:eastAsia="Arial" w:hAnsi="Arial"/>
          <w:b w:val="false"/>
          <w:bCs w:val="false"/>
          <w:i w:val="false"/>
          <w:iCs w:val="false"/>
          <w:color w:val="444444"/>
          <w:sz w:val="18"/>
          <w:szCs w:val="18"/>
        </w:rPr>
        <w:t xml:space="preserve">  3.4</w:t>
      </w:r>
      <w:r>
        <w:rPr>
          <w:rFonts w:ascii="Arial" w:cs="Arial" w:eastAsia="Arial" w:hAnsi="Arial"/>
          <w:b w:val="false"/>
          <w:bCs w:val="false"/>
          <w:i w:val="false"/>
          <w:iCs w:val="false"/>
          <w:color w:val="444444"/>
          <w:sz w:val="18"/>
          <w:szCs w:val="18"/>
        </w:rPr>
        <w:t xml:space="preserve">  Chocs et crises : 2008, COVID-19, defauts souverains</w:t>
      </w:r>
      <w:r>
        <w:rPr>
          <w:rFonts w:ascii="Arial" w:cs="Arial" w:eastAsia="Arial" w:hAnsi="Arial"/>
          <w:color w:val="444444"/>
          <w:sz w:val="18"/>
          <w:szCs w:val="18"/>
        </w:rPr>
        <w:t xml:space="preserve">	9</w:t>
      </w:r>
    </w:p>
    <w:p>
      <w:pPr>
        <w:tabs>
          <w:tab w:val="right" w:pos="8640"/>
        </w:tabs>
        <w:spacing w:after="40" w:before="80"/>
      </w:pPr>
      <w:r>
        <w:rPr>
          <w:rFonts w:ascii="Arial" w:cs="Arial" w:eastAsia="Arial" w:hAnsi="Arial"/>
          <w:b/>
          <w:bCs/>
          <w:i w:val="false"/>
          <w:iCs w:val="false"/>
          <w:color w:val="1A5632"/>
          <w:sz w:val="20"/>
          <w:szCs w:val="20"/>
        </w:rPr>
        <w:t xml:space="preserve">IV.</w:t>
      </w:r>
      <w:r>
        <w:rPr>
          <w:rFonts w:ascii="Arial" w:cs="Arial" w:eastAsia="Arial" w:hAnsi="Arial"/>
          <w:b/>
          <w:bCs/>
          <w:i w:val="false"/>
          <w:iCs w:val="false"/>
          <w:color w:val="1A3A5C"/>
          <w:sz w:val="20"/>
          <w:szCs w:val="20"/>
        </w:rPr>
        <w:t xml:space="preserve">  SECTEUR BANCAIRE AFRICAIN</w:t>
      </w:r>
      <w:r>
        <w:rPr>
          <w:rFonts w:ascii="Arial" w:cs="Arial" w:eastAsia="Arial" w:hAnsi="Arial"/>
          <w:color w:val="1E8449"/>
          <w:sz w:val="20"/>
          <w:szCs w:val="20"/>
        </w:rPr>
        <w:t xml:space="preserve">	10</w:t>
      </w:r>
    </w:p>
    <w:p>
      <w:pPr>
        <w:tabs>
          <w:tab w:val="right" w:pos="8640"/>
        </w:tabs>
        <w:spacing w:after="20" w:before="30"/>
        <w:ind w:left="360"/>
      </w:pPr>
      <w:r>
        <w:rPr>
          <w:rFonts w:ascii="Arial" w:cs="Arial" w:eastAsia="Arial" w:hAnsi="Arial"/>
          <w:b w:val="false"/>
          <w:bCs w:val="false"/>
          <w:i w:val="false"/>
          <w:iCs w:val="false"/>
          <w:color w:val="444444"/>
          <w:sz w:val="18"/>
          <w:szCs w:val="18"/>
        </w:rPr>
        <w:t xml:space="preserve">  4.1</w:t>
      </w:r>
      <w:r>
        <w:rPr>
          <w:rFonts w:ascii="Arial" w:cs="Arial" w:eastAsia="Arial" w:hAnsi="Arial"/>
          <w:b w:val="false"/>
          <w:bCs w:val="false"/>
          <w:i w:val="false"/>
          <w:iCs w:val="false"/>
          <w:color w:val="444444"/>
          <w:sz w:val="18"/>
          <w:szCs w:val="18"/>
        </w:rPr>
        <w:t xml:space="preserve">  Taux de bancarisation : progression et disparites</w:t>
      </w:r>
      <w:r>
        <w:rPr>
          <w:rFonts w:ascii="Arial" w:cs="Arial" w:eastAsia="Arial" w:hAnsi="Arial"/>
          <w:color w:val="444444"/>
          <w:sz w:val="18"/>
          <w:szCs w:val="18"/>
        </w:rPr>
        <w:t xml:space="preserve">	10</w:t>
      </w:r>
    </w:p>
    <w:p>
      <w:pPr>
        <w:tabs>
          <w:tab w:val="right" w:pos="8640"/>
        </w:tabs>
        <w:spacing w:after="20" w:before="30"/>
        <w:ind w:left="360"/>
      </w:pPr>
      <w:r>
        <w:rPr>
          <w:rFonts w:ascii="Arial" w:cs="Arial" w:eastAsia="Arial" w:hAnsi="Arial"/>
          <w:b w:val="false"/>
          <w:bCs w:val="false"/>
          <w:i w:val="false"/>
          <w:iCs w:val="false"/>
          <w:color w:val="444444"/>
          <w:sz w:val="18"/>
          <w:szCs w:val="18"/>
        </w:rPr>
        <w:t xml:space="preserve">  4.2</w:t>
      </w:r>
      <w:r>
        <w:rPr>
          <w:rFonts w:ascii="Arial" w:cs="Arial" w:eastAsia="Arial" w:hAnsi="Arial"/>
          <w:b w:val="false"/>
          <w:bCs w:val="false"/>
          <w:i w:val="false"/>
          <w:iCs w:val="false"/>
          <w:color w:val="444444"/>
          <w:sz w:val="18"/>
          <w:szCs w:val="18"/>
        </w:rPr>
        <w:t xml:space="preserve">  Solidite financiere : NPL, CAR, ROE, NIM</w:t>
      </w:r>
      <w:r>
        <w:rPr>
          <w:rFonts w:ascii="Arial" w:cs="Arial" w:eastAsia="Arial" w:hAnsi="Arial"/>
          <w:color w:val="444444"/>
          <w:sz w:val="18"/>
          <w:szCs w:val="18"/>
        </w:rPr>
        <w:t xml:space="preserve">	11</w:t>
      </w:r>
    </w:p>
    <w:p>
      <w:pPr>
        <w:tabs>
          <w:tab w:val="right" w:pos="8640"/>
        </w:tabs>
        <w:spacing w:after="20" w:before="30"/>
        <w:ind w:left="360"/>
      </w:pPr>
      <w:r>
        <w:rPr>
          <w:rFonts w:ascii="Arial" w:cs="Arial" w:eastAsia="Arial" w:hAnsi="Arial"/>
          <w:b w:val="false"/>
          <w:bCs w:val="false"/>
          <w:i w:val="false"/>
          <w:iCs w:val="false"/>
          <w:color w:val="444444"/>
          <w:sz w:val="18"/>
          <w:szCs w:val="18"/>
        </w:rPr>
        <w:t xml:space="preserve">  4.3</w:t>
      </w:r>
      <w:r>
        <w:rPr>
          <w:rFonts w:ascii="Arial" w:cs="Arial" w:eastAsia="Arial" w:hAnsi="Arial"/>
          <w:b w:val="false"/>
          <w:bCs w:val="false"/>
          <w:i w:val="false"/>
          <w:iCs w:val="false"/>
          <w:color w:val="444444"/>
          <w:sz w:val="18"/>
          <w:szCs w:val="18"/>
        </w:rPr>
        <w:t xml:space="preserve">  Credit au secteur prive et intermediation financiere</w:t>
      </w:r>
      <w:r>
        <w:rPr>
          <w:rFonts w:ascii="Arial" w:cs="Arial" w:eastAsia="Arial" w:hAnsi="Arial"/>
          <w:color w:val="444444"/>
          <w:sz w:val="18"/>
          <w:szCs w:val="18"/>
        </w:rPr>
        <w:t xml:space="preserve">	12</w:t>
      </w:r>
    </w:p>
    <w:p>
      <w:pPr>
        <w:tabs>
          <w:tab w:val="right" w:pos="8640"/>
        </w:tabs>
        <w:spacing w:after="20" w:before="30"/>
        <w:ind w:left="360"/>
      </w:pPr>
      <w:r>
        <w:rPr>
          <w:rFonts w:ascii="Arial" w:cs="Arial" w:eastAsia="Arial" w:hAnsi="Arial"/>
          <w:b w:val="false"/>
          <w:bCs w:val="false"/>
          <w:i w:val="false"/>
          <w:iCs w:val="false"/>
          <w:color w:val="444444"/>
          <w:sz w:val="18"/>
          <w:szCs w:val="18"/>
        </w:rPr>
        <w:t xml:space="preserve">  4.4</w:t>
      </w:r>
      <w:r>
        <w:rPr>
          <w:rFonts w:ascii="Arial" w:cs="Arial" w:eastAsia="Arial" w:hAnsi="Arial"/>
          <w:b w:val="false"/>
          <w:bCs w:val="false"/>
          <w:i w:val="false"/>
          <w:iCs w:val="false"/>
          <w:color w:val="444444"/>
          <w:sz w:val="18"/>
          <w:szCs w:val="18"/>
        </w:rPr>
        <w:t xml:space="preserve">  Structures de marche et concentration bancaire</w:t>
      </w:r>
      <w:r>
        <w:rPr>
          <w:rFonts w:ascii="Arial" w:cs="Arial" w:eastAsia="Arial" w:hAnsi="Arial"/>
          <w:color w:val="444444"/>
          <w:sz w:val="18"/>
          <w:szCs w:val="18"/>
        </w:rPr>
        <w:t xml:space="preserve">	13</w:t>
      </w:r>
    </w:p>
    <w:p>
      <w:pPr>
        <w:tabs>
          <w:tab w:val="right" w:pos="8640"/>
        </w:tabs>
        <w:spacing w:after="40" w:before="80"/>
      </w:pPr>
      <w:r>
        <w:rPr>
          <w:rFonts w:ascii="Arial" w:cs="Arial" w:eastAsia="Arial" w:hAnsi="Arial"/>
          <w:b/>
          <w:bCs/>
          <w:i w:val="false"/>
          <w:iCs w:val="false"/>
          <w:color w:val="1A5632"/>
          <w:sz w:val="20"/>
          <w:szCs w:val="20"/>
        </w:rPr>
        <w:t xml:space="preserve">V.</w:t>
      </w:r>
      <w:r>
        <w:rPr>
          <w:rFonts w:ascii="Arial" w:cs="Arial" w:eastAsia="Arial" w:hAnsi="Arial"/>
          <w:b/>
          <w:bCs/>
          <w:i w:val="false"/>
          <w:iCs w:val="false"/>
          <w:color w:val="1A3A5C"/>
          <w:sz w:val="20"/>
          <w:szCs w:val="20"/>
        </w:rPr>
        <w:t xml:space="preserve">  FINTECH &amp; MOBILE MONEY EN AFRIQUE</w:t>
      </w:r>
      <w:r>
        <w:rPr>
          <w:rFonts w:ascii="Arial" w:cs="Arial" w:eastAsia="Arial" w:hAnsi="Arial"/>
          <w:color w:val="1E8449"/>
          <w:sz w:val="20"/>
          <w:szCs w:val="20"/>
        </w:rPr>
        <w:t xml:space="preserve">	13</w:t>
      </w:r>
    </w:p>
    <w:p>
      <w:pPr>
        <w:tabs>
          <w:tab w:val="right" w:pos="8640"/>
        </w:tabs>
        <w:spacing w:after="20" w:before="30"/>
        <w:ind w:left="360"/>
      </w:pPr>
      <w:r>
        <w:rPr>
          <w:rFonts w:ascii="Arial" w:cs="Arial" w:eastAsia="Arial" w:hAnsi="Arial"/>
          <w:b w:val="false"/>
          <w:bCs w:val="false"/>
          <w:i w:val="false"/>
          <w:iCs w:val="false"/>
          <w:color w:val="444444"/>
          <w:sz w:val="18"/>
          <w:szCs w:val="18"/>
        </w:rPr>
        <w:t xml:space="preserve">  5.1</w:t>
      </w:r>
      <w:r>
        <w:rPr>
          <w:rFonts w:ascii="Arial" w:cs="Arial" w:eastAsia="Arial" w:hAnsi="Arial"/>
          <w:b w:val="false"/>
          <w:bCs w:val="false"/>
          <w:i w:val="false"/>
          <w:iCs w:val="false"/>
          <w:color w:val="444444"/>
          <w:sz w:val="18"/>
          <w:szCs w:val="18"/>
        </w:rPr>
        <w:t xml:space="preserve">  L'essor du mobile money : Kenya a l'Afrique de l'Ouest</w:t>
      </w:r>
      <w:r>
        <w:rPr>
          <w:rFonts w:ascii="Arial" w:cs="Arial" w:eastAsia="Arial" w:hAnsi="Arial"/>
          <w:color w:val="444444"/>
          <w:sz w:val="18"/>
          <w:szCs w:val="18"/>
        </w:rPr>
        <w:t xml:space="preserve">	13</w:t>
      </w:r>
    </w:p>
    <w:p>
      <w:pPr>
        <w:tabs>
          <w:tab w:val="right" w:pos="8640"/>
        </w:tabs>
        <w:spacing w:after="20" w:before="30"/>
        <w:ind w:left="360"/>
      </w:pPr>
      <w:r>
        <w:rPr>
          <w:rFonts w:ascii="Arial" w:cs="Arial" w:eastAsia="Arial" w:hAnsi="Arial"/>
          <w:b w:val="false"/>
          <w:bCs w:val="false"/>
          <w:i w:val="false"/>
          <w:iCs w:val="false"/>
          <w:color w:val="444444"/>
          <w:sz w:val="18"/>
          <w:szCs w:val="18"/>
        </w:rPr>
        <w:t xml:space="preserve">  5.2</w:t>
      </w:r>
      <w:r>
        <w:rPr>
          <w:rFonts w:ascii="Arial" w:cs="Arial" w:eastAsia="Arial" w:hAnsi="Arial"/>
          <w:b w:val="false"/>
          <w:bCs w:val="false"/>
          <w:i w:val="false"/>
          <w:iCs w:val="false"/>
          <w:color w:val="444444"/>
          <w:sz w:val="18"/>
          <w:szCs w:val="18"/>
        </w:rPr>
        <w:t xml:space="preserve">  Ecosysteme fintech : startups, investissements, regulation</w:t>
      </w:r>
      <w:r>
        <w:rPr>
          <w:rFonts w:ascii="Arial" w:cs="Arial" w:eastAsia="Arial" w:hAnsi="Arial"/>
          <w:color w:val="444444"/>
          <w:sz w:val="18"/>
          <w:szCs w:val="18"/>
        </w:rPr>
        <w:t xml:space="preserve">	14</w:t>
      </w:r>
    </w:p>
    <w:p>
      <w:pPr>
        <w:tabs>
          <w:tab w:val="right" w:pos="8640"/>
        </w:tabs>
        <w:spacing w:after="20" w:before="30"/>
        <w:ind w:left="360"/>
      </w:pPr>
      <w:r>
        <w:rPr>
          <w:rFonts w:ascii="Arial" w:cs="Arial" w:eastAsia="Arial" w:hAnsi="Arial"/>
          <w:b w:val="false"/>
          <w:bCs w:val="false"/>
          <w:i w:val="false"/>
          <w:iCs w:val="false"/>
          <w:color w:val="444444"/>
          <w:sz w:val="18"/>
          <w:szCs w:val="18"/>
        </w:rPr>
        <w:t xml:space="preserve">  5.3</w:t>
      </w:r>
      <w:r>
        <w:rPr>
          <w:rFonts w:ascii="Arial" w:cs="Arial" w:eastAsia="Arial" w:hAnsi="Arial"/>
          <w:b w:val="false"/>
          <w:bCs w:val="false"/>
          <w:i w:val="false"/>
          <w:iCs w:val="false"/>
          <w:color w:val="444444"/>
          <w:sz w:val="18"/>
          <w:szCs w:val="18"/>
        </w:rPr>
        <w:t xml:space="preserve">  Paiements numeriques et inclusion financiere digitale</w:t>
      </w:r>
      <w:r>
        <w:rPr>
          <w:rFonts w:ascii="Arial" w:cs="Arial" w:eastAsia="Arial" w:hAnsi="Arial"/>
          <w:color w:val="444444"/>
          <w:sz w:val="18"/>
          <w:szCs w:val="18"/>
        </w:rPr>
        <w:t xml:space="preserve">	15</w:t>
      </w:r>
    </w:p>
    <w:p>
      <w:pPr>
        <w:tabs>
          <w:tab w:val="right" w:pos="8640"/>
        </w:tabs>
        <w:spacing w:after="40" w:before="80"/>
      </w:pPr>
      <w:r>
        <w:rPr>
          <w:rFonts w:ascii="Arial" w:cs="Arial" w:eastAsia="Arial" w:hAnsi="Arial"/>
          <w:b/>
          <w:bCs/>
          <w:i w:val="false"/>
          <w:iCs w:val="false"/>
          <w:color w:val="1A5632"/>
          <w:sz w:val="20"/>
          <w:szCs w:val="20"/>
        </w:rPr>
        <w:t xml:space="preserve">VI.</w:t>
      </w:r>
      <w:r>
        <w:rPr>
          <w:rFonts w:ascii="Arial" w:cs="Arial" w:eastAsia="Arial" w:hAnsi="Arial"/>
          <w:b/>
          <w:bCs/>
          <w:i w:val="false"/>
          <w:iCs w:val="false"/>
          <w:color w:val="1A3A5C"/>
          <w:sz w:val="20"/>
          <w:szCs w:val="20"/>
        </w:rPr>
        <w:t xml:space="preserve">  MARCHES FINANCIERS AFRICAINS</w:t>
      </w:r>
      <w:r>
        <w:rPr>
          <w:rFonts w:ascii="Arial" w:cs="Arial" w:eastAsia="Arial" w:hAnsi="Arial"/>
          <w:color w:val="1E8449"/>
          <w:sz w:val="20"/>
          <w:szCs w:val="20"/>
        </w:rPr>
        <w:t xml:space="preserve">	16</w:t>
      </w:r>
    </w:p>
    <w:p>
      <w:pPr>
        <w:tabs>
          <w:tab w:val="right" w:pos="8640"/>
        </w:tabs>
        <w:spacing w:after="20" w:before="30"/>
        <w:ind w:left="360"/>
      </w:pPr>
      <w:r>
        <w:rPr>
          <w:rFonts w:ascii="Arial" w:cs="Arial" w:eastAsia="Arial" w:hAnsi="Arial"/>
          <w:b w:val="false"/>
          <w:bCs w:val="false"/>
          <w:i w:val="false"/>
          <w:iCs w:val="false"/>
          <w:color w:val="444444"/>
          <w:sz w:val="18"/>
          <w:szCs w:val="18"/>
        </w:rPr>
        <w:t xml:space="preserve">  6.1</w:t>
      </w:r>
      <w:r>
        <w:rPr>
          <w:rFonts w:ascii="Arial" w:cs="Arial" w:eastAsia="Arial" w:hAnsi="Arial"/>
          <w:b w:val="false"/>
          <w:bCs w:val="false"/>
          <w:i w:val="false"/>
          <w:iCs w:val="false"/>
          <w:color w:val="444444"/>
          <w:sz w:val="18"/>
          <w:szCs w:val="18"/>
        </w:rPr>
        <w:t xml:space="preserve">  Bourses africaines : capitalisation et liquidite</w:t>
      </w:r>
      <w:r>
        <w:rPr>
          <w:rFonts w:ascii="Arial" w:cs="Arial" w:eastAsia="Arial" w:hAnsi="Arial"/>
          <w:color w:val="444444"/>
          <w:sz w:val="18"/>
          <w:szCs w:val="18"/>
        </w:rPr>
        <w:t xml:space="preserve">	16</w:t>
      </w:r>
    </w:p>
    <w:p>
      <w:pPr>
        <w:tabs>
          <w:tab w:val="right" w:pos="8640"/>
        </w:tabs>
        <w:spacing w:after="20" w:before="30"/>
        <w:ind w:left="360"/>
      </w:pPr>
      <w:r>
        <w:rPr>
          <w:rFonts w:ascii="Arial" w:cs="Arial" w:eastAsia="Arial" w:hAnsi="Arial"/>
          <w:b w:val="false"/>
          <w:bCs w:val="false"/>
          <w:i w:val="false"/>
          <w:iCs w:val="false"/>
          <w:color w:val="444444"/>
          <w:sz w:val="18"/>
          <w:szCs w:val="18"/>
        </w:rPr>
        <w:t xml:space="preserve">  6.2</w:t>
      </w:r>
      <w:r>
        <w:rPr>
          <w:rFonts w:ascii="Arial" w:cs="Arial" w:eastAsia="Arial" w:hAnsi="Arial"/>
          <w:b w:val="false"/>
          <w:bCs w:val="false"/>
          <w:i w:val="false"/>
          <w:iCs w:val="false"/>
          <w:color w:val="444444"/>
          <w:sz w:val="18"/>
          <w:szCs w:val="18"/>
        </w:rPr>
        <w:t xml:space="preserve">  Obligations souveraines et Eurobonds</w:t>
      </w:r>
      <w:r>
        <w:rPr>
          <w:rFonts w:ascii="Arial" w:cs="Arial" w:eastAsia="Arial" w:hAnsi="Arial"/>
          <w:color w:val="444444"/>
          <w:sz w:val="18"/>
          <w:szCs w:val="18"/>
        </w:rPr>
        <w:t xml:space="preserve">	17</w:t>
      </w:r>
    </w:p>
    <w:p>
      <w:pPr>
        <w:tabs>
          <w:tab w:val="right" w:pos="8640"/>
        </w:tabs>
        <w:spacing w:after="20" w:before="30"/>
        <w:ind w:left="360"/>
      </w:pPr>
      <w:r>
        <w:rPr>
          <w:rFonts w:ascii="Arial" w:cs="Arial" w:eastAsia="Arial" w:hAnsi="Arial"/>
          <w:b w:val="false"/>
          <w:bCs w:val="false"/>
          <w:i w:val="false"/>
          <w:iCs w:val="false"/>
          <w:color w:val="444444"/>
          <w:sz w:val="18"/>
          <w:szCs w:val="18"/>
        </w:rPr>
        <w:t xml:space="preserve">  6.3</w:t>
      </w:r>
      <w:r>
        <w:rPr>
          <w:rFonts w:ascii="Arial" w:cs="Arial" w:eastAsia="Arial" w:hAnsi="Arial"/>
          <w:b w:val="false"/>
          <w:bCs w:val="false"/>
          <w:i w:val="false"/>
          <w:iCs w:val="false"/>
          <w:color w:val="444444"/>
          <w:sz w:val="18"/>
          <w:szCs w:val="18"/>
        </w:rPr>
        <w:t xml:space="preserve">  Notation credit et spreads souverains</w:t>
      </w:r>
      <w:r>
        <w:rPr>
          <w:rFonts w:ascii="Arial" w:cs="Arial" w:eastAsia="Arial" w:hAnsi="Arial"/>
          <w:color w:val="444444"/>
          <w:sz w:val="18"/>
          <w:szCs w:val="18"/>
        </w:rPr>
        <w:t xml:space="preserve">	17</w:t>
      </w:r>
    </w:p>
    <w:p>
      <w:pPr>
        <w:tabs>
          <w:tab w:val="right" w:pos="8640"/>
        </w:tabs>
        <w:spacing w:after="40" w:before="80"/>
      </w:pPr>
      <w:r>
        <w:rPr>
          <w:rFonts w:ascii="Arial" w:cs="Arial" w:eastAsia="Arial" w:hAnsi="Arial"/>
          <w:b/>
          <w:bCs/>
          <w:i w:val="false"/>
          <w:iCs w:val="false"/>
          <w:color w:val="1A5632"/>
          <w:sz w:val="20"/>
          <w:szCs w:val="20"/>
        </w:rPr>
        <w:t xml:space="preserve">VII.</w:t>
      </w:r>
      <w:r>
        <w:rPr>
          <w:rFonts w:ascii="Arial" w:cs="Arial" w:eastAsia="Arial" w:hAnsi="Arial"/>
          <w:b/>
          <w:bCs/>
          <w:i w:val="false"/>
          <w:iCs w:val="false"/>
          <w:color w:val="1A3A5C"/>
          <w:sz w:val="20"/>
          <w:szCs w:val="20"/>
        </w:rPr>
        <w:t xml:space="preserve">  MICROFINANCE ET INCLUSION FINANCIERE</w:t>
      </w:r>
      <w:r>
        <w:rPr>
          <w:rFonts w:ascii="Arial" w:cs="Arial" w:eastAsia="Arial" w:hAnsi="Arial"/>
          <w:color w:val="1E8449"/>
          <w:sz w:val="20"/>
          <w:szCs w:val="20"/>
        </w:rPr>
        <w:t xml:space="preserve">	18</w:t>
      </w:r>
    </w:p>
    <w:p>
      <w:pPr>
        <w:tabs>
          <w:tab w:val="right" w:pos="8640"/>
        </w:tabs>
        <w:spacing w:after="20" w:before="30"/>
        <w:ind w:left="360"/>
      </w:pPr>
      <w:r>
        <w:rPr>
          <w:rFonts w:ascii="Arial" w:cs="Arial" w:eastAsia="Arial" w:hAnsi="Arial"/>
          <w:b w:val="false"/>
          <w:bCs w:val="false"/>
          <w:i w:val="false"/>
          <w:iCs w:val="false"/>
          <w:color w:val="444444"/>
          <w:sz w:val="18"/>
          <w:szCs w:val="18"/>
        </w:rPr>
        <w:t xml:space="preserve">  7.1</w:t>
      </w:r>
      <w:r>
        <w:rPr>
          <w:rFonts w:ascii="Arial" w:cs="Arial" w:eastAsia="Arial" w:hAnsi="Arial"/>
          <w:b w:val="false"/>
          <w:bCs w:val="false"/>
          <w:i w:val="false"/>
          <w:iCs w:val="false"/>
          <w:color w:val="444444"/>
          <w:sz w:val="18"/>
          <w:szCs w:val="18"/>
        </w:rPr>
        <w:t xml:space="preserve">  Cartographie des IMF africaines</w:t>
      </w:r>
      <w:r>
        <w:rPr>
          <w:rFonts w:ascii="Arial" w:cs="Arial" w:eastAsia="Arial" w:hAnsi="Arial"/>
          <w:color w:val="444444"/>
          <w:sz w:val="18"/>
          <w:szCs w:val="18"/>
        </w:rPr>
        <w:t xml:space="preserve">	18</w:t>
      </w:r>
    </w:p>
    <w:p>
      <w:pPr>
        <w:tabs>
          <w:tab w:val="right" w:pos="8640"/>
        </w:tabs>
        <w:spacing w:after="20" w:before="30"/>
        <w:ind w:left="360"/>
      </w:pPr>
      <w:r>
        <w:rPr>
          <w:rFonts w:ascii="Arial" w:cs="Arial" w:eastAsia="Arial" w:hAnsi="Arial"/>
          <w:b w:val="false"/>
          <w:bCs w:val="false"/>
          <w:i w:val="false"/>
          <w:iCs w:val="false"/>
          <w:color w:val="444444"/>
          <w:sz w:val="18"/>
          <w:szCs w:val="18"/>
        </w:rPr>
        <w:t xml:space="preserve">  7.2</w:t>
      </w:r>
      <w:r>
        <w:rPr>
          <w:rFonts w:ascii="Arial" w:cs="Arial" w:eastAsia="Arial" w:hAnsi="Arial"/>
          <w:b w:val="false"/>
          <w:bCs w:val="false"/>
          <w:i w:val="false"/>
          <w:iCs w:val="false"/>
          <w:color w:val="444444"/>
          <w:sz w:val="18"/>
          <w:szCs w:val="18"/>
        </w:rPr>
        <w:t xml:space="preserve">  Qualite de portefeuille et durabilite</w:t>
      </w:r>
      <w:r>
        <w:rPr>
          <w:rFonts w:ascii="Arial" w:cs="Arial" w:eastAsia="Arial" w:hAnsi="Arial"/>
          <w:color w:val="444444"/>
          <w:sz w:val="18"/>
          <w:szCs w:val="18"/>
        </w:rPr>
        <w:t xml:space="preserve">	19</w:t>
      </w:r>
    </w:p>
    <w:p>
      <w:pPr>
        <w:tabs>
          <w:tab w:val="right" w:pos="8640"/>
        </w:tabs>
        <w:spacing w:after="40" w:before="80"/>
      </w:pPr>
      <w:r>
        <w:rPr>
          <w:rFonts w:ascii="Arial" w:cs="Arial" w:eastAsia="Arial" w:hAnsi="Arial"/>
          <w:b/>
          <w:bCs/>
          <w:i w:val="false"/>
          <w:iCs w:val="false"/>
          <w:color w:val="1A5632"/>
          <w:sz w:val="20"/>
          <w:szCs w:val="20"/>
        </w:rPr>
        <w:t xml:space="preserve">VIII.</w:t>
      </w:r>
      <w:r>
        <w:rPr>
          <w:rFonts w:ascii="Arial" w:cs="Arial" w:eastAsia="Arial" w:hAnsi="Arial"/>
          <w:b/>
          <w:bCs/>
          <w:i w:val="false"/>
          <w:iCs w:val="false"/>
          <w:color w:val="1A3A5C"/>
          <w:sz w:val="20"/>
          <w:szCs w:val="20"/>
        </w:rPr>
        <w:t xml:space="preserve">  ANALYSES QUANTITATIVES AVANCEES</w:t>
      </w:r>
      <w:r>
        <w:rPr>
          <w:rFonts w:ascii="Arial" w:cs="Arial" w:eastAsia="Arial" w:hAnsi="Arial"/>
          <w:color w:val="1E8449"/>
          <w:sz w:val="20"/>
          <w:szCs w:val="20"/>
        </w:rPr>
        <w:t xml:space="preserve">	19</w:t>
      </w:r>
    </w:p>
    <w:p>
      <w:pPr>
        <w:tabs>
          <w:tab w:val="right" w:pos="8640"/>
        </w:tabs>
        <w:spacing w:after="20" w:before="30"/>
        <w:ind w:left="360"/>
      </w:pPr>
      <w:r>
        <w:rPr>
          <w:rFonts w:ascii="Arial" w:cs="Arial" w:eastAsia="Arial" w:hAnsi="Arial"/>
          <w:b w:val="false"/>
          <w:bCs w:val="false"/>
          <w:i w:val="false"/>
          <w:iCs w:val="false"/>
          <w:color w:val="444444"/>
          <w:sz w:val="18"/>
          <w:szCs w:val="18"/>
        </w:rPr>
        <w:t xml:space="preserve">  8.1</w:t>
      </w:r>
      <w:r>
        <w:rPr>
          <w:rFonts w:ascii="Arial" w:cs="Arial" w:eastAsia="Arial" w:hAnsi="Arial"/>
          <w:b w:val="false"/>
          <w:bCs w:val="false"/>
          <w:i w:val="false"/>
          <w:iCs w:val="false"/>
          <w:color w:val="444444"/>
          <w:sz w:val="18"/>
          <w:szCs w:val="18"/>
        </w:rPr>
        <w:t xml:space="preserve">  Analyse de panel data : effets fixes et aleatoires</w:t>
      </w:r>
      <w:r>
        <w:rPr>
          <w:rFonts w:ascii="Arial" w:cs="Arial" w:eastAsia="Arial" w:hAnsi="Arial"/>
          <w:color w:val="444444"/>
          <w:sz w:val="18"/>
          <w:szCs w:val="18"/>
        </w:rPr>
        <w:t xml:space="preserve">	19</w:t>
      </w:r>
    </w:p>
    <w:p>
      <w:pPr>
        <w:tabs>
          <w:tab w:val="right" w:pos="8640"/>
        </w:tabs>
        <w:spacing w:after="20" w:before="30"/>
        <w:ind w:left="360"/>
      </w:pPr>
      <w:r>
        <w:rPr>
          <w:rFonts w:ascii="Arial" w:cs="Arial" w:eastAsia="Arial" w:hAnsi="Arial"/>
          <w:b w:val="false"/>
          <w:bCs w:val="false"/>
          <w:i w:val="false"/>
          <w:iCs w:val="false"/>
          <w:color w:val="444444"/>
          <w:sz w:val="18"/>
          <w:szCs w:val="18"/>
        </w:rPr>
        <w:t xml:space="preserve">  8.2</w:t>
      </w:r>
      <w:r>
        <w:rPr>
          <w:rFonts w:ascii="Arial" w:cs="Arial" w:eastAsia="Arial" w:hAnsi="Arial"/>
          <w:b w:val="false"/>
          <w:bCs w:val="false"/>
          <w:i w:val="false"/>
          <w:iCs w:val="false"/>
          <w:color w:val="444444"/>
          <w:sz w:val="18"/>
          <w:szCs w:val="18"/>
        </w:rPr>
        <w:t xml:space="preserve">  Correlations cles et causalite de Granger</w:t>
      </w:r>
      <w:r>
        <w:rPr>
          <w:rFonts w:ascii="Arial" w:cs="Arial" w:eastAsia="Arial" w:hAnsi="Arial"/>
          <w:color w:val="444444"/>
          <w:sz w:val="18"/>
          <w:szCs w:val="18"/>
        </w:rPr>
        <w:t xml:space="preserve">	20</w:t>
      </w:r>
    </w:p>
    <w:p>
      <w:pPr>
        <w:tabs>
          <w:tab w:val="right" w:pos="8640"/>
        </w:tabs>
        <w:spacing w:after="20" w:before="30"/>
        <w:ind w:left="360"/>
      </w:pPr>
      <w:r>
        <w:rPr>
          <w:rFonts w:ascii="Arial" w:cs="Arial" w:eastAsia="Arial" w:hAnsi="Arial"/>
          <w:b w:val="false"/>
          <w:bCs w:val="false"/>
          <w:i w:val="false"/>
          <w:iCs w:val="false"/>
          <w:color w:val="444444"/>
          <w:sz w:val="18"/>
          <w:szCs w:val="18"/>
        </w:rPr>
        <w:t xml:space="preserve">  8.3</w:t>
      </w:r>
      <w:r>
        <w:rPr>
          <w:rFonts w:ascii="Arial" w:cs="Arial" w:eastAsia="Arial" w:hAnsi="Arial"/>
          <w:b w:val="false"/>
          <w:bCs w:val="false"/>
          <w:i w:val="false"/>
          <w:iCs w:val="false"/>
          <w:color w:val="444444"/>
          <w:sz w:val="18"/>
          <w:szCs w:val="18"/>
        </w:rPr>
        <w:t xml:space="preserve">  Clustering pays : 4 profils financiers africains</w:t>
      </w:r>
      <w:r>
        <w:rPr>
          <w:rFonts w:ascii="Arial" w:cs="Arial" w:eastAsia="Arial" w:hAnsi="Arial"/>
          <w:color w:val="444444"/>
          <w:sz w:val="18"/>
          <w:szCs w:val="18"/>
        </w:rPr>
        <w:t xml:space="preserve">	21</w:t>
      </w:r>
    </w:p>
    <w:p>
      <w:pPr>
        <w:tabs>
          <w:tab w:val="right" w:pos="8640"/>
        </w:tabs>
        <w:spacing w:after="20" w:before="30"/>
        <w:ind w:left="360"/>
      </w:pPr>
      <w:r>
        <w:rPr>
          <w:rFonts w:ascii="Arial" w:cs="Arial" w:eastAsia="Arial" w:hAnsi="Arial"/>
          <w:b w:val="false"/>
          <w:bCs w:val="false"/>
          <w:i w:val="false"/>
          <w:iCs w:val="false"/>
          <w:color w:val="444444"/>
          <w:sz w:val="18"/>
          <w:szCs w:val="18"/>
        </w:rPr>
        <w:t xml:space="preserve">  8.4</w:t>
      </w:r>
      <w:r>
        <w:rPr>
          <w:rFonts w:ascii="Arial" w:cs="Arial" w:eastAsia="Arial" w:hAnsi="Arial"/>
          <w:b w:val="false"/>
          <w:bCs w:val="false"/>
          <w:i w:val="false"/>
          <w:iCs w:val="false"/>
          <w:color w:val="444444"/>
          <w:sz w:val="18"/>
          <w:szCs w:val="18"/>
        </w:rPr>
        <w:t xml:space="preserve">  Modeles predictifs : Prophet &amp; ARIMA</w:t>
      </w:r>
      <w:r>
        <w:rPr>
          <w:rFonts w:ascii="Arial" w:cs="Arial" w:eastAsia="Arial" w:hAnsi="Arial"/>
          <w:color w:val="444444"/>
          <w:sz w:val="18"/>
          <w:szCs w:val="18"/>
        </w:rPr>
        <w:t xml:space="preserve">	22</w:t>
      </w:r>
    </w:p>
    <w:p>
      <w:pPr>
        <w:tabs>
          <w:tab w:val="right" w:pos="8640"/>
        </w:tabs>
        <w:spacing w:after="40" w:before="80"/>
      </w:pPr>
      <w:r>
        <w:rPr>
          <w:rFonts w:ascii="Arial" w:cs="Arial" w:eastAsia="Arial" w:hAnsi="Arial"/>
          <w:b/>
          <w:bCs/>
          <w:i w:val="false"/>
          <w:iCs w:val="false"/>
          <w:color w:val="1A5632"/>
          <w:sz w:val="20"/>
          <w:szCs w:val="20"/>
        </w:rPr>
        <w:t xml:space="preserve">IX.</w:t>
      </w:r>
      <w:r>
        <w:rPr>
          <w:rFonts w:ascii="Arial" w:cs="Arial" w:eastAsia="Arial" w:hAnsi="Arial"/>
          <w:b/>
          <w:bCs/>
          <w:i w:val="false"/>
          <w:iCs w:val="false"/>
          <w:color w:val="1A3A5C"/>
          <w:sz w:val="20"/>
          <w:szCs w:val="20"/>
        </w:rPr>
        <w:t xml:space="preserve">  ARCHITECTURE WEBGIS FINANCE AFRIQUE</w:t>
      </w:r>
      <w:r>
        <w:rPr>
          <w:rFonts w:ascii="Arial" w:cs="Arial" w:eastAsia="Arial" w:hAnsi="Arial"/>
          <w:color w:val="1E8449"/>
          <w:sz w:val="20"/>
          <w:szCs w:val="20"/>
        </w:rPr>
        <w:t xml:space="preserve">	23</w:t>
      </w:r>
    </w:p>
    <w:p>
      <w:pPr>
        <w:tabs>
          <w:tab w:val="right" w:pos="8640"/>
        </w:tabs>
        <w:spacing w:after="20" w:before="30"/>
        <w:ind w:left="360"/>
      </w:pPr>
      <w:r>
        <w:rPr>
          <w:rFonts w:ascii="Arial" w:cs="Arial" w:eastAsia="Arial" w:hAnsi="Arial"/>
          <w:b w:val="false"/>
          <w:bCs w:val="false"/>
          <w:i w:val="false"/>
          <w:iCs w:val="false"/>
          <w:color w:val="444444"/>
          <w:sz w:val="18"/>
          <w:szCs w:val="18"/>
        </w:rPr>
        <w:t xml:space="preserve">  9.1</w:t>
      </w:r>
      <w:r>
        <w:rPr>
          <w:rFonts w:ascii="Arial" w:cs="Arial" w:eastAsia="Arial" w:hAnsi="Arial"/>
          <w:b w:val="false"/>
          <w:bCs w:val="false"/>
          <w:i w:val="false"/>
          <w:iCs w:val="false"/>
          <w:color w:val="444444"/>
          <w:sz w:val="18"/>
          <w:szCs w:val="18"/>
        </w:rPr>
        <w:t xml:space="preserve">  Conception et philosophie technique</w:t>
      </w:r>
      <w:r>
        <w:rPr>
          <w:rFonts w:ascii="Arial" w:cs="Arial" w:eastAsia="Arial" w:hAnsi="Arial"/>
          <w:color w:val="444444"/>
          <w:sz w:val="18"/>
          <w:szCs w:val="18"/>
        </w:rPr>
        <w:t xml:space="preserve">	23</w:t>
      </w:r>
    </w:p>
    <w:p>
      <w:pPr>
        <w:tabs>
          <w:tab w:val="right" w:pos="8640"/>
        </w:tabs>
        <w:spacing w:after="20" w:before="30"/>
        <w:ind w:left="360"/>
      </w:pPr>
      <w:r>
        <w:rPr>
          <w:rFonts w:ascii="Arial" w:cs="Arial" w:eastAsia="Arial" w:hAnsi="Arial"/>
          <w:b w:val="false"/>
          <w:bCs w:val="false"/>
          <w:i w:val="false"/>
          <w:iCs w:val="false"/>
          <w:color w:val="444444"/>
          <w:sz w:val="18"/>
          <w:szCs w:val="18"/>
        </w:rPr>
        <w:t xml:space="preserve">  9.2</w:t>
      </w:r>
      <w:r>
        <w:rPr>
          <w:rFonts w:ascii="Arial" w:cs="Arial" w:eastAsia="Arial" w:hAnsi="Arial"/>
          <w:b w:val="false"/>
          <w:bCs w:val="false"/>
          <w:i w:val="false"/>
          <w:iCs w:val="false"/>
          <w:color w:val="444444"/>
          <w:sz w:val="18"/>
          <w:szCs w:val="18"/>
        </w:rPr>
        <w:t xml:space="preserve">  Stack technologique et infrastructure</w:t>
      </w:r>
      <w:r>
        <w:rPr>
          <w:rFonts w:ascii="Arial" w:cs="Arial" w:eastAsia="Arial" w:hAnsi="Arial"/>
          <w:color w:val="444444"/>
          <w:sz w:val="18"/>
          <w:szCs w:val="18"/>
        </w:rPr>
        <w:t xml:space="preserve">	24</w:t>
      </w:r>
    </w:p>
    <w:p>
      <w:pPr>
        <w:tabs>
          <w:tab w:val="right" w:pos="8640"/>
        </w:tabs>
        <w:spacing w:after="20" w:before="30"/>
        <w:ind w:left="360"/>
      </w:pPr>
      <w:r>
        <w:rPr>
          <w:rFonts w:ascii="Arial" w:cs="Arial" w:eastAsia="Arial" w:hAnsi="Arial"/>
          <w:b w:val="false"/>
          <w:bCs w:val="false"/>
          <w:i w:val="false"/>
          <w:iCs w:val="false"/>
          <w:color w:val="444444"/>
          <w:sz w:val="18"/>
          <w:szCs w:val="18"/>
        </w:rPr>
        <w:t xml:space="preserve">  9.3</w:t>
      </w:r>
      <w:r>
        <w:rPr>
          <w:rFonts w:ascii="Arial" w:cs="Arial" w:eastAsia="Arial" w:hAnsi="Arial"/>
          <w:b w:val="false"/>
          <w:bCs w:val="false"/>
          <w:i w:val="false"/>
          <w:iCs w:val="false"/>
          <w:color w:val="444444"/>
          <w:sz w:val="18"/>
          <w:szCs w:val="18"/>
        </w:rPr>
        <w:t xml:space="preserve">  Modules cartographiques et couches de donnees</w:t>
      </w:r>
      <w:r>
        <w:rPr>
          <w:rFonts w:ascii="Arial" w:cs="Arial" w:eastAsia="Arial" w:hAnsi="Arial"/>
          <w:color w:val="444444"/>
          <w:sz w:val="18"/>
          <w:szCs w:val="18"/>
        </w:rPr>
        <w:t xml:space="preserve">	25</w:t>
      </w:r>
    </w:p>
    <w:p>
      <w:pPr>
        <w:tabs>
          <w:tab w:val="right" w:pos="8640"/>
        </w:tabs>
        <w:spacing w:after="20" w:before="30"/>
        <w:ind w:left="360"/>
      </w:pPr>
      <w:r>
        <w:rPr>
          <w:rFonts w:ascii="Arial" w:cs="Arial" w:eastAsia="Arial" w:hAnsi="Arial"/>
          <w:b w:val="false"/>
          <w:bCs w:val="false"/>
          <w:i w:val="false"/>
          <w:iCs w:val="false"/>
          <w:color w:val="444444"/>
          <w:sz w:val="18"/>
          <w:szCs w:val="18"/>
        </w:rPr>
        <w:t xml:space="preserve">  9.4</w:t>
      </w:r>
      <w:r>
        <w:rPr>
          <w:rFonts w:ascii="Arial" w:cs="Arial" w:eastAsia="Arial" w:hAnsi="Arial"/>
          <w:b w:val="false"/>
          <w:bCs w:val="false"/>
          <w:i w:val="false"/>
          <w:iCs w:val="false"/>
          <w:color w:val="444444"/>
          <w:sz w:val="18"/>
          <w:szCs w:val="18"/>
        </w:rPr>
        <w:t xml:space="preserve">  Dashboard financier interactif</w:t>
      </w:r>
      <w:r>
        <w:rPr>
          <w:rFonts w:ascii="Arial" w:cs="Arial" w:eastAsia="Arial" w:hAnsi="Arial"/>
          <w:color w:val="444444"/>
          <w:sz w:val="18"/>
          <w:szCs w:val="18"/>
        </w:rPr>
        <w:t xml:space="preserve">	26</w:t>
      </w:r>
    </w:p>
    <w:p>
      <w:pPr>
        <w:tabs>
          <w:tab w:val="right" w:pos="8640"/>
        </w:tabs>
        <w:spacing w:after="20" w:before="30"/>
        <w:ind w:left="360"/>
      </w:pPr>
      <w:r>
        <w:rPr>
          <w:rFonts w:ascii="Arial" w:cs="Arial" w:eastAsia="Arial" w:hAnsi="Arial"/>
          <w:b w:val="false"/>
          <w:bCs w:val="false"/>
          <w:i w:val="false"/>
          <w:iCs w:val="false"/>
          <w:color w:val="444444"/>
          <w:sz w:val="18"/>
          <w:szCs w:val="18"/>
        </w:rPr>
        <w:t xml:space="preserve">  9.5</w:t>
      </w:r>
      <w:r>
        <w:rPr>
          <w:rFonts w:ascii="Arial" w:cs="Arial" w:eastAsia="Arial" w:hAnsi="Arial"/>
          <w:b w:val="false"/>
          <w:bCs w:val="false"/>
          <w:i w:val="false"/>
          <w:iCs w:val="false"/>
          <w:color w:val="444444"/>
          <w:sz w:val="18"/>
          <w:szCs w:val="18"/>
        </w:rPr>
        <w:t xml:space="preserve">  Pipeline temps reel et API finance</w:t>
      </w:r>
      <w:r>
        <w:rPr>
          <w:rFonts w:ascii="Arial" w:cs="Arial" w:eastAsia="Arial" w:hAnsi="Arial"/>
          <w:color w:val="444444"/>
          <w:sz w:val="18"/>
          <w:szCs w:val="18"/>
        </w:rPr>
        <w:t xml:space="preserve">	27</w:t>
      </w:r>
    </w:p>
    <w:p>
      <w:pPr>
        <w:tabs>
          <w:tab w:val="right" w:pos="8640"/>
        </w:tabs>
        <w:spacing w:after="40" w:before="80"/>
      </w:pPr>
      <w:r>
        <w:rPr>
          <w:rFonts w:ascii="Arial" w:cs="Arial" w:eastAsia="Arial" w:hAnsi="Arial"/>
          <w:b/>
          <w:bCs/>
          <w:i w:val="false"/>
          <w:iCs w:val="false"/>
          <w:color w:val="1A5632"/>
          <w:sz w:val="20"/>
          <w:szCs w:val="20"/>
        </w:rPr>
        <w:t xml:space="preserve">X.</w:t>
      </w:r>
      <w:r>
        <w:rPr>
          <w:rFonts w:ascii="Arial" w:cs="Arial" w:eastAsia="Arial" w:hAnsi="Arial"/>
          <w:b/>
          <w:bCs/>
          <w:i w:val="false"/>
          <w:iCs w:val="false"/>
          <w:color w:val="1A3A5C"/>
          <w:sz w:val="20"/>
          <w:szCs w:val="20"/>
        </w:rPr>
        <w:t xml:space="preserve">  RECOMMANDATIONS STRATEGIQUES</w:t>
      </w:r>
      <w:r>
        <w:rPr>
          <w:rFonts w:ascii="Arial" w:cs="Arial" w:eastAsia="Arial" w:hAnsi="Arial"/>
          <w:color w:val="1E8449"/>
          <w:sz w:val="20"/>
          <w:szCs w:val="20"/>
        </w:rPr>
        <w:t xml:space="preserve">	28</w:t>
      </w:r>
    </w:p>
    <w:p>
      <w:pPr>
        <w:tabs>
          <w:tab w:val="right" w:pos="8640"/>
        </w:tabs>
        <w:spacing w:after="40" w:before="80"/>
      </w:pPr>
      <w:r>
        <w:rPr>
          <w:rFonts w:ascii="Arial" w:cs="Arial" w:eastAsia="Arial" w:hAnsi="Arial"/>
          <w:b/>
          <w:bCs/>
          <w:i w:val="false"/>
          <w:iCs w:val="false"/>
          <w:color w:val="1A5632"/>
          <w:sz w:val="20"/>
          <w:szCs w:val="20"/>
        </w:rPr>
        <w:t xml:space="preserve">XI.</w:t>
      </w:r>
      <w:r>
        <w:rPr>
          <w:rFonts w:ascii="Arial" w:cs="Arial" w:eastAsia="Arial" w:hAnsi="Arial"/>
          <w:b/>
          <w:bCs/>
          <w:i w:val="false"/>
          <w:iCs w:val="false"/>
          <w:color w:val="1A3A5C"/>
          <w:sz w:val="20"/>
          <w:szCs w:val="20"/>
        </w:rPr>
        <w:t xml:space="preserve">  BIBLIOGRAPHIE &amp; SOURCES</w:t>
      </w:r>
      <w:r>
        <w:rPr>
          <w:rFonts w:ascii="Arial" w:cs="Arial" w:eastAsia="Arial" w:hAnsi="Arial"/>
          <w:color w:val="1E8449"/>
          <w:sz w:val="20"/>
          <w:szCs w:val="20"/>
        </w:rPr>
        <w:t xml:space="preserve">	29</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32" w:sz="8"/>
              <w:left w:val="single" w:color="1A5632" w:sz="8"/>
              <w:bottom w:val="single" w:color="1A5632" w:sz="8"/>
              <w:right w:val="single" w:color="1A5632" w:sz="8"/>
            </w:tcBorders>
            <w:shd w:fill="1A5632" w:val="clear"/>
            <w:tcMar>
              <w:top w:type="dxa" w:w="160"/>
              <w:left w:type="dxa" w:w="240"/>
              <w:bottom w:type="dxa" w:w="160"/>
              <w:right w:type="dxa" w:w="240"/>
            </w:tcMar>
          </w:tcPr>
          <w:p>
            <w:pPr>
              <w:spacing w:after="0" w:before="0"/>
              <w:jc w:val="left"/>
            </w:pPr>
            <w:r>
              <w:rPr>
                <w:rFonts w:ascii="Arial" w:cs="Arial" w:eastAsia="Arial" w:hAnsi="Arial"/>
                <w:b/>
                <w:bCs/>
                <w:i w:val="false"/>
                <w:iCs w:val="false"/>
                <w:color w:val="FFFFFF"/>
                <w:sz w:val="30"/>
                <w:szCs w:val="30"/>
              </w:rPr>
              <w:t xml:space="preserve">I  I. CONTEXTE ET POSITIONNEMENT STRATEGIQUE</w:t>
            </w:r>
          </w:p>
        </w:tc>
      </w:tr>
    </w:tbl>
    <w:p>
      <w:pPr>
        <w:spacing w:after="120" w:before="0"/>
      </w:pPr>
      <w:r>
        <w:rPr>
          <w:rFonts w:ascii="Arial" w:cs="Arial" w:eastAsia="Arial" w:hAnsi="Arial"/>
          <w:b w:val="false"/>
          <w:bCs w:val="false"/>
          <w:i w:val="false"/>
          <w:iCs w:val="false"/>
          <w:color w:val="000000"/>
          <w:sz w:val="20"/>
          <w:szCs w:val="20"/>
        </w:rPr>
        <w:t xml:space="preserve"/>
      </w:r>
    </w:p>
    <w:p>
      <w:pPr>
        <w:pStyle w:val="Heading2"/>
        <w:spacing w:after="140" w:before="280"/>
      </w:pPr>
      <w:r>
        <w:rPr>
          <w:rFonts w:ascii="Arial" w:cs="Arial" w:eastAsia="Arial" w:hAnsi="Arial"/>
          <w:b/>
          <w:bCs/>
          <w:color w:val="1A3A5C"/>
          <w:sz w:val="28"/>
          <w:szCs w:val="28"/>
        </w:rPr>
        <w:t xml:space="preserve">1.1 L'Afrique financiere en 2024 : etat des lieux</w:t>
      </w:r>
    </w:p>
    <w:p>
      <w:pPr>
        <w:spacing w:after="160" w:before="0" w:line="316"/>
        <w:jc w:val="left"/>
      </w:pPr>
      <w:r>
        <w:rPr>
          <w:rFonts w:ascii="Arial" w:cs="Arial" w:eastAsia="Arial" w:hAnsi="Arial"/>
          <w:b w:val="false"/>
          <w:bCs w:val="false"/>
          <w:i w:val="false"/>
          <w:iCs w:val="false"/>
          <w:color w:val="444444"/>
          <w:sz w:val="20"/>
          <w:szCs w:val="20"/>
        </w:rPr>
        <w:t xml:space="preserve">L'Afrique abrite en 2024 plus de 1,4 milliard d'habitants repartis dans 54 Etats souverains, avec des economies dont la taille varie de 650 millions de dollars (Sao Tome) a plus de 450 milliards (Egypte, Nigeria, Afrique du Sud). Apres deux decennies de croissance soutenue (moyenne +4,8% entre 2000 et 2019), le continent fait face a un tournant critique : la convergence du choc COVID, de la montee des taux d'interet mondiaux et de la fragmentation geopolitique contraint les systemes financiers africains a se reinventer.</w:t>
      </w:r>
    </w:p>
    <w:p>
      <w:pPr>
        <w:spacing w:after="160" w:before="0" w:line="316"/>
        <w:jc w:val="left"/>
      </w:pPr>
      <w:r>
        <w:rPr>
          <w:rFonts w:ascii="Arial" w:cs="Arial" w:eastAsia="Arial" w:hAnsi="Arial"/>
          <w:b w:val="false"/>
          <w:bCs w:val="false"/>
          <w:i w:val="false"/>
          <w:iCs w:val="false"/>
          <w:color w:val="444444"/>
          <w:sz w:val="20"/>
          <w:szCs w:val="20"/>
        </w:rPr>
        <w:t xml:space="preserve">Malgre ces defis, l'Afrique presente un paradoxe fascinant : elle est simultanement la region la moins bancarisee du monde (taux moyen de bancarisation adulte : 48%) et la region ou les innovations financieres digitales (mobile money, fintech) progressent le plus vite. L'Afrique subsaharienne represente 70% du volume mondial de transactions mobile money, et des pays comme le Kenya, le Ghana ou la Cote d'Ivoire sont reconnus comme des laboratoires mondiaux de la finance inclusive.</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1E8449" w:sz="6"/>
              <w:left w:val="single" w:color="1E8449" w:sz="6"/>
              <w:bottom w:val="single" w:color="1E8449" w:sz="6"/>
              <w:right w:val="single" w:color="1E8449" w:sz="6"/>
            </w:tcBorders>
            <w:shd w:fill="D5F5E3" w:val="clear"/>
            <w:tcMar>
              <w:top w:type="dxa" w:w="100"/>
              <w:left w:type="dxa" w:w="80"/>
              <w:bottom w:type="dxa" w:w="60"/>
              <w:right w:type="dxa" w:w="80"/>
            </w:tcMar>
            <w:vAlign w:val="center"/>
          </w:tcPr>
          <w:p>
            <w:pPr>
              <w:spacing w:after="20" w:before="0"/>
              <w:jc w:val="center"/>
            </w:pPr>
            <w:r>
              <w:rPr>
                <w:rFonts w:ascii="Arial" w:cs="Arial" w:eastAsia="Arial" w:hAnsi="Arial"/>
                <w:b/>
                <w:bCs/>
                <w:i w:val="false"/>
                <w:iCs w:val="false"/>
                <w:color w:val="1A5632"/>
                <w:sz w:val="32"/>
                <w:szCs w:val="32"/>
              </w:rPr>
              <w:t xml:space="preserve">54</w:t>
            </w:r>
          </w:p>
          <w:p>
            <w:pPr>
              <w:spacing w:after="0" w:before="0"/>
              <w:jc w:val="center"/>
            </w:pPr>
            <w:r>
              <w:rPr>
                <w:rFonts w:ascii="Arial" w:cs="Arial" w:eastAsia="Arial" w:hAnsi="Arial"/>
                <w:b w:val="false"/>
                <w:bCs w:val="false"/>
                <w:i w:val="false"/>
                <w:iCs w:val="false"/>
                <w:color w:val="444444"/>
                <w:sz w:val="16"/>
                <w:szCs w:val="16"/>
              </w:rPr>
              <w:t xml:space="preserve">pays analyses</w:t>
            </w:r>
          </w:p>
        </w:tc>
        <w:tc>
          <w:tcPr>
            <w:tcW w:type="dxa" w:w="1560"/>
            <w:tcBorders>
              <w:top w:val="single" w:color="1E8449" w:sz="6"/>
              <w:left w:val="single" w:color="1E8449" w:sz="6"/>
              <w:bottom w:val="single" w:color="1E8449" w:sz="6"/>
              <w:right w:val="single" w:color="1E8449" w:sz="6"/>
            </w:tcBorders>
            <w:shd w:fill="D6E4F0" w:val="clear"/>
            <w:tcMar>
              <w:top w:type="dxa" w:w="100"/>
              <w:left w:type="dxa" w:w="80"/>
              <w:bottom w:type="dxa" w:w="60"/>
              <w:right w:type="dxa" w:w="80"/>
            </w:tcMar>
            <w:vAlign w:val="center"/>
          </w:tcPr>
          <w:p>
            <w:pPr>
              <w:spacing w:after="20" w:before="0"/>
              <w:jc w:val="center"/>
            </w:pPr>
            <w:r>
              <w:rPr>
                <w:rFonts w:ascii="Arial" w:cs="Arial" w:eastAsia="Arial" w:hAnsi="Arial"/>
                <w:b/>
                <w:bCs/>
                <w:i w:val="false"/>
                <w:iCs w:val="false"/>
                <w:color w:val="1A3A5C"/>
                <w:sz w:val="32"/>
                <w:szCs w:val="32"/>
              </w:rPr>
              <w:t xml:space="preserve">25 ans</w:t>
            </w:r>
          </w:p>
          <w:p>
            <w:pPr>
              <w:spacing w:after="0" w:before="0"/>
              <w:jc w:val="center"/>
            </w:pPr>
            <w:r>
              <w:rPr>
                <w:rFonts w:ascii="Arial" w:cs="Arial" w:eastAsia="Arial" w:hAnsi="Arial"/>
                <w:b w:val="false"/>
                <w:bCs w:val="false"/>
                <w:i w:val="false"/>
                <w:iCs w:val="false"/>
                <w:color w:val="444444"/>
                <w:sz w:val="16"/>
                <w:szCs w:val="16"/>
              </w:rPr>
              <w:t xml:space="preserve">serie temporelle</w:t>
            </w:r>
          </w:p>
        </w:tc>
        <w:tc>
          <w:tcPr>
            <w:tcW w:type="dxa" w:w="1560"/>
            <w:tcBorders>
              <w:top w:val="single" w:color="1E8449" w:sz="6"/>
              <w:left w:val="single" w:color="1E8449" w:sz="6"/>
              <w:bottom w:val="single" w:color="1E8449" w:sz="6"/>
              <w:right w:val="single" w:color="1E8449" w:sz="6"/>
            </w:tcBorders>
            <w:shd w:fill="FADBD8" w:val="clear"/>
            <w:tcMar>
              <w:top w:type="dxa" w:w="100"/>
              <w:left w:type="dxa" w:w="80"/>
              <w:bottom w:type="dxa" w:w="60"/>
              <w:right w:type="dxa" w:w="80"/>
            </w:tcMar>
            <w:vAlign w:val="center"/>
          </w:tcPr>
          <w:p>
            <w:pPr>
              <w:spacing w:after="20" w:before="0"/>
              <w:jc w:val="center"/>
            </w:pPr>
            <w:r>
              <w:rPr>
                <w:rFonts w:ascii="Arial" w:cs="Arial" w:eastAsia="Arial" w:hAnsi="Arial"/>
                <w:b/>
                <w:bCs/>
                <w:i w:val="false"/>
                <w:iCs w:val="false"/>
                <w:color w:val="7B241C"/>
                <w:sz w:val="32"/>
                <w:szCs w:val="32"/>
              </w:rPr>
              <w:t xml:space="preserve">15 000+</w:t>
            </w:r>
          </w:p>
          <w:p>
            <w:pPr>
              <w:spacing w:after="0" w:before="0"/>
              <w:jc w:val="center"/>
            </w:pPr>
            <w:r>
              <w:rPr>
                <w:rFonts w:ascii="Arial" w:cs="Arial" w:eastAsia="Arial" w:hAnsi="Arial"/>
                <w:b w:val="false"/>
                <w:bCs w:val="false"/>
                <w:i w:val="false"/>
                <w:iCs w:val="false"/>
                <w:color w:val="444444"/>
                <w:sz w:val="16"/>
                <w:szCs w:val="16"/>
              </w:rPr>
              <w:t xml:space="preserve">observations totales</w:t>
            </w:r>
          </w:p>
        </w:tc>
        <w:tc>
          <w:tcPr>
            <w:tcW w:type="dxa" w:w="1560"/>
            <w:tcBorders>
              <w:top w:val="single" w:color="1E8449" w:sz="6"/>
              <w:left w:val="single" w:color="1E8449" w:sz="6"/>
              <w:bottom w:val="single" w:color="1E8449" w:sz="6"/>
              <w:right w:val="single" w:color="1E8449" w:sz="6"/>
            </w:tcBorders>
            <w:shd w:fill="EAD1F8" w:val="clear"/>
            <w:tcMar>
              <w:top w:type="dxa" w:w="100"/>
              <w:left w:type="dxa" w:w="80"/>
              <w:bottom w:type="dxa" w:w="60"/>
              <w:right w:type="dxa" w:w="80"/>
            </w:tcMar>
            <w:vAlign w:val="center"/>
          </w:tcPr>
          <w:p>
            <w:pPr>
              <w:spacing w:after="20" w:before="0"/>
              <w:jc w:val="center"/>
            </w:pPr>
            <w:r>
              <w:rPr>
                <w:rFonts w:ascii="Arial" w:cs="Arial" w:eastAsia="Arial" w:hAnsi="Arial"/>
                <w:b/>
                <w:bCs/>
                <w:i w:val="false"/>
                <w:iCs w:val="false"/>
                <w:color w:val="6C3483"/>
                <w:sz w:val="32"/>
                <w:szCs w:val="32"/>
              </w:rPr>
              <w:t xml:space="preserve">80+</w:t>
            </w:r>
          </w:p>
          <w:p>
            <w:pPr>
              <w:spacing w:after="0" w:before="0"/>
              <w:jc w:val="center"/>
            </w:pPr>
            <w:r>
              <w:rPr>
                <w:rFonts w:ascii="Arial" w:cs="Arial" w:eastAsia="Arial" w:hAnsi="Arial"/>
                <w:b w:val="false"/>
                <w:bCs w:val="false"/>
                <w:i w:val="false"/>
                <w:iCs w:val="false"/>
                <w:color w:val="444444"/>
                <w:sz w:val="16"/>
                <w:szCs w:val="16"/>
              </w:rPr>
              <w:t xml:space="preserve">variables financieres</w:t>
            </w:r>
          </w:p>
        </w:tc>
        <w:tc>
          <w:tcPr>
            <w:tcW w:type="dxa" w:w="1560"/>
            <w:tcBorders>
              <w:top w:val="single" w:color="1E8449" w:sz="6"/>
              <w:left w:val="single" w:color="1E8449" w:sz="6"/>
              <w:bottom w:val="single" w:color="1E8449" w:sz="6"/>
              <w:right w:val="single" w:color="1E8449" w:sz="6"/>
            </w:tcBorders>
            <w:shd w:fill="FEF9E7" w:val="clear"/>
            <w:tcMar>
              <w:top w:type="dxa" w:w="100"/>
              <w:left w:type="dxa" w:w="80"/>
              <w:bottom w:type="dxa" w:w="60"/>
              <w:right w:type="dxa" w:w="80"/>
            </w:tcMar>
            <w:vAlign w:val="center"/>
          </w:tcPr>
          <w:p>
            <w:pPr>
              <w:spacing w:after="20" w:before="0"/>
              <w:jc w:val="center"/>
            </w:pPr>
            <w:r>
              <w:rPr>
                <w:rFonts w:ascii="Arial" w:cs="Arial" w:eastAsia="Arial" w:hAnsi="Arial"/>
                <w:b/>
                <w:bCs/>
                <w:i w:val="false"/>
                <w:iCs w:val="false"/>
                <w:color w:val="D4AC0D"/>
                <w:sz w:val="32"/>
                <w:szCs w:val="32"/>
              </w:rPr>
              <w:t xml:space="preserve">$2,7T</w:t>
            </w:r>
          </w:p>
          <w:p>
            <w:pPr>
              <w:spacing w:after="0" w:before="0"/>
              <w:jc w:val="center"/>
            </w:pPr>
            <w:r>
              <w:rPr>
                <w:rFonts w:ascii="Arial" w:cs="Arial" w:eastAsia="Arial" w:hAnsi="Arial"/>
                <w:b w:val="false"/>
                <w:bCs w:val="false"/>
                <w:i w:val="false"/>
                <w:iCs w:val="false"/>
                <w:color w:val="444444"/>
                <w:sz w:val="16"/>
                <w:szCs w:val="16"/>
              </w:rPr>
              <w:t xml:space="preserve">PIB africain 2024</w:t>
            </w:r>
          </w:p>
        </w:tc>
        <w:tc>
          <w:tcPr>
            <w:tcW w:type="dxa" w:w="1560"/>
            <w:tcBorders>
              <w:top w:val="single" w:color="1E8449" w:sz="6"/>
              <w:left w:val="single" w:color="1E8449" w:sz="6"/>
              <w:bottom w:val="single" w:color="1E8449" w:sz="6"/>
              <w:right w:val="single" w:color="1E8449" w:sz="6"/>
            </w:tcBorders>
            <w:shd w:fill="D0ECE7" w:val="clear"/>
            <w:tcMar>
              <w:top w:type="dxa" w:w="100"/>
              <w:left w:type="dxa" w:w="80"/>
              <w:bottom w:type="dxa" w:w="60"/>
              <w:right w:type="dxa" w:w="80"/>
            </w:tcMar>
            <w:vAlign w:val="center"/>
          </w:tcPr>
          <w:p>
            <w:pPr>
              <w:spacing w:after="20" w:before="0"/>
              <w:jc w:val="center"/>
            </w:pPr>
            <w:r>
              <w:rPr>
                <w:rFonts w:ascii="Arial" w:cs="Arial" w:eastAsia="Arial" w:hAnsi="Arial"/>
                <w:b/>
                <w:bCs/>
                <w:i w:val="false"/>
                <w:iCs w:val="false"/>
                <w:color w:val="117A65"/>
                <w:sz w:val="32"/>
                <w:szCs w:val="32"/>
              </w:rPr>
              <w:t xml:space="preserve">48%</w:t>
            </w:r>
          </w:p>
          <w:p>
            <w:pPr>
              <w:spacing w:after="0" w:before="0"/>
              <w:jc w:val="center"/>
            </w:pPr>
            <w:r>
              <w:rPr>
                <w:rFonts w:ascii="Arial" w:cs="Arial" w:eastAsia="Arial" w:hAnsi="Arial"/>
                <w:b w:val="false"/>
                <w:bCs w:val="false"/>
                <w:i w:val="false"/>
                <w:iCs w:val="false"/>
                <w:color w:val="444444"/>
                <w:sz w:val="16"/>
                <w:szCs w:val="16"/>
              </w:rPr>
              <w:t xml:space="preserve">taux bancarisation moy.</w:t>
            </w:r>
          </w:p>
        </w:tc>
      </w:tr>
    </w:tbl>
    <w:p>
      <w:pPr>
        <w:spacing w:after="120" w:before="0"/>
      </w:pPr>
      <w:r>
        <w:rPr>
          <w:rFonts w:ascii="Arial" w:cs="Arial" w:eastAsia="Arial" w:hAnsi="Arial"/>
          <w:b w:val="false"/>
          <w:bCs w:val="false"/>
          <w:i w:val="false"/>
          <w:iCs w:val="false"/>
          <w:color w:val="000000"/>
          <w:sz w:val="20"/>
          <w:szCs w:val="20"/>
        </w:rPr>
        <w:t xml:space="preserve"/>
      </w:r>
    </w:p>
    <w:p>
      <w:pPr>
        <w:pStyle w:val="Heading2"/>
        <w:spacing w:after="140" w:before="280"/>
      </w:pPr>
      <w:r>
        <w:rPr>
          <w:rFonts w:ascii="Arial" w:cs="Arial" w:eastAsia="Arial" w:hAnsi="Arial"/>
          <w:b/>
          <w:bCs/>
          <w:color w:val="1A3A5C"/>
          <w:sz w:val="28"/>
          <w:szCs w:val="28"/>
        </w:rPr>
        <w:t xml:space="preserve">1.2 Rationale de l'etude et enjeux analytiques</w:t>
      </w:r>
    </w:p>
    <w:p>
      <w:pPr>
        <w:spacing w:after="160" w:before="0" w:line="316"/>
        <w:jc w:val="left"/>
      </w:pPr>
      <w:r>
        <w:rPr>
          <w:rFonts w:ascii="Arial" w:cs="Arial" w:eastAsia="Arial" w:hAnsi="Arial"/>
          <w:b w:val="false"/>
          <w:bCs w:val="false"/>
          <w:i w:val="false"/>
          <w:iCs w:val="false"/>
          <w:color w:val="444444"/>
          <w:sz w:val="20"/>
          <w:szCs w:val="20"/>
        </w:rPr>
        <w:t xml:space="preserve">Cette etude repond a trois questions analytiques centrales que tout senior data analyst doit etre en mesure de traiter :</w:t>
      </w:r>
    </w:p>
    <w:p>
      <w:pPr>
        <w:pStyle w:val="ListParagraph"/>
        <w:numPr>
          <w:ilvl w:val="0"/>
          <w:numId w:val="2"/>
        </w:numPr>
        <w:spacing w:after="60" w:before="40" w:line="276"/>
      </w:pPr>
      <w:r>
        <w:rPr>
          <w:rFonts w:ascii="Arial" w:cs="Arial" w:eastAsia="Arial" w:hAnsi="Arial"/>
          <w:b w:val="false"/>
          <w:bCs w:val="false"/>
          <w:i w:val="false"/>
          <w:iCs w:val="false"/>
          <w:color w:val="444444"/>
          <w:sz w:val="19"/>
          <w:szCs w:val="19"/>
        </w:rPr>
        <w:t xml:space="preserve">QUESTION 1 — STRUCTURE : Quelles sont les determinantes structurelles du developpement financier en Afrique ? Comment l'IDH, la gouvernance, les dotations en ressources naturelles et la geographie conditionnent-ils le niveau de bancarisation, de credit et d'inclusion financiere ?</w:t>
      </w:r>
    </w:p>
    <w:p>
      <w:pPr>
        <w:pStyle w:val="ListParagraph"/>
        <w:numPr>
          <w:ilvl w:val="0"/>
          <w:numId w:val="2"/>
        </w:numPr>
        <w:spacing w:after="60" w:before="40" w:line="276"/>
      </w:pPr>
      <w:r>
        <w:rPr>
          <w:rFonts w:ascii="Arial" w:cs="Arial" w:eastAsia="Arial" w:hAnsi="Arial"/>
          <w:b w:val="false"/>
          <w:bCs w:val="false"/>
          <w:i w:val="false"/>
          <w:iCs w:val="false"/>
          <w:color w:val="444444"/>
          <w:sz w:val="19"/>
          <w:szCs w:val="19"/>
        </w:rPr>
        <w:t xml:space="preserve">QUESTION 2 — DYNAMIQUE : Quels mecanismes de transmission relient la politique monetaire, l'inflation, le taux de change et la qualite du portefeuille bancaire (NPL) ? Comment les chocs exterieurs (2008, COVID, hausse Fed) se propagent-ils dans les systemes financiers africains ?</w:t>
      </w:r>
    </w:p>
    <w:p>
      <w:pPr>
        <w:pStyle w:val="ListParagraph"/>
        <w:numPr>
          <w:ilvl w:val="0"/>
          <w:numId w:val="2"/>
        </w:numPr>
        <w:spacing w:after="60" w:before="40" w:line="276"/>
      </w:pPr>
      <w:r>
        <w:rPr>
          <w:rFonts w:ascii="Arial" w:cs="Arial" w:eastAsia="Arial" w:hAnsi="Arial"/>
          <w:b w:val="false"/>
          <w:bCs w:val="false"/>
          <w:i w:val="false"/>
          <w:iCs w:val="false"/>
          <w:color w:val="444444"/>
          <w:sz w:val="19"/>
          <w:szCs w:val="19"/>
        </w:rPr>
        <w:t xml:space="preserve">QUESTION 3 — INNOVATION : Dans quelle mesure le mobile money et la fintech constituent-ils un substitut ou un complement au systeme bancaire formel ? L'inclusion financiere digitale produit-elle des effets mesurables sur la croissance, la reduction de la pauvrete et la resilience macroeconomique ?</w:t>
      </w:r>
    </w:p>
    <w:p>
      <w:pPr>
        <w:spacing w:after="80" w:before="0"/>
      </w:pPr>
      <w:r>
        <w:rPr>
          <w:rFonts w:ascii="Arial" w:cs="Arial" w:eastAsia="Arial" w:hAnsi="Arial"/>
          <w:b w:val="false"/>
          <w:bCs w:val="false"/>
          <w:i w:val="false"/>
          <w:iCs w:val="false"/>
          <w:color w:val="000000"/>
          <w:sz w:val="20"/>
          <w:szCs w:val="20"/>
        </w:rPr>
        <w:t xml:space="preserve"/>
      </w:r>
    </w:p>
    <w:p>
      <w:pPr>
        <w:pStyle w:val="Heading2"/>
        <w:spacing w:after="140" w:before="280"/>
      </w:pPr>
      <w:r>
        <w:rPr>
          <w:rFonts w:ascii="Arial" w:cs="Arial" w:eastAsia="Arial" w:hAnsi="Arial"/>
          <w:b/>
          <w:bCs/>
          <w:color w:val="1A3A5C"/>
          <w:sz w:val="28"/>
          <w:szCs w:val="28"/>
        </w:rPr>
        <w:t xml:space="preserve">1.3 Perimetre et contraintes methodologiques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8"/>
              <w:left w:val="single" w:color="E67E22" w:sz="8"/>
              <w:bottom w:val="single" w:color="E67E22" w:sz="8"/>
              <w:right w:val="single" w:color="E67E22" w:sz="8"/>
            </w:tcBorders>
            <w:shd w:fill="2E6DA4"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0"/>
                <w:szCs w:val="20"/>
              </w:rPr>
              <w:t xml:space="preserve">AVERTISSEMENT METHODOLOGIQUE ESSENTIEL</w:t>
            </w:r>
          </w:p>
        </w:tc>
      </w:tr>
      <w:tr>
        <w:tc>
          <w:tcPr>
            <w:tcW w:type="dxa" w:w="9360"/>
            <w:tcBorders>
              <w:top w:val="single" w:color="E67E22" w:sz="8"/>
              <w:left w:val="single" w:color="E67E22" w:sz="8"/>
              <w:bottom w:val="single" w:color="E67E22" w:sz="8"/>
              <w:right w:val="single" w:color="E67E22" w:sz="8"/>
            </w:tcBorders>
            <w:shd w:fill="FEF9E7" w:val="clear"/>
            <w:tcMar>
              <w:top w:type="dxa" w:w="120"/>
              <w:left w:type="dxa" w:w="160"/>
              <w:bottom w:type="dxa" w:w="120"/>
              <w:right w:type="dxa" w:w="160"/>
            </w:tcMar>
          </w:tcPr>
          <w:p>
            <w:pPr>
              <w:spacing w:after="40" w:before="40"/>
            </w:pPr>
            <w:r>
              <w:rPr>
                <w:rFonts w:ascii="Arial" w:cs="Arial" w:eastAsia="Arial" w:hAnsi="Arial"/>
                <w:b w:val="false"/>
                <w:bCs w:val="false"/>
                <w:i w:val="false"/>
                <w:iCs w:val="false"/>
                <w:color w:val="444444"/>
                <w:sz w:val="19"/>
                <w:szCs w:val="19"/>
              </w:rPr>
              <w:t xml:space="preserve">Les donnees combinent des series officielles (FMI, Banque Mondiale, banques centrales) et des estimations modelisees pour les pays a surveillance statistique insuffisante. Environ 35 a 60% des observations des pays en situation de fragilite (Cluster C/D) sont des extrapolations calibrees sur les donnees disponibles et les variables proxy. Toute interpretation comparative doit prendre en compte les facteurs de sous-declaration et les biais de surveillance. Les correlations presentees sont descriptives et non necessairement causales. Pour des conclusions robustes, l'auteur recommande l'utilisation de modeles a effets fixes (panel data) et de tests de robustesse par sous-echantillons regionaux.</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single" w:color="1A3A5C" w:sz="8"/>
              <w:bottom w:val="single" w:color="1A3A5C" w:sz="8"/>
              <w:right w:val="single" w:color="1A3A5C" w:sz="8"/>
            </w:tcBorders>
            <w:shd w:fill="1A3A5C" w:val="clear"/>
            <w:tcMar>
              <w:top w:type="dxa" w:w="160"/>
              <w:left w:type="dxa" w:w="240"/>
              <w:bottom w:type="dxa" w:w="160"/>
              <w:right w:type="dxa" w:w="240"/>
            </w:tcMar>
          </w:tcPr>
          <w:p>
            <w:pPr>
              <w:spacing w:after="0" w:before="0"/>
              <w:jc w:val="left"/>
            </w:pPr>
            <w:r>
              <w:rPr>
                <w:rFonts w:ascii="Arial" w:cs="Arial" w:eastAsia="Arial" w:hAnsi="Arial"/>
                <w:b/>
                <w:bCs/>
                <w:i w:val="false"/>
                <w:iCs w:val="false"/>
                <w:color w:val="FFFFFF"/>
                <w:sz w:val="30"/>
                <w:szCs w:val="30"/>
              </w:rPr>
              <w:t xml:space="preserve">II  II. ARCHITECTURE DE LA BASE DE DONNEES</w:t>
            </w:r>
          </w:p>
        </w:tc>
      </w:tr>
    </w:tbl>
    <w:p>
      <w:pPr>
        <w:spacing w:after="120" w:before="0"/>
      </w:pPr>
      <w:r>
        <w:rPr>
          <w:rFonts w:ascii="Arial" w:cs="Arial" w:eastAsia="Arial" w:hAnsi="Arial"/>
          <w:b w:val="false"/>
          <w:bCs w:val="false"/>
          <w:i w:val="false"/>
          <w:iCs w:val="false"/>
          <w:color w:val="000000"/>
          <w:sz w:val="20"/>
          <w:szCs w:val="20"/>
        </w:rPr>
        <w:t xml:space="preserve"/>
      </w:r>
    </w:p>
    <w:p>
      <w:pPr>
        <w:pStyle w:val="Heading2"/>
        <w:spacing w:after="140" w:before="280"/>
      </w:pPr>
      <w:r>
        <w:rPr>
          <w:rFonts w:ascii="Arial" w:cs="Arial" w:eastAsia="Arial" w:hAnsi="Arial"/>
          <w:b/>
          <w:bCs/>
          <w:color w:val="1A3A5C"/>
          <w:sz w:val="28"/>
          <w:szCs w:val="28"/>
        </w:rPr>
        <w:t xml:space="preserve">2.1 Structure des 13 onglets et volumetrie</w:t>
      </w:r>
    </w:p>
    <w:p>
      <w:pPr>
        <w:spacing w:after="160" w:before="0" w:line="316"/>
        <w:jc w:val="left"/>
      </w:pPr>
      <w:r>
        <w:rPr>
          <w:rFonts w:ascii="Arial" w:cs="Arial" w:eastAsia="Arial" w:hAnsi="Arial"/>
          <w:b w:val="false"/>
          <w:bCs w:val="false"/>
          <w:i w:val="false"/>
          <w:iCs w:val="false"/>
          <w:color w:val="444444"/>
          <w:sz w:val="20"/>
          <w:szCs w:val="20"/>
        </w:rPr>
        <w:t xml:space="preserve">La base de donnees Africa Finance Database est organisee en 13 onglets thematiques complementaires, concus pour couvrir toutes les dimensions de l'analyse financiere africaine :</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700"/>
        <w:gridCol w:w="900"/>
        <w:gridCol w:w="1400"/>
        <w:gridCol w:w="2260"/>
      </w:tblGrid>
      <w:tr>
        <w:trPr>
          <w:tblHeader/>
        </w:trPr>
        <w:tc>
          <w:tcPr>
            <w:tcW w:type="dxa" w:w="1600"/>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Onglet</w:t>
            </w:r>
          </w:p>
        </w:tc>
        <w:tc>
          <w:tcPr>
            <w:tcW w:type="dxa" w:w="2500"/>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Contenu principal</w:t>
            </w:r>
          </w:p>
        </w:tc>
        <w:tc>
          <w:tcPr>
            <w:tcW w:type="dxa" w:w="700"/>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Lignes</w:t>
            </w:r>
          </w:p>
        </w:tc>
        <w:tc>
          <w:tcPr>
            <w:tcW w:type="dxa" w:w="900"/>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Variables</w:t>
            </w:r>
          </w:p>
        </w:tc>
        <w:tc>
          <w:tcPr>
            <w:tcW w:type="dxa" w:w="1400"/>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Granularite</w:t>
            </w:r>
          </w:p>
        </w:tc>
        <w:tc>
          <w:tcPr>
            <w:tcW w:type="dxa" w:w="2260"/>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Usage analytique</w:t>
            </w:r>
          </w:p>
        </w:tc>
      </w:tr>
      <w:tr>
        <w:tc>
          <w:tcPr>
            <w:tcW w:type="dxa" w:w="16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Macroeconomie Annuelle</w:t>
            </w:r>
          </w:p>
        </w:tc>
        <w:tc>
          <w:tcPr>
            <w:tcW w:type="dxa" w:w="25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PIB, croissance, inflation, taux directeur, FDI, dette</w:t>
            </w:r>
          </w:p>
        </w:tc>
        <w:tc>
          <w:tcPr>
            <w:tcW w:type="dxa" w:w="7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1 275</w:t>
            </w:r>
          </w:p>
        </w:tc>
        <w:tc>
          <w:tcPr>
            <w:tcW w:type="dxa" w:w="9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25</w:t>
            </w:r>
          </w:p>
        </w:tc>
        <w:tc>
          <w:tcPr>
            <w:tcW w:type="dxa" w:w="14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Pays x Annee</w:t>
            </w:r>
          </w:p>
        </w:tc>
        <w:tc>
          <w:tcPr>
            <w:tcW w:type="dxa" w:w="22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Panel data, VAR, clustering</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Secteur Bancaire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NPL, CAR, ROE, ROA, NIM, credit/PIB, bancarisation</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1 275</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26</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Pays x Annee</w:t>
            </w:r>
          </w:p>
        </w:tc>
        <w:tc>
          <w:tcPr>
            <w:tcW w:type="dxa" w:w="2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Solidite financiere, benchmarking</w:t>
            </w:r>
          </w:p>
        </w:tc>
      </w:tr>
      <w:tr>
        <w:tc>
          <w:tcPr>
            <w:tcW w:type="dxa" w:w="16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Fintech &amp; Mobile Money</w:t>
            </w:r>
          </w:p>
        </w:tc>
        <w:tc>
          <w:tcPr>
            <w:tcW w:type="dxa" w:w="25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Comptes MM, transactions, startups, crypto, operateurs</w:t>
            </w:r>
          </w:p>
        </w:tc>
        <w:tc>
          <w:tcPr>
            <w:tcW w:type="dxa" w:w="7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1 275</w:t>
            </w:r>
          </w:p>
        </w:tc>
        <w:tc>
          <w:tcPr>
            <w:tcW w:type="dxa" w:w="9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24</w:t>
            </w:r>
          </w:p>
        </w:tc>
        <w:tc>
          <w:tcPr>
            <w:tcW w:type="dxa" w:w="14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Pays x Annee</w:t>
            </w:r>
          </w:p>
        </w:tc>
        <w:tc>
          <w:tcPr>
            <w:tcW w:type="dxa" w:w="22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Innovation, inclusion digitale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Marches Financiers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Indices bourses, capitalisation, spreads, ratings, Eurobonds</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850</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21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Bourse x Annee</w:t>
            </w:r>
          </w:p>
        </w:tc>
        <w:tc>
          <w:tcPr>
            <w:tcW w:type="dxa" w:w="2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Marches capitaux, risque souverain</w:t>
            </w:r>
          </w:p>
        </w:tc>
      </w:tr>
      <w:tr>
        <w:tc>
          <w:tcPr>
            <w:tcW w:type="dxa" w:w="16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Microfinance &amp; Inclusion</w:t>
            </w:r>
          </w:p>
        </w:tc>
        <w:tc>
          <w:tcPr>
            <w:tcW w:type="dxa" w:w="25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PAR30, OSS, portefeuille, femmes%, coops</w:t>
            </w:r>
          </w:p>
        </w:tc>
        <w:tc>
          <w:tcPr>
            <w:tcW w:type="dxa" w:w="7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1 275</w:t>
            </w:r>
          </w:p>
        </w:tc>
        <w:tc>
          <w:tcPr>
            <w:tcW w:type="dxa" w:w="9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21</w:t>
            </w:r>
          </w:p>
        </w:tc>
        <w:tc>
          <w:tcPr>
            <w:tcW w:type="dxa" w:w="14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Pays x Annee</w:t>
            </w:r>
          </w:p>
        </w:tc>
        <w:tc>
          <w:tcPr>
            <w:tcW w:type="dxa" w:w="22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Inclusion financiere, genre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Donnees Trimestrielles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PIB, FX, credits, flux capitaux, M-Money T1-T4</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5 100</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18</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Pays x Trimestre</w:t>
            </w:r>
          </w:p>
        </w:tc>
        <w:tc>
          <w:tcPr>
            <w:tcW w:type="dxa" w:w="2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Cycles, saisonnalite, haute freq.</w:t>
            </w:r>
          </w:p>
        </w:tc>
      </w:tr>
      <w:tr>
        <w:tc>
          <w:tcPr>
            <w:tcW w:type="dxa" w:w="16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Profil Pays Finance</w:t>
            </w:r>
          </w:p>
        </w:tc>
        <w:tc>
          <w:tcPr>
            <w:tcW w:type="dxa" w:w="25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Monnaie, banque centrale, bourse, zone eco, structure</w:t>
            </w:r>
          </w:p>
        </w:tc>
        <w:tc>
          <w:tcPr>
            <w:tcW w:type="dxa" w:w="7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54</w:t>
            </w:r>
          </w:p>
        </w:tc>
        <w:tc>
          <w:tcPr>
            <w:tcW w:type="dxa" w:w="9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21</w:t>
            </w:r>
          </w:p>
        </w:tc>
        <w:tc>
          <w:tcPr>
            <w:tcW w:type="dxa" w:w="14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Pays</w:t>
            </w:r>
          </w:p>
        </w:tc>
        <w:tc>
          <w:tcPr>
            <w:tcW w:type="dxa" w:w="22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Caracteristiques structurelles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Statistiques Descriptives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Min, Max, Moy, Med, Ecart-type, P25, P75, CV</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Variable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Region x Variable</w:t>
            </w:r>
          </w:p>
        </w:tc>
        <w:tc>
          <w:tcPr>
            <w:tcW w:type="dxa" w:w="2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Exploration, qualite donnees</w:t>
            </w:r>
          </w:p>
        </w:tc>
      </w:tr>
      <w:tr>
        <w:tc>
          <w:tcPr>
            <w:tcW w:type="dxa" w:w="16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Correlations Finance</w:t>
            </w:r>
          </w:p>
        </w:tc>
        <w:tc>
          <w:tcPr>
            <w:tcW w:type="dxa" w:w="25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Matrice Pearson 11x11 agrege pays</w:t>
            </w:r>
          </w:p>
        </w:tc>
        <w:tc>
          <w:tcPr>
            <w:tcW w:type="dxa" w:w="7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Variable</w:t>
            </w:r>
          </w:p>
        </w:tc>
        <w:tc>
          <w:tcPr>
            <w:tcW w:type="dxa" w:w="9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11x11</w:t>
            </w:r>
          </w:p>
        </w:tc>
        <w:tc>
          <w:tcPr>
            <w:tcW w:type="dxa" w:w="14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Pays agrege</w:t>
            </w:r>
          </w:p>
        </w:tc>
        <w:tc>
          <w:tcPr>
            <w:tcW w:type="dxa" w:w="22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Dependances bivariees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Classements &amp; Rankings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Top 15 bancarisation, MM, FDI, attractivite</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Variable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8</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Pays</w:t>
            </w:r>
          </w:p>
        </w:tc>
        <w:tc>
          <w:tcPr>
            <w:tcW w:type="dxa" w:w="2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Benchmarking, reporting</w:t>
            </w:r>
          </w:p>
        </w:tc>
      </w:tr>
      <w:tr>
        <w:tc>
          <w:tcPr>
            <w:tcW w:type="dxa" w:w="16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Crises &amp; Chocs</w:t>
            </w:r>
          </w:p>
        </w:tc>
        <w:tc>
          <w:tcPr>
            <w:tcW w:type="dxa" w:w="25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Type crise, severite, impact PIB, NPL, duree</w:t>
            </w:r>
          </w:p>
        </w:tc>
        <w:tc>
          <w:tcPr>
            <w:tcW w:type="dxa" w:w="7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174</w:t>
            </w:r>
          </w:p>
        </w:tc>
        <w:tc>
          <w:tcPr>
            <w:tcW w:type="dxa" w:w="9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14</w:t>
            </w:r>
          </w:p>
        </w:tc>
        <w:tc>
          <w:tcPr>
            <w:tcW w:type="dxa" w:w="14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Pays x Crise</w:t>
            </w:r>
          </w:p>
        </w:tc>
        <w:tc>
          <w:tcPr>
            <w:tcW w:type="dxa" w:w="22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Analyse de resilience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Metadonnees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28 variables documentees, unites, sources</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28</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5</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Variable</w:t>
            </w:r>
          </w:p>
        </w:tc>
        <w:tc>
          <w:tcPr>
            <w:tcW w:type="dxa" w:w="2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Reference methodologique</w:t>
            </w:r>
          </w:p>
        </w:tc>
      </w:tr>
    </w:tbl>
    <w:p>
      <w:pPr>
        <w:spacing w:after="120" w:before="80" w:line="276"/>
        <w:jc w:val="center"/>
      </w:pPr>
      <w:r>
        <w:rPr>
          <w:rFonts w:ascii="Arial" w:cs="Arial" w:eastAsia="Arial" w:hAnsi="Arial"/>
          <w:b w:val="false"/>
          <w:bCs w:val="false"/>
          <w:i/>
          <w:iCs/>
          <w:color w:val="444444"/>
          <w:sz w:val="17"/>
          <w:szCs w:val="17"/>
        </w:rPr>
        <w:t xml:space="preserve">Tableau 1 — Architecture de la base de donnees Africa Finance Database 2000-2024</w:t>
      </w:r>
    </w:p>
    <w:p>
      <w:pPr>
        <w:spacing w:after="80" w:before="0"/>
      </w:pPr>
      <w:r>
        <w:rPr>
          <w:rFonts w:ascii="Arial" w:cs="Arial" w:eastAsia="Arial" w:hAnsi="Arial"/>
          <w:b w:val="false"/>
          <w:bCs w:val="false"/>
          <w:i w:val="false"/>
          <w:iCs w:val="false"/>
          <w:color w:val="000000"/>
          <w:sz w:val="20"/>
          <w:szCs w:val="20"/>
        </w:rPr>
        <w:t xml:space="preserve"/>
      </w:r>
    </w:p>
    <w:p>
      <w:pPr>
        <w:pStyle w:val="Heading2"/>
        <w:spacing w:after="140" w:before="280"/>
      </w:pPr>
      <w:r>
        <w:rPr>
          <w:rFonts w:ascii="Arial" w:cs="Arial" w:eastAsia="Arial" w:hAnsi="Arial"/>
          <w:b/>
          <w:bCs/>
          <w:color w:val="1A3A5C"/>
          <w:sz w:val="28"/>
          <w:szCs w:val="28"/>
        </w:rPr>
        <w:t xml:space="preserve">2.2 Pipeline de collecte et calibration des donnees</w:t>
      </w:r>
    </w:p>
    <w:p>
      <w:pPr>
        <w:spacing w:after="160" w:before="0" w:line="316"/>
        <w:jc w:val="left"/>
      </w:pPr>
      <w:r>
        <w:rPr>
          <w:rFonts w:ascii="Arial" w:cs="Arial" w:eastAsia="Arial" w:hAnsi="Arial"/>
          <w:b w:val="false"/>
          <w:bCs w:val="false"/>
          <w:i w:val="false"/>
          <w:iCs w:val="false"/>
          <w:color w:val="444444"/>
          <w:sz w:val="20"/>
          <w:szCs w:val="20"/>
        </w:rPr>
        <w:t xml:space="preserve">Le pipeline de construction de la base de donnees suit quatre etapes methodologiques sequentielles :</w:t>
      </w:r>
    </w:p>
    <w:p>
      <w:pPr>
        <w:pStyle w:val="ListParagraph"/>
        <w:numPr>
          <w:ilvl w:val="0"/>
          <w:numId w:val="3"/>
        </w:numPr>
        <w:spacing w:after="60" w:before="40" w:line="276"/>
      </w:pPr>
      <w:r>
        <w:rPr>
          <w:rFonts w:ascii="Arial" w:cs="Arial" w:eastAsia="Arial" w:hAnsi="Arial"/>
          <w:b w:val="false"/>
          <w:bCs w:val="false"/>
          <w:i w:val="false"/>
          <w:iCs w:val="false"/>
          <w:color w:val="444444"/>
          <w:sz w:val="19"/>
          <w:szCs w:val="19"/>
        </w:rPr>
        <w:t xml:space="preserve">COLLECTE PRIMAIRE : Extraction automatisee des series FMI (WEO April 2024, FSI Q4 2024), Banque Mondiale WDI (version janvier 2025), GSMA Intelligence Q4 2024, BIS Banking Statistics. Format : JSON/CSV via APIs officielles ou telecharement direct.</w:t>
      </w:r>
    </w:p>
    <w:p>
      <w:pPr>
        <w:pStyle w:val="ListParagraph"/>
        <w:numPr>
          <w:ilvl w:val="0"/>
          <w:numId w:val="3"/>
        </w:numPr>
        <w:spacing w:after="60" w:before="40" w:line="276"/>
      </w:pPr>
      <w:r>
        <w:rPr>
          <w:rFonts w:ascii="Arial" w:cs="Arial" w:eastAsia="Arial" w:hAnsi="Arial"/>
          <w:b w:val="false"/>
          <w:bCs w:val="false"/>
          <w:i w:val="false"/>
          <w:iCs w:val="false"/>
          <w:color w:val="444444"/>
          <w:sz w:val="19"/>
          <w:szCs w:val="19"/>
        </w:rPr>
        <w:t xml:space="preserve">NETTOYAGE &amp; STANDARDISATION : Detection et traitement des valeurs aberrantes (Z-score &gt; 3 sigma, methode IQR), standardisation des unites (USD courants pour les agregats monetaires, % pour les ratios), harmonisation des nomenclatures pays (ISO 3166-1 alpha-3).</w:t>
      </w:r>
    </w:p>
    <w:p>
      <w:pPr>
        <w:pStyle w:val="ListParagraph"/>
        <w:numPr>
          <w:ilvl w:val="0"/>
          <w:numId w:val="3"/>
        </w:numPr>
        <w:spacing w:after="60" w:before="40" w:line="276"/>
      </w:pPr>
      <w:r>
        <w:rPr>
          <w:rFonts w:ascii="Arial" w:cs="Arial" w:eastAsia="Arial" w:hAnsi="Arial"/>
          <w:b w:val="false"/>
          <w:bCs w:val="false"/>
          <w:i w:val="false"/>
          <w:iCs w:val="false"/>
          <w:color w:val="444444"/>
          <w:sz w:val="19"/>
          <w:szCs w:val="19"/>
        </w:rPr>
        <w:t xml:space="preserve">IMPUTATION DES LACUNES : Pour les 21 pays du Cluster C/D (surveillance insuffisante), imputation par : (i) interpolation lineaire pour les series courtes, (ii) regression sur variables proxy (IDH, PIB/hab, densite bancaire regionale) pour les lacunes structurelles, (iii) moyenne regionale ponderee pour les cas extremes.</w:t>
      </w:r>
    </w:p>
    <w:p>
      <w:pPr>
        <w:pStyle w:val="ListParagraph"/>
        <w:numPr>
          <w:ilvl w:val="0"/>
          <w:numId w:val="3"/>
        </w:numPr>
        <w:spacing w:after="60" w:before="40" w:line="276"/>
      </w:pPr>
      <w:r>
        <w:rPr>
          <w:rFonts w:ascii="Arial" w:cs="Arial" w:eastAsia="Arial" w:hAnsi="Arial"/>
          <w:b w:val="false"/>
          <w:bCs w:val="false"/>
          <w:i w:val="false"/>
          <w:iCs w:val="false"/>
          <w:color w:val="444444"/>
          <w:sz w:val="19"/>
          <w:szCs w:val="19"/>
        </w:rPr>
        <w:t xml:space="preserve">CALIBRATION &amp; VALIDATION : Verification de coherence croisee entre onglets (ex : bancarisation onglet Bancaire vs onglet Fintech), comparaison avec publications BAfD African Economic Outlook, validation par echantillon sur 15 pays pour lesquels des donnees granulaires sont disponibles.</w:t>
      </w:r>
    </w:p>
    <w:p>
      <w:pPr>
        <w:spacing w:after="80" w:before="0"/>
      </w:pPr>
      <w:r>
        <w:rPr>
          <w:rFonts w:ascii="Arial" w:cs="Arial" w:eastAsia="Arial" w:hAnsi="Arial"/>
          <w:b w:val="false"/>
          <w:bCs w:val="false"/>
          <w:i w:val="false"/>
          <w:iCs w:val="false"/>
          <w:color w:val="000000"/>
          <w:sz w:val="20"/>
          <w:szCs w:val="20"/>
        </w:rPr>
        <w:t xml:space="preserve"/>
      </w:r>
    </w:p>
    <w:p>
      <w:pPr>
        <w:pStyle w:val="Heading2"/>
        <w:spacing w:after="140" w:before="280"/>
      </w:pPr>
      <w:r>
        <w:rPr>
          <w:rFonts w:ascii="Arial" w:cs="Arial" w:eastAsia="Arial" w:hAnsi="Arial"/>
          <w:b/>
          <w:bCs/>
          <w:color w:val="1A3A5C"/>
          <w:sz w:val="28"/>
          <w:szCs w:val="28"/>
        </w:rPr>
        <w:t xml:space="preserve">2.3 Variables cles par dimension analytique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100"/>
        <w:gridCol w:w="3660"/>
        <w:gridCol w:w="1600"/>
      </w:tblGrid>
      <w:tr>
        <w:trPr>
          <w:tblHeader/>
        </w:trPr>
        <w:tc>
          <w:tcPr>
            <w:tcW w:type="dxa" w:w="1800"/>
            <w:tcBorders>
              <w:top w:val="single" w:color="888888" w:sz="4"/>
              <w:left w:val="single" w:color="888888" w:sz="4"/>
              <w:bottom w:val="single" w:color="888888" w:sz="4"/>
              <w:right w:val="single" w:color="888888" w:sz="4"/>
            </w:tcBorders>
            <w:shd w:fill="2E6DA4"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Variable</w:t>
            </w:r>
          </w:p>
        </w:tc>
        <w:tc>
          <w:tcPr>
            <w:tcW w:type="dxa" w:w="1200"/>
            <w:tcBorders>
              <w:top w:val="single" w:color="888888" w:sz="4"/>
              <w:left w:val="single" w:color="888888" w:sz="4"/>
              <w:bottom w:val="single" w:color="888888" w:sz="4"/>
              <w:right w:val="single" w:color="888888" w:sz="4"/>
            </w:tcBorders>
            <w:shd w:fill="2E6DA4"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Unite</w:t>
            </w:r>
          </w:p>
        </w:tc>
        <w:tc>
          <w:tcPr>
            <w:tcW w:type="dxa" w:w="1100"/>
            <w:tcBorders>
              <w:top w:val="single" w:color="888888" w:sz="4"/>
              <w:left w:val="single" w:color="888888" w:sz="4"/>
              <w:bottom w:val="single" w:color="888888" w:sz="4"/>
              <w:right w:val="single" w:color="888888" w:sz="4"/>
            </w:tcBorders>
            <w:shd w:fill="2E6DA4"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Dimension</w:t>
            </w:r>
          </w:p>
        </w:tc>
        <w:tc>
          <w:tcPr>
            <w:tcW w:type="dxa" w:w="3660"/>
            <w:tcBorders>
              <w:top w:val="single" w:color="888888" w:sz="4"/>
              <w:left w:val="single" w:color="888888" w:sz="4"/>
              <w:bottom w:val="single" w:color="888888" w:sz="4"/>
              <w:right w:val="single" w:color="888888" w:sz="4"/>
            </w:tcBorders>
            <w:shd w:fill="2E6DA4"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Definition condensee</w:t>
            </w:r>
          </w:p>
        </w:tc>
        <w:tc>
          <w:tcPr>
            <w:tcW w:type="dxa" w:w="1600"/>
            <w:tcBorders>
              <w:top w:val="single" w:color="888888" w:sz="4"/>
              <w:left w:val="single" w:color="888888" w:sz="4"/>
              <w:bottom w:val="single" w:color="888888" w:sz="4"/>
              <w:right w:val="single" w:color="888888" w:sz="4"/>
            </w:tcBorders>
            <w:shd w:fill="2E6DA4"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Source OMS</w:t>
            </w:r>
          </w:p>
        </w:tc>
      </w:tr>
      <w:tr>
        <w:tc>
          <w:tcPr>
            <w:tcW w:type="dxa" w:w="18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PIB ($Mrd)</w:t>
            </w:r>
          </w:p>
        </w:tc>
        <w:tc>
          <w:tcPr>
            <w:tcW w:type="dxa" w:w="12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Mrd USD</w:t>
            </w:r>
          </w:p>
        </w:tc>
        <w:tc>
          <w:tcPr>
            <w:tcW w:type="dxa" w:w="11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Macro</w:t>
            </w:r>
          </w:p>
        </w:tc>
        <w:tc>
          <w:tcPr>
            <w:tcW w:type="dxa" w:w="36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PIB nominal dollars courants</w:t>
            </w:r>
          </w:p>
        </w:tc>
        <w:tc>
          <w:tcPr>
            <w:tcW w:type="dxa" w:w="16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FMI WEO / BM WDI</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Croissance PIB (%)</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 reel</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Macro</w:t>
            </w:r>
          </w:p>
        </w:tc>
        <w:tc>
          <w:tcPr>
            <w:tcW w:type="dxa" w:w="3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Variation annuelle volume PIB</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FMI WEO</w:t>
            </w:r>
          </w:p>
        </w:tc>
      </w:tr>
      <w:tr>
        <w:tc>
          <w:tcPr>
            <w:tcW w:type="dxa" w:w="18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Taux directeur (%)</w:t>
            </w:r>
          </w:p>
        </w:tc>
        <w:tc>
          <w:tcPr>
            <w:tcW w:type="dxa" w:w="12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 annuel</w:t>
            </w:r>
          </w:p>
        </w:tc>
        <w:tc>
          <w:tcPr>
            <w:tcW w:type="dxa" w:w="11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Monetaire</w:t>
            </w:r>
          </w:p>
        </w:tc>
        <w:tc>
          <w:tcPr>
            <w:tcW w:type="dxa" w:w="36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Taux politique banque centrale</w:t>
            </w:r>
          </w:p>
        </w:tc>
        <w:tc>
          <w:tcPr>
            <w:tcW w:type="dxa" w:w="16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BIS / Banques centrales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NPL ratio (%)</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 credits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Banque</w:t>
            </w:r>
          </w:p>
        </w:tc>
        <w:tc>
          <w:tcPr>
            <w:tcW w:type="dxa" w:w="3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Creances douteuses / credits totaux</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FMI FSI / Superviseurs</w:t>
            </w:r>
          </w:p>
        </w:tc>
      </w:tr>
      <w:tr>
        <w:tc>
          <w:tcPr>
            <w:tcW w:type="dxa" w:w="18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CAR (%)</w:t>
            </w:r>
          </w:p>
        </w:tc>
        <w:tc>
          <w:tcPr>
            <w:tcW w:type="dxa" w:w="12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 (Bale III)</w:t>
            </w:r>
          </w:p>
        </w:tc>
        <w:tc>
          <w:tcPr>
            <w:tcW w:type="dxa" w:w="11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Banque</w:t>
            </w:r>
          </w:p>
        </w:tc>
        <w:tc>
          <w:tcPr>
            <w:tcW w:type="dxa" w:w="36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Fonds propres / actifs ponderes risque</w:t>
            </w:r>
          </w:p>
        </w:tc>
        <w:tc>
          <w:tcPr>
            <w:tcW w:type="dxa" w:w="16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BIS / COBAC / BCEAO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NIM (%)</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 actifs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Banque</w:t>
            </w:r>
          </w:p>
        </w:tc>
        <w:tc>
          <w:tcPr>
            <w:tcW w:type="dxa" w:w="3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Marge nette d'interet / actifs productifs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FMI FSI</w:t>
            </w:r>
          </w:p>
        </w:tc>
      </w:tr>
      <w:tr>
        <w:tc>
          <w:tcPr>
            <w:tcW w:type="dxa" w:w="18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Comptes M-Money (M)</w:t>
            </w:r>
          </w:p>
        </w:tc>
        <w:tc>
          <w:tcPr>
            <w:tcW w:type="dxa" w:w="12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Millions</w:t>
            </w:r>
          </w:p>
        </w:tc>
        <w:tc>
          <w:tcPr>
            <w:tcW w:type="dxa" w:w="11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Fintech</w:t>
            </w:r>
          </w:p>
        </w:tc>
        <w:tc>
          <w:tcPr>
            <w:tcW w:type="dxa" w:w="36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Comptes mobile money actifs (90j)</w:t>
            </w:r>
          </w:p>
        </w:tc>
        <w:tc>
          <w:tcPr>
            <w:tcW w:type="dxa" w:w="16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GSMA Mobile Money</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PAR30 (%)</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Microfinance</w:t>
            </w:r>
          </w:p>
        </w:tc>
        <w:tc>
          <w:tcPr>
            <w:tcW w:type="dxa" w:w="3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Portefeuille a risque &gt; 30 jours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MIX Market / ADA</w:t>
            </w:r>
          </w:p>
        </w:tc>
      </w:tr>
      <w:tr>
        <w:tc>
          <w:tcPr>
            <w:tcW w:type="dxa" w:w="18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Spread souverain (pb)</w:t>
            </w:r>
          </w:p>
        </w:tc>
        <w:tc>
          <w:tcPr>
            <w:tcW w:type="dxa" w:w="12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Points base</w:t>
            </w:r>
          </w:p>
        </w:tc>
        <w:tc>
          <w:tcPr>
            <w:tcW w:type="dxa" w:w="11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Marches</w:t>
            </w:r>
          </w:p>
        </w:tc>
        <w:tc>
          <w:tcPr>
            <w:tcW w:type="dxa" w:w="36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Ecart vs Bons Tresor US 10 ans</w:t>
            </w:r>
          </w:p>
        </w:tc>
        <w:tc>
          <w:tcPr>
            <w:tcW w:type="dxa" w:w="16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Bloomberg / EMBI</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FDI entrants ($Mrd)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Mrd USD</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Macro</w:t>
            </w:r>
          </w:p>
        </w:tc>
        <w:tc>
          <w:tcPr>
            <w:tcW w:type="dxa" w:w="3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Investissements directs etrangers nets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CNUCED / FMI BOP</w:t>
            </w:r>
          </w:p>
        </w:tc>
      </w:tr>
      <w:tr>
        <w:tc>
          <w:tcPr>
            <w:tcW w:type="dxa" w:w="18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Envois fonds ($Mrd)</w:t>
            </w:r>
          </w:p>
        </w:tc>
        <w:tc>
          <w:tcPr>
            <w:tcW w:type="dxa" w:w="12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Mrd USD</w:t>
            </w:r>
          </w:p>
        </w:tc>
        <w:tc>
          <w:tcPr>
            <w:tcW w:type="dxa" w:w="11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Macro</w:t>
            </w:r>
          </w:p>
        </w:tc>
        <w:tc>
          <w:tcPr>
            <w:tcW w:type="dxa" w:w="36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Transferts diasporas vers pays d'origine</w:t>
            </w:r>
          </w:p>
        </w:tc>
        <w:tc>
          <w:tcPr>
            <w:tcW w:type="dxa" w:w="16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BM KNOMAD</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Score stabilite fin.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0-10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Composite</w:t>
            </w:r>
          </w:p>
        </w:tc>
        <w:tc>
          <w:tcPr>
            <w:tcW w:type="dxa" w:w="3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CAR + NPL + ROE + NIM + liquidite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Calcul auteur / FSI</w:t>
            </w:r>
          </w:p>
        </w:tc>
      </w:tr>
    </w:tbl>
    <w:p>
      <w:pPr>
        <w:spacing w:after="120" w:before="80" w:line="276"/>
        <w:jc w:val="center"/>
      </w:pPr>
      <w:r>
        <w:rPr>
          <w:rFonts w:ascii="Arial" w:cs="Arial" w:eastAsia="Arial" w:hAnsi="Arial"/>
          <w:b w:val="false"/>
          <w:bCs w:val="false"/>
          <w:i/>
          <w:iCs/>
          <w:color w:val="444444"/>
          <w:sz w:val="17"/>
          <w:szCs w:val="17"/>
        </w:rPr>
        <w:t xml:space="preserve">Tableau 2 — Variables cles et sources de la base Africa Finance Database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8"/>
              <w:right w:val="single" w:color="C0392B" w:sz="8"/>
            </w:tcBorders>
            <w:shd w:fill="C0392B" w:val="clear"/>
            <w:tcMar>
              <w:top w:type="dxa" w:w="160"/>
              <w:left w:type="dxa" w:w="240"/>
              <w:bottom w:type="dxa" w:w="160"/>
              <w:right w:type="dxa" w:w="240"/>
            </w:tcMar>
          </w:tcPr>
          <w:p>
            <w:pPr>
              <w:spacing w:after="0" w:before="0"/>
              <w:jc w:val="left"/>
            </w:pPr>
            <w:r>
              <w:rPr>
                <w:rFonts w:ascii="Arial" w:cs="Arial" w:eastAsia="Arial" w:hAnsi="Arial"/>
                <w:b/>
                <w:bCs/>
                <w:i w:val="false"/>
                <w:iCs w:val="false"/>
                <w:color w:val="FFFFFF"/>
                <w:sz w:val="30"/>
                <w:szCs w:val="30"/>
              </w:rPr>
              <w:t xml:space="preserve">III  III. ANALYSE MACROECONOMIQUE (2000-2024)</w:t>
            </w:r>
          </w:p>
        </w:tc>
      </w:tr>
    </w:tbl>
    <w:p>
      <w:pPr>
        <w:spacing w:after="120" w:before="0"/>
      </w:pPr>
      <w:r>
        <w:rPr>
          <w:rFonts w:ascii="Arial" w:cs="Arial" w:eastAsia="Arial" w:hAnsi="Arial"/>
          <w:b w:val="false"/>
          <w:bCs w:val="false"/>
          <w:i w:val="false"/>
          <w:iCs w:val="false"/>
          <w:color w:val="000000"/>
          <w:sz w:val="20"/>
          <w:szCs w:val="20"/>
        </w:rPr>
        <w:t xml:space="preserve"/>
      </w:r>
    </w:p>
    <w:p>
      <w:pPr>
        <w:pStyle w:val="Heading2"/>
        <w:spacing w:after="140" w:before="280"/>
      </w:pPr>
      <w:r>
        <w:rPr>
          <w:rFonts w:ascii="Arial" w:cs="Arial" w:eastAsia="Arial" w:hAnsi="Arial"/>
          <w:b/>
          <w:bCs/>
          <w:color w:val="1A3A5C"/>
          <w:sz w:val="28"/>
          <w:szCs w:val="28"/>
        </w:rPr>
        <w:t xml:space="preserve">3.1 Croissance du PIB africain : 25 ans de tendances</w:t>
      </w:r>
    </w:p>
    <w:p>
      <w:pPr>
        <w:spacing w:after="160" w:before="0" w:line="316"/>
        <w:jc w:val="left"/>
      </w:pPr>
      <w:r>
        <w:rPr>
          <w:rFonts w:ascii="Arial" w:cs="Arial" w:eastAsia="Arial" w:hAnsi="Arial"/>
          <w:b w:val="false"/>
          <w:bCs w:val="false"/>
          <w:i w:val="false"/>
          <w:iCs w:val="false"/>
          <w:color w:val="444444"/>
          <w:sz w:val="20"/>
          <w:szCs w:val="20"/>
        </w:rPr>
        <w:t xml:space="preserve">La periode 2000-2024 constitue l'une des plus riches de l'histoire economique africaine, marquee par trois cycles distincts : une phase d'expansion forte (2000-2014), une periode d'ajustement (2015-2019) et une phase de turbulences et de resilience (2020-2024).</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E8449" w:sz="6"/>
              <w:left w:val="single" w:color="1E8449" w:sz="6"/>
              <w:bottom w:val="single" w:color="1E8449" w:sz="6"/>
              <w:right w:val="single" w:color="1E8449" w:sz="6"/>
            </w:tcBorders>
            <w:shd w:fill="D5F5E3" w:val="clear"/>
            <w:tcMar>
              <w:top w:type="dxa" w:w="100"/>
              <w:left w:type="dxa" w:w="80"/>
              <w:bottom w:type="dxa" w:w="60"/>
              <w:right w:type="dxa" w:w="80"/>
            </w:tcMar>
            <w:vAlign w:val="center"/>
          </w:tcPr>
          <w:p>
            <w:pPr>
              <w:spacing w:after="20" w:before="0"/>
              <w:jc w:val="center"/>
            </w:pPr>
            <w:r>
              <w:rPr>
                <w:rFonts w:ascii="Arial" w:cs="Arial" w:eastAsia="Arial" w:hAnsi="Arial"/>
                <w:b/>
                <w:bCs/>
                <w:i w:val="false"/>
                <w:iCs w:val="false"/>
                <w:color w:val="1A5632"/>
                <w:sz w:val="32"/>
                <w:szCs w:val="32"/>
              </w:rPr>
              <w:t xml:space="preserve">+4,8%</w:t>
            </w:r>
          </w:p>
          <w:p>
            <w:pPr>
              <w:spacing w:after="0" w:before="0"/>
              <w:jc w:val="center"/>
            </w:pPr>
            <w:r>
              <w:rPr>
                <w:rFonts w:ascii="Arial" w:cs="Arial" w:eastAsia="Arial" w:hAnsi="Arial"/>
                <w:b w:val="false"/>
                <w:bCs w:val="false"/>
                <w:i w:val="false"/>
                <w:iCs w:val="false"/>
                <w:color w:val="444444"/>
                <w:sz w:val="16"/>
                <w:szCs w:val="16"/>
              </w:rPr>
              <w:t xml:space="preserve">Croissance moy. 2000-2019</w:t>
            </w:r>
          </w:p>
        </w:tc>
        <w:tc>
          <w:tcPr>
            <w:tcW w:type="dxa" w:w="1872"/>
            <w:tcBorders>
              <w:top w:val="single" w:color="1E8449" w:sz="6"/>
              <w:left w:val="single" w:color="1E8449" w:sz="6"/>
              <w:bottom w:val="single" w:color="1E8449" w:sz="6"/>
              <w:right w:val="single" w:color="1E8449" w:sz="6"/>
            </w:tcBorders>
            <w:shd w:fill="FADBD8" w:val="clear"/>
            <w:tcMar>
              <w:top w:type="dxa" w:w="100"/>
              <w:left w:type="dxa" w:w="80"/>
              <w:bottom w:type="dxa" w:w="60"/>
              <w:right w:type="dxa" w:w="80"/>
            </w:tcMar>
            <w:vAlign w:val="center"/>
          </w:tcPr>
          <w:p>
            <w:pPr>
              <w:spacing w:after="20" w:before="0"/>
              <w:jc w:val="center"/>
            </w:pPr>
            <w:r>
              <w:rPr>
                <w:rFonts w:ascii="Arial" w:cs="Arial" w:eastAsia="Arial" w:hAnsi="Arial"/>
                <w:b/>
                <w:bCs/>
                <w:i w:val="false"/>
                <w:iCs w:val="false"/>
                <w:color w:val="7B241C"/>
                <w:sz w:val="32"/>
                <w:szCs w:val="32"/>
              </w:rPr>
              <w:t xml:space="preserve">-2,1%</w:t>
            </w:r>
          </w:p>
          <w:p>
            <w:pPr>
              <w:spacing w:after="0" w:before="0"/>
              <w:jc w:val="center"/>
            </w:pPr>
            <w:r>
              <w:rPr>
                <w:rFonts w:ascii="Arial" w:cs="Arial" w:eastAsia="Arial" w:hAnsi="Arial"/>
                <w:b w:val="false"/>
                <w:bCs w:val="false"/>
                <w:i w:val="false"/>
                <w:iCs w:val="false"/>
                <w:color w:val="444444"/>
                <w:sz w:val="16"/>
                <w:szCs w:val="16"/>
              </w:rPr>
              <w:t xml:space="preserve">Recession COVID 2020</w:t>
            </w:r>
          </w:p>
        </w:tc>
        <w:tc>
          <w:tcPr>
            <w:tcW w:type="dxa" w:w="1872"/>
            <w:tcBorders>
              <w:top w:val="single" w:color="1E8449" w:sz="6"/>
              <w:left w:val="single" w:color="1E8449" w:sz="6"/>
              <w:bottom w:val="single" w:color="1E8449" w:sz="6"/>
              <w:right w:val="single" w:color="1E8449" w:sz="6"/>
            </w:tcBorders>
            <w:shd w:fill="D6E4F0" w:val="clear"/>
            <w:tcMar>
              <w:top w:type="dxa" w:w="100"/>
              <w:left w:type="dxa" w:w="80"/>
              <w:bottom w:type="dxa" w:w="60"/>
              <w:right w:type="dxa" w:w="80"/>
            </w:tcMar>
            <w:vAlign w:val="center"/>
          </w:tcPr>
          <w:p>
            <w:pPr>
              <w:spacing w:after="20" w:before="0"/>
              <w:jc w:val="center"/>
            </w:pPr>
            <w:r>
              <w:rPr>
                <w:rFonts w:ascii="Arial" w:cs="Arial" w:eastAsia="Arial" w:hAnsi="Arial"/>
                <w:b/>
                <w:bCs/>
                <w:i w:val="false"/>
                <w:iCs w:val="false"/>
                <w:color w:val="2E6DA4"/>
                <w:sz w:val="32"/>
                <w:szCs w:val="32"/>
              </w:rPr>
              <w:t xml:space="preserve">+5,1%</w:t>
            </w:r>
          </w:p>
          <w:p>
            <w:pPr>
              <w:spacing w:after="0" w:before="0"/>
              <w:jc w:val="center"/>
            </w:pPr>
            <w:r>
              <w:rPr>
                <w:rFonts w:ascii="Arial" w:cs="Arial" w:eastAsia="Arial" w:hAnsi="Arial"/>
                <w:b w:val="false"/>
                <w:bCs w:val="false"/>
                <w:i w:val="false"/>
                <w:iCs w:val="false"/>
                <w:color w:val="444444"/>
                <w:sz w:val="16"/>
                <w:szCs w:val="16"/>
              </w:rPr>
              <w:t xml:space="preserve">Rebond 2021</w:t>
            </w:r>
          </w:p>
        </w:tc>
        <w:tc>
          <w:tcPr>
            <w:tcW w:type="dxa" w:w="1872"/>
            <w:tcBorders>
              <w:top w:val="single" w:color="1E8449" w:sz="6"/>
              <w:left w:val="single" w:color="1E8449" w:sz="6"/>
              <w:bottom w:val="single" w:color="1E8449" w:sz="6"/>
              <w:right w:val="single" w:color="1E8449" w:sz="6"/>
            </w:tcBorders>
            <w:shd w:fill="FEF9E7" w:val="clear"/>
            <w:tcMar>
              <w:top w:type="dxa" w:w="100"/>
              <w:left w:type="dxa" w:w="80"/>
              <w:bottom w:type="dxa" w:w="60"/>
              <w:right w:type="dxa" w:w="80"/>
            </w:tcMar>
            <w:vAlign w:val="center"/>
          </w:tcPr>
          <w:p>
            <w:pPr>
              <w:spacing w:after="20" w:before="0"/>
              <w:jc w:val="center"/>
            </w:pPr>
            <w:r>
              <w:rPr>
                <w:rFonts w:ascii="Arial" w:cs="Arial" w:eastAsia="Arial" w:hAnsi="Arial"/>
                <w:b/>
                <w:bCs/>
                <w:i w:val="false"/>
                <w:iCs w:val="false"/>
                <w:color w:val="D4AC0D"/>
                <w:sz w:val="32"/>
                <w:szCs w:val="32"/>
              </w:rPr>
              <w:t xml:space="preserve">$2,7T</w:t>
            </w:r>
          </w:p>
          <w:p>
            <w:pPr>
              <w:spacing w:after="0" w:before="0"/>
              <w:jc w:val="center"/>
            </w:pPr>
            <w:r>
              <w:rPr>
                <w:rFonts w:ascii="Arial" w:cs="Arial" w:eastAsia="Arial" w:hAnsi="Arial"/>
                <w:b w:val="false"/>
                <w:bCs w:val="false"/>
                <w:i w:val="false"/>
                <w:iCs w:val="false"/>
                <w:color w:val="444444"/>
                <w:sz w:val="16"/>
                <w:szCs w:val="16"/>
              </w:rPr>
              <w:t xml:space="preserve">PIB africain 2024</w:t>
            </w:r>
          </w:p>
        </w:tc>
        <w:tc>
          <w:tcPr>
            <w:tcW w:type="dxa" w:w="1872"/>
            <w:tcBorders>
              <w:top w:val="single" w:color="1E8449" w:sz="6"/>
              <w:left w:val="single" w:color="1E8449" w:sz="6"/>
              <w:bottom w:val="single" w:color="1E8449" w:sz="6"/>
              <w:right w:val="single" w:color="1E8449" w:sz="6"/>
            </w:tcBorders>
            <w:shd w:fill="D0ECE7" w:val="clear"/>
            <w:tcMar>
              <w:top w:type="dxa" w:w="100"/>
              <w:left w:type="dxa" w:w="80"/>
              <w:bottom w:type="dxa" w:w="60"/>
              <w:right w:type="dxa" w:w="80"/>
            </w:tcMar>
            <w:vAlign w:val="center"/>
          </w:tcPr>
          <w:p>
            <w:pPr>
              <w:spacing w:after="20" w:before="0"/>
              <w:jc w:val="center"/>
            </w:pPr>
            <w:r>
              <w:rPr>
                <w:rFonts w:ascii="Arial" w:cs="Arial" w:eastAsia="Arial" w:hAnsi="Arial"/>
                <w:b/>
                <w:bCs/>
                <w:i w:val="false"/>
                <w:iCs w:val="false"/>
                <w:color w:val="117A65"/>
                <w:sz w:val="32"/>
                <w:szCs w:val="32"/>
              </w:rPr>
              <w:t xml:space="preserve">Ethiopia</w:t>
            </w:r>
          </w:p>
          <w:p>
            <w:pPr>
              <w:spacing w:after="0" w:before="0"/>
              <w:jc w:val="center"/>
            </w:pPr>
            <w:r>
              <w:rPr>
                <w:rFonts w:ascii="Arial" w:cs="Arial" w:eastAsia="Arial" w:hAnsi="Arial"/>
                <w:b w:val="false"/>
                <w:bCs w:val="false"/>
                <w:i w:val="false"/>
                <w:iCs w:val="false"/>
                <w:color w:val="444444"/>
                <w:sz w:val="16"/>
                <w:szCs w:val="16"/>
              </w:rPr>
              <w:t xml:space="preserve">Croissance la + forte 2000-24</w:t>
            </w:r>
          </w:p>
        </w:tc>
      </w:tr>
    </w:tbl>
    <w:p>
      <w:pPr>
        <w:spacing w:after="120" w:before="0"/>
      </w:pPr>
      <w:r>
        <w:rPr>
          <w:rFonts w:ascii="Arial" w:cs="Arial" w:eastAsia="Arial" w:hAnsi="Arial"/>
          <w:b w:val="false"/>
          <w:bCs w:val="false"/>
          <w:i w:val="false"/>
          <w:iCs w:val="false"/>
          <w:color w:val="000000"/>
          <w:sz w:val="20"/>
          <w:szCs w:val="20"/>
        </w:rPr>
        <w:t xml:space="preserve"/>
      </w:r>
    </w:p>
    <w:p>
      <w:pPr>
        <w:pStyle w:val="Heading3"/>
        <w:spacing w:after="100" w:before="200"/>
      </w:pPr>
      <w:r>
        <w:rPr>
          <w:rFonts w:ascii="Arial" w:cs="Arial" w:eastAsia="Arial" w:hAnsi="Arial"/>
          <w:b/>
          <w:bCs/>
          <w:color w:val="1E8449"/>
          <w:sz w:val="24"/>
          <w:szCs w:val="24"/>
        </w:rPr>
        <w:t xml:space="preserve">Phase 1 (2000-2014) : La decennie de croissance africaine</w:t>
      </w:r>
    </w:p>
    <w:p>
      <w:pPr>
        <w:spacing w:after="160" w:before="0" w:line="316"/>
        <w:jc w:val="left"/>
      </w:pPr>
      <w:r>
        <w:rPr>
          <w:rFonts w:ascii="Arial" w:cs="Arial" w:eastAsia="Arial" w:hAnsi="Arial"/>
          <w:b w:val="false"/>
          <w:bCs w:val="false"/>
          <w:i w:val="false"/>
          <w:iCs w:val="false"/>
          <w:color w:val="444444"/>
          <w:sz w:val="20"/>
          <w:szCs w:val="20"/>
        </w:rPr>
        <w:t xml:space="preserve">Cette periode voit le PIB africain cumuler progresser de 240%, porte par quatre moteurs principaux : (i) la hausse des prix des matieres premieres (supercycle des commodites 2003-2014 beneficiant aux exportateurs de petrole et de minerais), (ii) l'amelioration de la gouvernance macro-economique (reduction de l'inflation, consolidation budgetaire), (iii) l'expansion demographique et l'urbanisation acceleree creant une demande domestique croissante, et (iv) l'afflux massif de FDI (+350% entre 2003 et 2012).</w:t>
      </w:r>
    </w:p>
    <w:p>
      <w:pPr>
        <w:spacing w:after="160" w:before="0" w:line="316"/>
        <w:jc w:val="left"/>
      </w:pPr>
      <w:r>
        <w:rPr>
          <w:rFonts w:ascii="Arial" w:cs="Arial" w:eastAsia="Arial" w:hAnsi="Arial"/>
          <w:b w:val="false"/>
          <w:bCs w:val="false"/>
          <w:i w:val="false"/>
          <w:iCs w:val="false"/>
          <w:color w:val="444444"/>
          <w:sz w:val="20"/>
          <w:szCs w:val="20"/>
        </w:rPr>
        <w:t xml:space="preserve">Les economies les plus dynamiques incluent l'Ethiopie (+10,3% par an en moyenne), le Rwanda (+7,8%), la Cote d'Ivoire (+6,5% apres 2011) et le Mozambique (+7,2%). En revanche, les economies d'Afrique centrale fortement dependantes du petrole (Angola, RD Congo, Guinee Equatoriale) montrent une correlation directe avec les cours petroliers, rendant leur croissance volatile et peu inclusive.</w:t>
      </w:r>
    </w:p>
    <w:p>
      <w:pPr>
        <w:spacing w:after="80" w:before="0"/>
      </w:pPr>
      <w:r>
        <w:rPr>
          <w:rFonts w:ascii="Arial" w:cs="Arial" w:eastAsia="Arial" w:hAnsi="Arial"/>
          <w:b w:val="false"/>
          <w:bCs w:val="false"/>
          <w:i w:val="false"/>
          <w:iCs w:val="false"/>
          <w:color w:val="000000"/>
          <w:sz w:val="20"/>
          <w:szCs w:val="20"/>
        </w:rPr>
        <w:t xml:space="preserve"/>
      </w:r>
    </w:p>
    <w:p>
      <w:pPr>
        <w:pStyle w:val="Heading3"/>
        <w:spacing w:after="100" w:before="200"/>
      </w:pPr>
      <w:r>
        <w:rPr>
          <w:rFonts w:ascii="Arial" w:cs="Arial" w:eastAsia="Arial" w:hAnsi="Arial"/>
          <w:b/>
          <w:bCs/>
          <w:color w:val="1E8449"/>
          <w:sz w:val="24"/>
          <w:szCs w:val="24"/>
        </w:rPr>
        <w:t xml:space="preserve">Phase 2 (2015-2019) : Ajustement et divergence</w:t>
      </w:r>
    </w:p>
    <w:p>
      <w:pPr>
        <w:spacing w:after="160" w:before="0" w:line="316"/>
        <w:jc w:val="left"/>
      </w:pPr>
      <w:r>
        <w:rPr>
          <w:rFonts w:ascii="Arial" w:cs="Arial" w:eastAsia="Arial" w:hAnsi="Arial"/>
          <w:b w:val="false"/>
          <w:bCs w:val="false"/>
          <w:i w:val="false"/>
          <w:iCs w:val="false"/>
          <w:color w:val="444444"/>
          <w:sz w:val="20"/>
          <w:szCs w:val="20"/>
        </w:rPr>
        <w:t xml:space="preserve">L'effondrement des prix petroliers en 2014-2016 (Brent de $115 a $28/baril) marque le debut d'une periode d'ajustement douloureux pour les exportateurs. Le Nigeria entre en recession en 2016 (premiere depuis 1991), l'Angola contracte de 0,9% par an sur 2016-2018. Simultanement, les economies non petrolieres diversifiees (Maroc, Kenya, Senegal, Rwanda) maintiennent des taux de croissance superieurs a 5%, revelant la bifurcation croissante entre economies africaines.</w:t>
      </w:r>
    </w:p>
    <w:p>
      <w:pPr>
        <w:spacing w:after="80" w:before="0"/>
      </w:pPr>
      <w:r>
        <w:rPr>
          <w:rFonts w:ascii="Arial" w:cs="Arial" w:eastAsia="Arial" w:hAnsi="Arial"/>
          <w:b w:val="false"/>
          <w:bCs w:val="false"/>
          <w:i w:val="false"/>
          <w:iCs w:val="false"/>
          <w:color w:val="000000"/>
          <w:sz w:val="20"/>
          <w:szCs w:val="20"/>
        </w:rPr>
        <w:t xml:space="preserve"/>
      </w:r>
    </w:p>
    <w:p>
      <w:pPr>
        <w:pStyle w:val="Heading3"/>
        <w:spacing w:after="100" w:before="200"/>
      </w:pPr>
      <w:r>
        <w:rPr>
          <w:rFonts w:ascii="Arial" w:cs="Arial" w:eastAsia="Arial" w:hAnsi="Arial"/>
          <w:b/>
          <w:bCs/>
          <w:color w:val="1E8449"/>
          <w:sz w:val="24"/>
          <w:szCs w:val="24"/>
        </w:rPr>
        <w:t xml:space="preserve">Phase 3 (2020-2024) : Resilience post-COVID et nouveaux defis</w:t>
      </w:r>
    </w:p>
    <w:p>
      <w:pPr>
        <w:spacing w:after="160" w:before="0" w:line="316"/>
        <w:jc w:val="left"/>
      </w:pPr>
      <w:r>
        <w:rPr>
          <w:rFonts w:ascii="Arial" w:cs="Arial" w:eastAsia="Arial" w:hAnsi="Arial"/>
          <w:b w:val="false"/>
          <w:bCs w:val="false"/>
          <w:i w:val="false"/>
          <w:iCs w:val="false"/>
          <w:color w:val="444444"/>
          <w:sz w:val="20"/>
          <w:szCs w:val="20"/>
        </w:rPr>
        <w:t xml:space="preserve">La recession de 2020 (-2,1% pour l'Afrique subsaharienne selon le FMI) a ete moins severe qu'anticipe, notamment grace a la part importante de l'economie informelle (moins sensible aux confinements officiels) et aux transferts de fonds des diasporas maintenus malgre la crise. Le rebond de 2021 (+5,1%) a ete suivi d'une normalisation en 2022-2024 autour de 3,5-4%, contrainte par le resserrement monetaire mondial, la hausse de l'inflation importee et la crise des dettes souveraines (Ghana, Zambie, Ethiopie).</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80"/>
        <w:gridCol w:w="1080"/>
        <w:gridCol w:w="1000"/>
        <w:gridCol w:w="1000"/>
        <w:gridCol w:w="700"/>
        <w:gridCol w:w="700"/>
        <w:gridCol w:w="800"/>
      </w:tblGrid>
      <w:tr>
        <w:trPr>
          <w:tblHeader/>
        </w:trPr>
        <w:tc>
          <w:tcPr>
            <w:tcW w:type="dxa" w:w="2200"/>
            <w:tcBorders>
              <w:top w:val="single" w:color="888888" w:sz="4"/>
              <w:left w:val="single" w:color="888888" w:sz="4"/>
              <w:bottom w:val="single" w:color="888888" w:sz="4"/>
              <w:right w:val="single" w:color="888888" w:sz="4"/>
            </w:tcBorders>
            <w:shd w:fill="C0392B"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Pays / Groupe</w:t>
            </w:r>
          </w:p>
        </w:tc>
        <w:tc>
          <w:tcPr>
            <w:tcW w:type="dxa" w:w="1080"/>
            <w:tcBorders>
              <w:top w:val="single" w:color="888888" w:sz="4"/>
              <w:left w:val="single" w:color="888888" w:sz="4"/>
              <w:bottom w:val="single" w:color="888888" w:sz="4"/>
              <w:right w:val="single" w:color="888888" w:sz="4"/>
            </w:tcBorders>
            <w:shd w:fill="C0392B"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2000-05</w:t>
            </w:r>
          </w:p>
        </w:tc>
        <w:tc>
          <w:tcPr>
            <w:tcW w:type="dxa" w:w="1080"/>
            <w:tcBorders>
              <w:top w:val="single" w:color="888888" w:sz="4"/>
              <w:left w:val="single" w:color="888888" w:sz="4"/>
              <w:bottom w:val="single" w:color="888888" w:sz="4"/>
              <w:right w:val="single" w:color="888888" w:sz="4"/>
            </w:tcBorders>
            <w:shd w:fill="C0392B"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2006-10</w:t>
            </w:r>
          </w:p>
        </w:tc>
        <w:tc>
          <w:tcPr>
            <w:tcW w:type="dxa" w:w="1000"/>
            <w:tcBorders>
              <w:top w:val="single" w:color="888888" w:sz="4"/>
              <w:left w:val="single" w:color="888888" w:sz="4"/>
              <w:bottom w:val="single" w:color="888888" w:sz="4"/>
              <w:right w:val="single" w:color="888888" w:sz="4"/>
            </w:tcBorders>
            <w:shd w:fill="C0392B"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2011-14</w:t>
            </w:r>
          </w:p>
        </w:tc>
        <w:tc>
          <w:tcPr>
            <w:tcW w:type="dxa" w:w="1000"/>
            <w:tcBorders>
              <w:top w:val="single" w:color="888888" w:sz="4"/>
              <w:left w:val="single" w:color="888888" w:sz="4"/>
              <w:bottom w:val="single" w:color="888888" w:sz="4"/>
              <w:right w:val="single" w:color="888888" w:sz="4"/>
            </w:tcBorders>
            <w:shd w:fill="C0392B"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2015-19</w:t>
            </w:r>
          </w:p>
        </w:tc>
        <w:tc>
          <w:tcPr>
            <w:tcW w:type="dxa" w:w="700"/>
            <w:tcBorders>
              <w:top w:val="single" w:color="888888" w:sz="4"/>
              <w:left w:val="single" w:color="888888" w:sz="4"/>
              <w:bottom w:val="single" w:color="888888" w:sz="4"/>
              <w:right w:val="single" w:color="888888" w:sz="4"/>
            </w:tcBorders>
            <w:shd w:fill="C0392B"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2020</w:t>
            </w:r>
          </w:p>
        </w:tc>
        <w:tc>
          <w:tcPr>
            <w:tcW w:type="dxa" w:w="700"/>
            <w:tcBorders>
              <w:top w:val="single" w:color="888888" w:sz="4"/>
              <w:left w:val="single" w:color="888888" w:sz="4"/>
              <w:bottom w:val="single" w:color="888888" w:sz="4"/>
              <w:right w:val="single" w:color="888888" w:sz="4"/>
            </w:tcBorders>
            <w:shd w:fill="C0392B"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2021</w:t>
            </w:r>
          </w:p>
        </w:tc>
        <w:tc>
          <w:tcPr>
            <w:tcW w:type="dxa" w:w="800"/>
            <w:tcBorders>
              <w:top w:val="single" w:color="888888" w:sz="4"/>
              <w:left w:val="single" w:color="888888" w:sz="4"/>
              <w:bottom w:val="single" w:color="888888" w:sz="4"/>
              <w:right w:val="single" w:color="888888" w:sz="4"/>
            </w:tcBorders>
            <w:shd w:fill="C0392B"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2022-24</w:t>
            </w:r>
          </w:p>
        </w:tc>
      </w:tr>
      <w:tr>
        <w:tc>
          <w:tcPr>
            <w:tcW w:type="dxa" w:w="22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Afrique subsaharienne (moy.)</w:t>
            </w:r>
          </w:p>
        </w:tc>
        <w:tc>
          <w:tcPr>
            <w:tcW w:type="dxa" w:w="108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+5.2%</w:t>
            </w:r>
          </w:p>
        </w:tc>
        <w:tc>
          <w:tcPr>
            <w:tcW w:type="dxa" w:w="108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+5.7%</w:t>
            </w:r>
          </w:p>
        </w:tc>
        <w:tc>
          <w:tcPr>
            <w:tcW w:type="dxa" w:w="10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+4.8%</w:t>
            </w:r>
          </w:p>
        </w:tc>
        <w:tc>
          <w:tcPr>
            <w:tcW w:type="dxa" w:w="10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+3.3%</w:t>
            </w:r>
          </w:p>
        </w:tc>
        <w:tc>
          <w:tcPr>
            <w:tcW w:type="dxa" w:w="7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-1.8%</w:t>
            </w:r>
          </w:p>
        </w:tc>
        <w:tc>
          <w:tcPr>
            <w:tcW w:type="dxa" w:w="7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+4.5%</w:t>
            </w:r>
          </w:p>
        </w:tc>
        <w:tc>
          <w:tcPr>
            <w:tcW w:type="dxa" w:w="8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+3.7%</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Afrique du Nord (moy.)</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+5.0%</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+4.2%</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+2.1%</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+3.8%</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-3.5%</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+5.5%</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+4.2%</w:t>
            </w:r>
          </w:p>
        </w:tc>
      </w:tr>
      <w:tr>
        <w:tc>
          <w:tcPr>
            <w:tcW w:type="dxa" w:w="22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Nigeria</w:t>
            </w:r>
          </w:p>
        </w:tc>
        <w:tc>
          <w:tcPr>
            <w:tcW w:type="dxa" w:w="108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+7.5%</w:t>
            </w:r>
          </w:p>
        </w:tc>
        <w:tc>
          <w:tcPr>
            <w:tcW w:type="dxa" w:w="108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+8.2%</w:t>
            </w:r>
          </w:p>
        </w:tc>
        <w:tc>
          <w:tcPr>
            <w:tcW w:type="dxa" w:w="10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+5.4%</w:t>
            </w:r>
          </w:p>
        </w:tc>
        <w:tc>
          <w:tcPr>
            <w:tcW w:type="dxa" w:w="10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-0.5%</w:t>
            </w:r>
          </w:p>
        </w:tc>
        <w:tc>
          <w:tcPr>
            <w:tcW w:type="dxa" w:w="7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-1.9%</w:t>
            </w:r>
          </w:p>
        </w:tc>
        <w:tc>
          <w:tcPr>
            <w:tcW w:type="dxa" w:w="7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+3.6%</w:t>
            </w:r>
          </w:p>
        </w:tc>
        <w:tc>
          <w:tcPr>
            <w:tcW w:type="dxa" w:w="8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+2.9%</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Afrique du Sud</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+4.0%</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+3.8%</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+2.1%</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+0.8%</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-6.3%</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+4.9%</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+1.7%</w:t>
            </w:r>
          </w:p>
        </w:tc>
      </w:tr>
      <w:tr>
        <w:tc>
          <w:tcPr>
            <w:tcW w:type="dxa" w:w="22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Ethiopie</w:t>
            </w:r>
          </w:p>
        </w:tc>
        <w:tc>
          <w:tcPr>
            <w:tcW w:type="dxa" w:w="108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+8.4%</w:t>
            </w:r>
          </w:p>
        </w:tc>
        <w:tc>
          <w:tcPr>
            <w:tcW w:type="dxa" w:w="108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+10.2%</w:t>
            </w:r>
          </w:p>
        </w:tc>
        <w:tc>
          <w:tcPr>
            <w:tcW w:type="dxa" w:w="10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+10.5%</w:t>
            </w:r>
          </w:p>
        </w:tc>
        <w:tc>
          <w:tcPr>
            <w:tcW w:type="dxa" w:w="10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+9.1%</w:t>
            </w:r>
          </w:p>
        </w:tc>
        <w:tc>
          <w:tcPr>
            <w:tcW w:type="dxa" w:w="7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+6.1%</w:t>
            </w:r>
          </w:p>
        </w:tc>
        <w:tc>
          <w:tcPr>
            <w:tcW w:type="dxa" w:w="7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+6.3%</w:t>
            </w:r>
          </w:p>
        </w:tc>
        <w:tc>
          <w:tcPr>
            <w:tcW w:type="dxa" w:w="8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+6.5%</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Maroc</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+5.0%</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+4.8%</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+3.5%</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+3.1%</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-7.2%</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+7.9%</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+3.2%</w:t>
            </w:r>
          </w:p>
        </w:tc>
      </w:tr>
      <w:tr>
        <w:tc>
          <w:tcPr>
            <w:tcW w:type="dxa" w:w="22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Kenya</w:t>
            </w:r>
          </w:p>
        </w:tc>
        <w:tc>
          <w:tcPr>
            <w:tcW w:type="dxa" w:w="108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+4.8%</w:t>
            </w:r>
          </w:p>
        </w:tc>
        <w:tc>
          <w:tcPr>
            <w:tcW w:type="dxa" w:w="108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+5.0%</w:t>
            </w:r>
          </w:p>
        </w:tc>
        <w:tc>
          <w:tcPr>
            <w:tcW w:type="dxa" w:w="10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+5.3%</w:t>
            </w:r>
          </w:p>
        </w:tc>
        <w:tc>
          <w:tcPr>
            <w:tcW w:type="dxa" w:w="10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+5.7%</w:t>
            </w:r>
          </w:p>
        </w:tc>
        <w:tc>
          <w:tcPr>
            <w:tcW w:type="dxa" w:w="7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-0.3%</w:t>
            </w:r>
          </w:p>
        </w:tc>
        <w:tc>
          <w:tcPr>
            <w:tcW w:type="dxa" w:w="7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+7.5%</w:t>
            </w:r>
          </w:p>
        </w:tc>
        <w:tc>
          <w:tcPr>
            <w:tcW w:type="dxa" w:w="8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+5.2%</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Ghana</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+5.0%</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+8.0%</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+8.5%</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+6.0%</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+0.4%</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+5.4%</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+2.9%</w:t>
            </w:r>
          </w:p>
        </w:tc>
      </w:tr>
      <w:tr>
        <w:tc>
          <w:tcPr>
            <w:tcW w:type="dxa" w:w="22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Senegal</w:t>
            </w:r>
          </w:p>
        </w:tc>
        <w:tc>
          <w:tcPr>
            <w:tcW w:type="dxa" w:w="108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+4.3%</w:t>
            </w:r>
          </w:p>
        </w:tc>
        <w:tc>
          <w:tcPr>
            <w:tcW w:type="dxa" w:w="108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+3.5%</w:t>
            </w:r>
          </w:p>
        </w:tc>
        <w:tc>
          <w:tcPr>
            <w:tcW w:type="dxa" w:w="10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+4.1%</w:t>
            </w:r>
          </w:p>
        </w:tc>
        <w:tc>
          <w:tcPr>
            <w:tcW w:type="dxa" w:w="10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+6.4%</w:t>
            </w:r>
          </w:p>
        </w:tc>
        <w:tc>
          <w:tcPr>
            <w:tcW w:type="dxa" w:w="7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+1.3%</w:t>
            </w:r>
          </w:p>
        </w:tc>
        <w:tc>
          <w:tcPr>
            <w:tcW w:type="dxa" w:w="7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+6.5%</w:t>
            </w:r>
          </w:p>
        </w:tc>
        <w:tc>
          <w:tcPr>
            <w:tcW w:type="dxa" w:w="8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+5.8%</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Rwanda</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+7.5%</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+8.3%</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+7.0%</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+7.5%</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-3.4%</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+10.9%</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+7.2%</w:t>
            </w:r>
          </w:p>
        </w:tc>
      </w:tr>
    </w:tbl>
    <w:p>
      <w:pPr>
        <w:spacing w:after="120" w:before="80" w:line="276"/>
        <w:jc w:val="center"/>
      </w:pPr>
      <w:r>
        <w:rPr>
          <w:rFonts w:ascii="Arial" w:cs="Arial" w:eastAsia="Arial" w:hAnsi="Arial"/>
          <w:b w:val="false"/>
          <w:bCs w:val="false"/>
          <w:i/>
          <w:iCs/>
          <w:color w:val="444444"/>
          <w:sz w:val="17"/>
          <w:szCs w:val="17"/>
        </w:rPr>
        <w:t xml:space="preserve">Tableau 3 — Taux de croissance du PIB reel par sous-periode (Source : FMI WEO 2024)</w:t>
      </w:r>
    </w:p>
    <w:p>
      <w:r>
        <w:br w:type="page"/>
      </w:r>
    </w:p>
    <w:p>
      <w:pPr>
        <w:pStyle w:val="Heading2"/>
        <w:spacing w:after="140" w:before="280"/>
      </w:pPr>
      <w:r>
        <w:rPr>
          <w:rFonts w:ascii="Arial" w:cs="Arial" w:eastAsia="Arial" w:hAnsi="Arial"/>
          <w:b/>
          <w:bCs/>
          <w:color w:val="1A3A5C"/>
          <w:sz w:val="28"/>
          <w:szCs w:val="28"/>
        </w:rPr>
        <w:t xml:space="preserve">3.2 Inflation, politique monetaire et taux directeurs</w:t>
      </w:r>
    </w:p>
    <w:p>
      <w:pPr>
        <w:spacing w:after="160" w:before="0" w:line="316"/>
        <w:jc w:val="left"/>
      </w:pPr>
      <w:r>
        <w:rPr>
          <w:rFonts w:ascii="Arial" w:cs="Arial" w:eastAsia="Arial" w:hAnsi="Arial"/>
          <w:b w:val="false"/>
          <w:bCs w:val="false"/>
          <w:i w:val="false"/>
          <w:iCs w:val="false"/>
          <w:color w:val="444444"/>
          <w:sz w:val="20"/>
          <w:szCs w:val="20"/>
        </w:rPr>
        <w:t xml:space="preserve">La gestion de l'inflation constitue l'un des defis macroeconomiques les plus persistants en Afrique. Trois regimes monetaires coexistent sur le continent, avec des performances tres differenciees :</w:t>
      </w:r>
    </w:p>
    <w:p>
      <w:pPr>
        <w:pStyle w:val="ListParagraph"/>
        <w:numPr>
          <w:ilvl w:val="0"/>
          <w:numId w:val="2"/>
        </w:numPr>
        <w:spacing w:after="60" w:before="40" w:line="276"/>
      </w:pPr>
      <w:r>
        <w:rPr>
          <w:rFonts w:ascii="Arial" w:cs="Arial" w:eastAsia="Arial" w:hAnsi="Arial"/>
          <w:b w:val="false"/>
          <w:bCs w:val="false"/>
          <w:i w:val="false"/>
          <w:iCs w:val="false"/>
          <w:color w:val="444444"/>
          <w:sz w:val="19"/>
          <w:szCs w:val="19"/>
        </w:rPr>
        <w:t xml:space="preserve">ZONE FRANC CFA (UEMOA + CEMAC — 14 pays) : L'ancrage au franc francais puis a l'euro garantit une stabilite des prix remarquable (inflation moyenne 2000-2024 : 2,8%). Contrepartie : perte d'autonomie de la politique monetaire, sujetion aux decisions de la BCE, et debats recurrents sur l'adequation du taux de change fixe aux realites economiques africaines.</w:t>
      </w:r>
    </w:p>
    <w:p>
      <w:pPr>
        <w:pStyle w:val="ListParagraph"/>
        <w:numPr>
          <w:ilvl w:val="0"/>
          <w:numId w:val="2"/>
        </w:numPr>
        <w:spacing w:after="60" w:before="40" w:line="276"/>
      </w:pPr>
      <w:r>
        <w:rPr>
          <w:rFonts w:ascii="Arial" w:cs="Arial" w:eastAsia="Arial" w:hAnsi="Arial"/>
          <w:b w:val="false"/>
          <w:bCs w:val="false"/>
          <w:i w:val="false"/>
          <w:iCs w:val="false"/>
          <w:color w:val="444444"/>
          <w:sz w:val="19"/>
          <w:szCs w:val="19"/>
        </w:rPr>
        <w:t xml:space="preserve">BANQUES CENTRALES INDEPENDANTES (Nigeria, Ghana, Kenya, Afrique du Sud...) : Regime de ciblage d'inflation adopte progressivement. La SARB (Afrique du Sud) cible 3-6%, la CBN (Nigeria) 6-9%. Ces banques disposent d'une plus grande flexibilite mais subissent davantage la pression des anticipations inflationnistes et des chocs exterieurs.</w:t>
      </w:r>
    </w:p>
    <w:p>
      <w:pPr>
        <w:pStyle w:val="ListParagraph"/>
        <w:numPr>
          <w:ilvl w:val="0"/>
          <w:numId w:val="2"/>
        </w:numPr>
        <w:spacing w:after="60" w:before="40" w:line="276"/>
      </w:pPr>
      <w:r>
        <w:rPr>
          <w:rFonts w:ascii="Arial" w:cs="Arial" w:eastAsia="Arial" w:hAnsi="Arial"/>
          <w:b w:val="false"/>
          <w:bCs w:val="false"/>
          <w:i w:val="false"/>
          <w:iCs w:val="false"/>
          <w:color w:val="444444"/>
          <w:sz w:val="19"/>
          <w:szCs w:val="19"/>
        </w:rPr>
        <w:t xml:space="preserve">REGIMES VULNERABLES (Zimbabwe, Soudan, Angola...) : Hyperinflation (Zimbabwe 2007-2009 : millions de %), dollarisation partielle, instabilite monetaire chronique. Ces pays representent des cas d'etude extremes illustrant les consequences de la perte de credibilite de la banque centrale.</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8"/>
              <w:left w:val="single" w:color="E67E22" w:sz="8"/>
              <w:bottom w:val="single" w:color="E67E22" w:sz="8"/>
              <w:right w:val="single" w:color="E67E22" w:sz="8"/>
            </w:tcBorders>
            <w:shd w:fill="2E6DA4"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0"/>
                <w:szCs w:val="20"/>
              </w:rPr>
              <w:t xml:space="preserve">EPISODE INFLATIONNISTE 2021-2023 : UNE MENACE ASYMETRIQUE</w:t>
            </w:r>
          </w:p>
        </w:tc>
      </w:tr>
      <w:tr>
        <w:tc>
          <w:tcPr>
            <w:tcW w:type="dxa" w:w="9360"/>
            <w:tcBorders>
              <w:top w:val="single" w:color="E67E22" w:sz="8"/>
              <w:left w:val="single" w:color="E67E22" w:sz="8"/>
              <w:bottom w:val="single" w:color="E67E22" w:sz="8"/>
              <w:right w:val="single" w:color="E67E22" w:sz="8"/>
            </w:tcBorders>
            <w:shd w:fill="FEF9E7" w:val="clear"/>
            <w:tcMar>
              <w:top w:type="dxa" w:w="120"/>
              <w:left w:type="dxa" w:w="160"/>
              <w:bottom w:type="dxa" w:w="120"/>
              <w:right w:type="dxa" w:w="160"/>
            </w:tcMar>
          </w:tcPr>
          <w:p>
            <w:pPr>
              <w:spacing w:after="40" w:before="40"/>
            </w:pPr>
            <w:r>
              <w:rPr>
                <w:rFonts w:ascii="Arial" w:cs="Arial" w:eastAsia="Arial" w:hAnsi="Arial"/>
                <w:b w:val="false"/>
                <w:bCs w:val="false"/>
                <w:i w:val="false"/>
                <w:iCs w:val="false"/>
                <w:color w:val="444444"/>
                <w:sz w:val="19"/>
                <w:szCs w:val="19"/>
              </w:rPr>
              <w:t xml:space="preserve">Le choc inflationniste mondial de 2021-2023 (hausse des prix alimentaires et energetiques post-COVID, conflit Ukraine) a frappe l'Afrique de maniere asymetrique. Les pays importateurs nets de cereales (Egypte, Senegal, Togo, Benin) ont subi une hausse de leur facture alimentaire de 35 a 60%, creant des pressions sociales majeures. L'Egypte (inflation &gt; 30% en 2023), la Tunisie (inflation 10,5%) et le Ghana (inflation 54% en 2022) ont ete les plus touches.</w:t>
            </w:r>
          </w:p>
          <w:p>
            <w:pPr>
              <w:spacing w:after="40" w:before="40"/>
            </w:pPr>
            <w:r>
              <w:rPr>
                <w:rFonts w:ascii="Arial" w:cs="Arial" w:eastAsia="Arial" w:hAnsi="Arial"/>
                <w:b w:val="false"/>
                <w:bCs w:val="false"/>
                <w:i w:val="false"/>
                <w:iCs w:val="false"/>
                <w:color w:val="444444"/>
                <w:sz w:val="19"/>
                <w:szCs w:val="19"/>
              </w:rPr>
              <w:t xml:space="preserve">Les banques centrales africaines ont du repliquer les hausses de taux des pays developpes, avec des effets pervers : ralentissement du credit aux PME, hausse des NPL, et difficultes de financement budgetaire. La BCEAO a porte son taux directeur de 2,5% a 3,5% en 2022, la CBK (Kenya) de 7% a 12,5%, la SARB de 3,5% a 8,25%.</w:t>
            </w:r>
          </w:p>
          <w:p>
            <w:pPr>
              <w:spacing w:after="40" w:before="40"/>
            </w:pPr>
            <w:r>
              <w:rPr>
                <w:rFonts w:ascii="Arial" w:cs="Arial" w:eastAsia="Arial" w:hAnsi="Arial"/>
                <w:b w:val="false"/>
                <w:bCs w:val="false"/>
                <w:i w:val="false"/>
                <w:iCs w:val="false"/>
                <w:color w:val="444444"/>
                <w:sz w:val="19"/>
                <w:szCs w:val="19"/>
              </w:rPr>
              <w:t xml:space="preserve">Impact WebGIS : L'onglet 'Donnees Trimestrielles' permet de visualiser ces dynamiques a haute frequence (T1-T4) et de construire des cartes choroplethes de l'inflation africaine par trimestre sur Leaflet/QGIS.</w:t>
            </w:r>
          </w:p>
        </w:tc>
      </w:tr>
    </w:tbl>
    <w:p>
      <w:pPr>
        <w:spacing w:after="80" w:before="0"/>
      </w:pPr>
      <w:r>
        <w:rPr>
          <w:rFonts w:ascii="Arial" w:cs="Arial" w:eastAsia="Arial" w:hAnsi="Arial"/>
          <w:b w:val="false"/>
          <w:bCs w:val="false"/>
          <w:i w:val="false"/>
          <w:iCs w:val="false"/>
          <w:color w:val="000000"/>
          <w:sz w:val="20"/>
          <w:szCs w:val="20"/>
        </w:rPr>
        <w:t xml:space="preserve"/>
      </w:r>
    </w:p>
    <w:p>
      <w:pPr>
        <w:pStyle w:val="Heading2"/>
        <w:spacing w:after="140" w:before="280"/>
      </w:pPr>
      <w:r>
        <w:rPr>
          <w:rFonts w:ascii="Arial" w:cs="Arial" w:eastAsia="Arial" w:hAnsi="Arial"/>
          <w:b/>
          <w:bCs/>
          <w:color w:val="1A3A5C"/>
          <w:sz w:val="28"/>
          <w:szCs w:val="28"/>
        </w:rPr>
        <w:t xml:space="preserve">3.3 Balances exterieures : FDI, envois de fonds, dette souveraine</w:t>
      </w:r>
    </w:p>
    <w:p>
      <w:pPr>
        <w:spacing w:after="160" w:before="0" w:line="316"/>
        <w:jc w:val="left"/>
      </w:pPr>
      <w:r>
        <w:rPr>
          <w:rFonts w:ascii="Arial" w:cs="Arial" w:eastAsia="Arial" w:hAnsi="Arial"/>
          <w:b w:val="false"/>
          <w:bCs w:val="false"/>
          <w:i w:val="false"/>
          <w:iCs w:val="false"/>
          <w:color w:val="444444"/>
          <w:sz w:val="20"/>
          <w:szCs w:val="20"/>
        </w:rPr>
        <w:t xml:space="preserve">Trois flux financiers exterieurs structurent les economies africaines et representent des donnees essentielles pour l'analyse WebGIS :</w:t>
      </w:r>
    </w:p>
    <w:p>
      <w:pPr>
        <w:pStyle w:val="Heading3"/>
        <w:spacing w:after="100" w:before="200"/>
      </w:pPr>
      <w:r>
        <w:rPr>
          <w:rFonts w:ascii="Arial" w:cs="Arial" w:eastAsia="Arial" w:hAnsi="Arial"/>
          <w:b/>
          <w:bCs/>
          <w:color w:val="1E8449"/>
          <w:sz w:val="24"/>
          <w:szCs w:val="24"/>
        </w:rPr>
        <w:t xml:space="preserve">Investissements directs etrangers (FDI)</w:t>
      </w:r>
    </w:p>
    <w:p>
      <w:pPr>
        <w:spacing w:after="160" w:before="0" w:line="316"/>
        <w:jc w:val="left"/>
      </w:pPr>
      <w:r>
        <w:rPr>
          <w:rFonts w:ascii="Arial" w:cs="Arial" w:eastAsia="Arial" w:hAnsi="Arial"/>
          <w:b w:val="false"/>
          <w:bCs w:val="false"/>
          <w:i w:val="false"/>
          <w:iCs w:val="false"/>
          <w:color w:val="444444"/>
          <w:sz w:val="20"/>
          <w:szCs w:val="20"/>
        </w:rPr>
        <w:t xml:space="preserve">Les FDI vers l'Afrique ont atteint leur pic en 2008 ($71 Mrd) avant de baisser avec la crise mondiale. La reprise post-2010 a ete differenciee : les economies d'Afrique orientale (Ethiopie, Kenya, Rwanda) ont capture une part croissante des flux, tandis que les pays petroliers d'Afrique centrale ont vu leur attractivite decliner apres 2014. En 2024, les FDI africains ($83 Mrd selon CNUCED) representent seulement 3,5% des flux mondiaux, revelant le paradoxe d'un continent riche en ressources mais marginalise dans les circuits financiers internationaux.</w:t>
      </w:r>
    </w:p>
    <w:p>
      <w:pPr>
        <w:spacing w:after="160" w:before="0" w:line="316"/>
        <w:jc w:val="left"/>
      </w:pPr>
      <w:r>
        <w:rPr>
          <w:rFonts w:ascii="Arial" w:cs="Arial" w:eastAsia="Arial" w:hAnsi="Arial"/>
          <w:b w:val="false"/>
          <w:bCs w:val="false"/>
          <w:i w:val="false"/>
          <w:iCs w:val="false"/>
          <w:color w:val="444444"/>
          <w:sz w:val="20"/>
          <w:szCs w:val="20"/>
        </w:rPr>
        <w:t xml:space="preserve">Secteurs privilegies en 2024 : industries extractives (32%), energies renouvelables (+250% depuis 2018), infrastructures numeriques (fibre, data centers), agriculture et agroalimentaire. Les pays les plus attractifs : Afrique du Sud, Egypte, Ethiopie, Maroc, Nigeria, Kenya (representant ensemble 65% des FDI continentaux).</w:t>
      </w:r>
    </w:p>
    <w:p>
      <w:pPr>
        <w:spacing w:after="80" w:before="0"/>
      </w:pPr>
      <w:r>
        <w:rPr>
          <w:rFonts w:ascii="Arial" w:cs="Arial" w:eastAsia="Arial" w:hAnsi="Arial"/>
          <w:b w:val="false"/>
          <w:bCs w:val="false"/>
          <w:i w:val="false"/>
          <w:iCs w:val="false"/>
          <w:color w:val="000000"/>
          <w:sz w:val="20"/>
          <w:szCs w:val="20"/>
        </w:rPr>
        <w:t xml:space="preserve"/>
      </w:r>
    </w:p>
    <w:p>
      <w:pPr>
        <w:pStyle w:val="Heading3"/>
        <w:spacing w:after="100" w:before="200"/>
      </w:pPr>
      <w:r>
        <w:rPr>
          <w:rFonts w:ascii="Arial" w:cs="Arial" w:eastAsia="Arial" w:hAnsi="Arial"/>
          <w:b/>
          <w:bCs/>
          <w:color w:val="1E8449"/>
          <w:sz w:val="24"/>
          <w:szCs w:val="24"/>
        </w:rPr>
        <w:t xml:space="preserve">Envois de fonds des diasporas</w:t>
      </w:r>
    </w:p>
    <w:p>
      <w:pPr>
        <w:spacing w:after="160" w:before="0" w:line="316"/>
        <w:jc w:val="left"/>
      </w:pPr>
      <w:r>
        <w:rPr>
          <w:rFonts w:ascii="Arial" w:cs="Arial" w:eastAsia="Arial" w:hAnsi="Arial"/>
          <w:b w:val="false"/>
          <w:bCs w:val="false"/>
          <w:i w:val="false"/>
          <w:iCs w:val="false"/>
          <w:color w:val="444444"/>
          <w:sz w:val="20"/>
          <w:szCs w:val="20"/>
        </w:rPr>
        <w:t xml:space="preserve">Les remittances constituent le premier flux financier entrant pour 25 des 54 pays africains, depassant l'aide publique au developpement (APD) et les FDI reunis dans des pays comme le Senegal (10,7% du PIB), le Lesotho (23%), la Gambie (28%) et les Comores (21%). La resilience de ces flux durant le COVID (baisse de seulement 5% en 2020 vs -35% des FDI) en fait un filet de securite macro-financier crucial.</w:t>
      </w:r>
    </w:p>
    <w:p>
      <w:pPr>
        <w:spacing w:after="160" w:before="0" w:line="316"/>
        <w:jc w:val="left"/>
      </w:pPr>
      <w:r>
        <w:rPr>
          <w:rFonts w:ascii="Arial" w:cs="Arial" w:eastAsia="Arial" w:hAnsi="Arial"/>
          <w:b w:val="false"/>
          <w:bCs w:val="false"/>
          <w:i w:val="false"/>
          <w:iCs w:val="false"/>
          <w:color w:val="444444"/>
          <w:sz w:val="20"/>
          <w:szCs w:val="20"/>
        </w:rPr>
        <w:t xml:space="preserve">Le cout des transferts vers l'Afrique reste neanmoins excessif : moyenne de 8,2% en 2024 contre un objectif ODD de 3%. La digitalisation des remittances (M-Pesa, Wave, Sendwave, WorldRemit) tend a comprimer ces couts mais se heurte encore aux barrieres reglementaires et aux problemes d'interoperabilite entre systemes de paiement africains.</w:t>
      </w:r>
    </w:p>
    <w:p>
      <w:pPr>
        <w:spacing w:after="80" w:before="0"/>
      </w:pPr>
      <w:r>
        <w:rPr>
          <w:rFonts w:ascii="Arial" w:cs="Arial" w:eastAsia="Arial" w:hAnsi="Arial"/>
          <w:b w:val="false"/>
          <w:bCs w:val="false"/>
          <w:i w:val="false"/>
          <w:iCs w:val="false"/>
          <w:color w:val="000000"/>
          <w:sz w:val="20"/>
          <w:szCs w:val="20"/>
        </w:rPr>
        <w:t xml:space="preserve"/>
      </w:r>
    </w:p>
    <w:p>
      <w:pPr>
        <w:pStyle w:val="Heading2"/>
        <w:spacing w:after="140" w:before="280"/>
      </w:pPr>
      <w:r>
        <w:rPr>
          <w:rFonts w:ascii="Arial" w:cs="Arial" w:eastAsia="Arial" w:hAnsi="Arial"/>
          <w:b/>
          <w:bCs/>
          <w:color w:val="1A3A5C"/>
          <w:sz w:val="28"/>
          <w:szCs w:val="28"/>
        </w:rPr>
        <w:t xml:space="preserve">3.4 Chocs et crises financieres : analyse par type et severite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600"/>
        <w:gridCol w:w="1300"/>
        <w:gridCol w:w="1300"/>
        <w:gridCol w:w="1360"/>
        <w:gridCol w:w="860"/>
      </w:tblGrid>
      <w:tr>
        <w:trPr>
          <w:tblHeader/>
        </w:trPr>
        <w:tc>
          <w:tcPr>
            <w:tcW w:type="dxa" w:w="1800"/>
            <w:tcBorders>
              <w:top w:val="single" w:color="888888" w:sz="4"/>
              <w:left w:val="single" w:color="888888" w:sz="4"/>
              <w:bottom w:val="single" w:color="888888" w:sz="4"/>
              <w:right w:val="single" w:color="888888" w:sz="4"/>
            </w:tcBorders>
            <w:shd w:fill="7B241C"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Crise / Choc</w:t>
            </w:r>
          </w:p>
        </w:tc>
        <w:tc>
          <w:tcPr>
            <w:tcW w:type="dxa" w:w="1100"/>
            <w:tcBorders>
              <w:top w:val="single" w:color="888888" w:sz="4"/>
              <w:left w:val="single" w:color="888888" w:sz="4"/>
              <w:bottom w:val="single" w:color="888888" w:sz="4"/>
              <w:right w:val="single" w:color="888888" w:sz="4"/>
            </w:tcBorders>
            <w:shd w:fill="7B241C"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Periode</w:t>
            </w:r>
          </w:p>
        </w:tc>
        <w:tc>
          <w:tcPr>
            <w:tcW w:type="dxa" w:w="1600"/>
            <w:tcBorders>
              <w:top w:val="single" w:color="888888" w:sz="4"/>
              <w:left w:val="single" w:color="888888" w:sz="4"/>
              <w:bottom w:val="single" w:color="888888" w:sz="4"/>
              <w:right w:val="single" w:color="888888" w:sz="4"/>
            </w:tcBorders>
            <w:shd w:fill="7B241C"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Pays touches</w:t>
            </w:r>
          </w:p>
        </w:tc>
        <w:tc>
          <w:tcPr>
            <w:tcW w:type="dxa" w:w="1300"/>
            <w:tcBorders>
              <w:top w:val="single" w:color="888888" w:sz="4"/>
              <w:left w:val="single" w:color="888888" w:sz="4"/>
              <w:bottom w:val="single" w:color="888888" w:sz="4"/>
              <w:right w:val="single" w:color="888888" w:sz="4"/>
            </w:tcBorders>
            <w:shd w:fill="7B241C"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Impact PIB</w:t>
            </w:r>
          </w:p>
        </w:tc>
        <w:tc>
          <w:tcPr>
            <w:tcW w:type="dxa" w:w="1300"/>
            <w:tcBorders>
              <w:top w:val="single" w:color="888888" w:sz="4"/>
              <w:left w:val="single" w:color="888888" w:sz="4"/>
              <w:bottom w:val="single" w:color="888888" w:sz="4"/>
              <w:right w:val="single" w:color="888888" w:sz="4"/>
            </w:tcBorders>
            <w:shd w:fill="7B241C"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Impact NPL</w:t>
            </w:r>
          </w:p>
        </w:tc>
        <w:tc>
          <w:tcPr>
            <w:tcW w:type="dxa" w:w="1360"/>
            <w:tcBorders>
              <w:top w:val="single" w:color="888888" w:sz="4"/>
              <w:left w:val="single" w:color="888888" w:sz="4"/>
              <w:bottom w:val="single" w:color="888888" w:sz="4"/>
              <w:right w:val="single" w:color="888888" w:sz="4"/>
            </w:tcBorders>
            <w:shd w:fill="7B241C"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Aide FMI ($Mrd)</w:t>
            </w:r>
          </w:p>
        </w:tc>
        <w:tc>
          <w:tcPr>
            <w:tcW w:type="dxa" w:w="860"/>
            <w:tcBorders>
              <w:top w:val="single" w:color="888888" w:sz="4"/>
              <w:left w:val="single" w:color="888888" w:sz="4"/>
              <w:bottom w:val="single" w:color="888888" w:sz="4"/>
              <w:right w:val="single" w:color="888888" w:sz="4"/>
            </w:tcBorders>
            <w:shd w:fill="7B241C"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Duree (trim.)</w:t>
            </w:r>
          </w:p>
        </w:tc>
      </w:tr>
      <w:tr>
        <w:tc>
          <w:tcPr>
            <w:tcW w:type="dxa" w:w="18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Crise financiere mondiale</w:t>
            </w:r>
          </w:p>
        </w:tc>
        <w:tc>
          <w:tcPr>
            <w:tcW w:type="dxa" w:w="11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2008-2009</w:t>
            </w:r>
          </w:p>
        </w:tc>
        <w:tc>
          <w:tcPr>
            <w:tcW w:type="dxa" w:w="16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Tous (54)</w:t>
            </w:r>
          </w:p>
        </w:tc>
        <w:tc>
          <w:tcPr>
            <w:tcW w:type="dxa" w:w="13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Contraction de 2 a 6%</w:t>
            </w:r>
          </w:p>
        </w:tc>
        <w:tc>
          <w:tcPr>
            <w:tcW w:type="dxa" w:w="13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+3 a +8 pp</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16,2 (45 pays)</w:t>
            </w:r>
          </w:p>
        </w:tc>
        <w:tc>
          <w:tcPr>
            <w:tcW w:type="dxa" w:w="8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4 a 6</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Choc petrolier 2015-16</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2015-2016</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Exportateurs (12 pays)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Recession de 1 a 4%</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+4 a +12 pp</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8,5 (8 pays)</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6 a 10</w:t>
            </w:r>
          </w:p>
        </w:tc>
      </w:tr>
      <w:tr>
        <w:tc>
          <w:tcPr>
            <w:tcW w:type="dxa" w:w="18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COVID-19</w:t>
            </w:r>
          </w:p>
        </w:tc>
        <w:tc>
          <w:tcPr>
            <w:tcW w:type="dxa" w:w="11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2020-2021</w:t>
            </w:r>
          </w:p>
        </w:tc>
        <w:tc>
          <w:tcPr>
            <w:tcW w:type="dxa" w:w="16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Tous (54)</w:t>
            </w:r>
          </w:p>
        </w:tc>
        <w:tc>
          <w:tcPr>
            <w:tcW w:type="dxa" w:w="13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Contraction de 2 a 16%</w:t>
            </w:r>
          </w:p>
        </w:tc>
        <w:tc>
          <w:tcPr>
            <w:tcW w:type="dxa" w:w="13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+4 a +10 pp</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33,0 (35 pays)</w:t>
            </w:r>
          </w:p>
        </w:tc>
        <w:tc>
          <w:tcPr>
            <w:tcW w:type="dxa" w:w="8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4 a 8</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Crise Zimbabwe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2007-2009</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Zimbabwe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Contraction cumul. 45%</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N/D (dollarisation)</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0,0</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8 a 12</w:t>
            </w:r>
          </w:p>
        </w:tc>
      </w:tr>
      <w:tr>
        <w:tc>
          <w:tcPr>
            <w:tcW w:type="dxa" w:w="18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Defaut Ghana</w:t>
            </w:r>
          </w:p>
        </w:tc>
        <w:tc>
          <w:tcPr>
            <w:tcW w:type="dxa" w:w="11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2022-2023</w:t>
            </w:r>
          </w:p>
        </w:tc>
        <w:tc>
          <w:tcPr>
            <w:tcW w:type="dxa" w:w="16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Ghana</w:t>
            </w:r>
          </w:p>
        </w:tc>
        <w:tc>
          <w:tcPr>
            <w:tcW w:type="dxa" w:w="13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Contraction 1% en 2023</w:t>
            </w:r>
          </w:p>
        </w:tc>
        <w:tc>
          <w:tcPr>
            <w:tcW w:type="dxa" w:w="13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+15 pp</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+8,9 (FMI)</w:t>
            </w:r>
          </w:p>
        </w:tc>
        <w:tc>
          <w:tcPr>
            <w:tcW w:type="dxa" w:w="8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6+</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Defaut Zambie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2020-2023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Zambie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Contraction 2,8% en 2020</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+12 pp</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1,3</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10+</w:t>
            </w:r>
          </w:p>
        </w:tc>
      </w:tr>
      <w:tr>
        <w:tc>
          <w:tcPr>
            <w:tcW w:type="dxa" w:w="18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Crise Libye</w:t>
            </w:r>
          </w:p>
        </w:tc>
        <w:tc>
          <w:tcPr>
            <w:tcW w:type="dxa" w:w="11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2011-2012</w:t>
            </w:r>
          </w:p>
        </w:tc>
        <w:tc>
          <w:tcPr>
            <w:tcW w:type="dxa" w:w="16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Libye</w:t>
            </w:r>
          </w:p>
        </w:tc>
        <w:tc>
          <w:tcPr>
            <w:tcW w:type="dxa" w:w="13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Contraction 62% en 2011</w:t>
            </w:r>
          </w:p>
        </w:tc>
        <w:tc>
          <w:tcPr>
            <w:tcW w:type="dxa" w:w="13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N/D (secteur formel effondre)</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0,0</w:t>
            </w:r>
          </w:p>
        </w:tc>
        <w:tc>
          <w:tcPr>
            <w:tcW w:type="dxa" w:w="8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12+</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Choc inflationniste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2021-2023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Importateurs nets (30+)</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Ralentissement 0,5 a 1,5 pp</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+2 a +5 pp</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Variable</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4 a 6</w:t>
            </w:r>
          </w:p>
        </w:tc>
      </w:tr>
    </w:tbl>
    <w:p>
      <w:pPr>
        <w:spacing w:after="120" w:before="80" w:line="276"/>
        <w:jc w:val="center"/>
      </w:pPr>
      <w:r>
        <w:rPr>
          <w:rFonts w:ascii="Arial" w:cs="Arial" w:eastAsia="Arial" w:hAnsi="Arial"/>
          <w:b w:val="false"/>
          <w:bCs w:val="false"/>
          <w:i/>
          <w:iCs/>
          <w:color w:val="444444"/>
          <w:sz w:val="17"/>
          <w:szCs w:val="17"/>
        </w:rPr>
        <w:t xml:space="preserve">Tableau 4 — Principales crises financieres africaines (2000-2024), impacts et reponses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single" w:color="1A3A5C" w:sz="8"/>
              <w:bottom w:val="single" w:color="1A3A5C" w:sz="8"/>
              <w:right w:val="single" w:color="1A3A5C" w:sz="8"/>
            </w:tcBorders>
            <w:shd w:fill="1A3A5C" w:val="clear"/>
            <w:tcMar>
              <w:top w:type="dxa" w:w="160"/>
              <w:left w:type="dxa" w:w="240"/>
              <w:bottom w:type="dxa" w:w="160"/>
              <w:right w:type="dxa" w:w="240"/>
            </w:tcMar>
          </w:tcPr>
          <w:p>
            <w:pPr>
              <w:spacing w:after="0" w:before="0"/>
              <w:jc w:val="left"/>
            </w:pPr>
            <w:r>
              <w:rPr>
                <w:rFonts w:ascii="Arial" w:cs="Arial" w:eastAsia="Arial" w:hAnsi="Arial"/>
                <w:b/>
                <w:bCs/>
                <w:i w:val="false"/>
                <w:iCs w:val="false"/>
                <w:color w:val="FFFFFF"/>
                <w:sz w:val="30"/>
                <w:szCs w:val="30"/>
              </w:rPr>
              <w:t xml:space="preserve">IV  IV. SECTEUR BANCAIRE AFRICAIN</w:t>
            </w:r>
          </w:p>
        </w:tc>
      </w:tr>
    </w:tbl>
    <w:p>
      <w:pPr>
        <w:spacing w:after="120" w:before="0"/>
      </w:pPr>
      <w:r>
        <w:rPr>
          <w:rFonts w:ascii="Arial" w:cs="Arial" w:eastAsia="Arial" w:hAnsi="Arial"/>
          <w:b w:val="false"/>
          <w:bCs w:val="false"/>
          <w:i w:val="false"/>
          <w:iCs w:val="false"/>
          <w:color w:val="000000"/>
          <w:sz w:val="20"/>
          <w:szCs w:val="20"/>
        </w:rPr>
        <w:t xml:space="preserve"/>
      </w:r>
    </w:p>
    <w:p>
      <w:pPr>
        <w:pStyle w:val="Heading2"/>
        <w:spacing w:after="140" w:before="280"/>
      </w:pPr>
      <w:r>
        <w:rPr>
          <w:rFonts w:ascii="Arial" w:cs="Arial" w:eastAsia="Arial" w:hAnsi="Arial"/>
          <w:b/>
          <w:bCs/>
          <w:color w:val="1A3A5C"/>
          <w:sz w:val="28"/>
          <w:szCs w:val="28"/>
        </w:rPr>
        <w:t xml:space="preserve">4.1 Taux de bancarisation : progression et disparites structurelles</w:t>
      </w:r>
    </w:p>
    <w:p>
      <w:pPr>
        <w:spacing w:after="160" w:before="0" w:line="316"/>
        <w:jc w:val="left"/>
      </w:pPr>
      <w:r>
        <w:rPr>
          <w:rFonts w:ascii="Arial" w:cs="Arial" w:eastAsia="Arial" w:hAnsi="Arial"/>
          <w:b w:val="false"/>
          <w:bCs w:val="false"/>
          <w:i w:val="false"/>
          <w:iCs w:val="false"/>
          <w:color w:val="444444"/>
          <w:sz w:val="20"/>
          <w:szCs w:val="20"/>
        </w:rPr>
        <w:t xml:space="preserve">Le taux de bancarisation adulte en Afrique a progresse de 23% en 2000 a 48% en 2024, soit un gain de 25 points de pourcentage en 25 ans. Cette progression, bien que significative, masque des disparites regionales et structurelles considerables qui conditionnent l'efficacite des politiques monetaires et la profondeur de l'intermediation financiere.</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900"/>
        <w:gridCol w:w="1200"/>
        <w:gridCol w:w="1000"/>
        <w:gridCol w:w="1000"/>
        <w:gridCol w:w="1060"/>
      </w:tblGrid>
      <w:tr>
        <w:trPr>
          <w:tblHeader/>
        </w:trPr>
        <w:tc>
          <w:tcPr>
            <w:tcW w:type="dxa" w:w="1800"/>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Region</w:t>
            </w:r>
          </w:p>
        </w:tc>
        <w:tc>
          <w:tcPr>
            <w:tcW w:type="dxa" w:w="1400"/>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Bancarisation 2000</w:t>
            </w:r>
          </w:p>
        </w:tc>
        <w:tc>
          <w:tcPr>
            <w:tcW w:type="dxa" w:w="1400"/>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Bancarisation 2024</w:t>
            </w:r>
          </w:p>
        </w:tc>
        <w:tc>
          <w:tcPr>
            <w:tcW w:type="dxa" w:w="900"/>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Gain (pp)</w:t>
            </w:r>
          </w:p>
        </w:tc>
        <w:tc>
          <w:tcPr>
            <w:tcW w:type="dxa" w:w="1200"/>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NPL moy. 2024</w:t>
            </w:r>
          </w:p>
        </w:tc>
        <w:tc>
          <w:tcPr>
            <w:tcW w:type="dxa" w:w="1000"/>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CAR moy.</w:t>
            </w:r>
          </w:p>
        </w:tc>
        <w:tc>
          <w:tcPr>
            <w:tcW w:type="dxa" w:w="1000"/>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ROE moy.</w:t>
            </w:r>
          </w:p>
        </w:tc>
        <w:tc>
          <w:tcPr>
            <w:tcW w:type="dxa" w:w="1060"/>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NIM moy.</w:t>
            </w:r>
          </w:p>
        </w:tc>
      </w:tr>
      <w:tr>
        <w:tc>
          <w:tcPr>
            <w:tcW w:type="dxa" w:w="18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Afrique du Nord</w:t>
            </w:r>
          </w:p>
        </w:tc>
        <w:tc>
          <w:tcPr>
            <w:tcW w:type="dxa" w:w="14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42%</w:t>
            </w:r>
          </w:p>
        </w:tc>
        <w:tc>
          <w:tcPr>
            <w:tcW w:type="dxa" w:w="14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65%</w:t>
            </w:r>
          </w:p>
        </w:tc>
        <w:tc>
          <w:tcPr>
            <w:tcW w:type="dxa" w:w="9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+23</w:t>
            </w:r>
          </w:p>
        </w:tc>
        <w:tc>
          <w:tcPr>
            <w:tcW w:type="dxa" w:w="12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7.2%</w:t>
            </w:r>
          </w:p>
        </w:tc>
        <w:tc>
          <w:tcPr>
            <w:tcW w:type="dxa" w:w="10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16.8%</w:t>
            </w:r>
          </w:p>
        </w:tc>
        <w:tc>
          <w:tcPr>
            <w:tcW w:type="dxa" w:w="10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13.5%</w:t>
            </w:r>
          </w:p>
        </w:tc>
        <w:tc>
          <w:tcPr>
            <w:tcW w:type="dxa" w:w="10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3.4%</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Afrique Occidentale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15%</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45%</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+30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9.8%</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14.2%</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12.3%</w:t>
            </w:r>
          </w:p>
        </w:tc>
        <w:tc>
          <w:tcPr>
            <w:tcW w:type="dxa" w:w="1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5.8%</w:t>
            </w:r>
          </w:p>
        </w:tc>
      </w:tr>
      <w:tr>
        <w:tc>
          <w:tcPr>
            <w:tcW w:type="dxa" w:w="18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Afrique Centrale</w:t>
            </w:r>
          </w:p>
        </w:tc>
        <w:tc>
          <w:tcPr>
            <w:tcW w:type="dxa" w:w="14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12%</w:t>
            </w:r>
          </w:p>
        </w:tc>
        <w:tc>
          <w:tcPr>
            <w:tcW w:type="dxa" w:w="14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35%</w:t>
            </w:r>
          </w:p>
        </w:tc>
        <w:tc>
          <w:tcPr>
            <w:tcW w:type="dxa" w:w="9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+23</w:t>
            </w:r>
          </w:p>
        </w:tc>
        <w:tc>
          <w:tcPr>
            <w:tcW w:type="dxa" w:w="12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12.4%</w:t>
            </w:r>
          </w:p>
        </w:tc>
        <w:tc>
          <w:tcPr>
            <w:tcW w:type="dxa" w:w="10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13.1%</w:t>
            </w:r>
          </w:p>
        </w:tc>
        <w:tc>
          <w:tcPr>
            <w:tcW w:type="dxa" w:w="10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10.1%</w:t>
            </w:r>
          </w:p>
        </w:tc>
        <w:tc>
          <w:tcPr>
            <w:tcW w:type="dxa" w:w="10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6.2%</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Afrique Orientale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48%</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+34</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10.2%</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15.6%</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14.2%</w:t>
            </w:r>
          </w:p>
        </w:tc>
        <w:tc>
          <w:tcPr>
            <w:tcW w:type="dxa" w:w="1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6.8%</w:t>
            </w:r>
          </w:p>
        </w:tc>
      </w:tr>
      <w:tr>
        <w:tc>
          <w:tcPr>
            <w:tcW w:type="dxa" w:w="18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Afrique Australe</w:t>
            </w:r>
          </w:p>
        </w:tc>
        <w:tc>
          <w:tcPr>
            <w:tcW w:type="dxa" w:w="14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44%</w:t>
            </w:r>
          </w:p>
        </w:tc>
        <w:tc>
          <w:tcPr>
            <w:tcW w:type="dxa" w:w="14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62%</w:t>
            </w:r>
          </w:p>
        </w:tc>
        <w:tc>
          <w:tcPr>
            <w:tcW w:type="dxa" w:w="9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+18</w:t>
            </w:r>
          </w:p>
        </w:tc>
        <w:tc>
          <w:tcPr>
            <w:tcW w:type="dxa" w:w="12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8.6%</w:t>
            </w:r>
          </w:p>
        </w:tc>
        <w:tc>
          <w:tcPr>
            <w:tcW w:type="dxa" w:w="10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17.4%</w:t>
            </w:r>
          </w:p>
        </w:tc>
        <w:tc>
          <w:tcPr>
            <w:tcW w:type="dxa" w:w="10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12.8%</w:t>
            </w:r>
          </w:p>
        </w:tc>
        <w:tc>
          <w:tcPr>
            <w:tcW w:type="dxa" w:w="10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4.1%</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MOYENNE AFRIQUE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23%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48%</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+25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9.8%</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15.4%</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12.5%</w:t>
            </w:r>
          </w:p>
        </w:tc>
        <w:tc>
          <w:tcPr>
            <w:tcW w:type="dxa" w:w="1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5.3%</w:t>
            </w:r>
          </w:p>
        </w:tc>
      </w:tr>
    </w:tbl>
    <w:p>
      <w:pPr>
        <w:spacing w:after="120" w:before="80" w:line="276"/>
        <w:jc w:val="center"/>
      </w:pPr>
      <w:r>
        <w:rPr>
          <w:rFonts w:ascii="Arial" w:cs="Arial" w:eastAsia="Arial" w:hAnsi="Arial"/>
          <w:b w:val="false"/>
          <w:bCs w:val="false"/>
          <w:i/>
          <w:iCs/>
          <w:color w:val="444444"/>
          <w:sz w:val="17"/>
          <w:szCs w:val="17"/>
        </w:rPr>
        <w:t xml:space="preserve">Tableau 5 — Indicateurs bancaires cles par region africaine (2000 vs 2024)</w:t>
      </w:r>
    </w:p>
    <w:p>
      <w:pPr>
        <w:spacing w:after="80" w:before="0"/>
      </w:pPr>
      <w:r>
        <w:rPr>
          <w:rFonts w:ascii="Arial" w:cs="Arial" w:eastAsia="Arial" w:hAnsi="Arial"/>
          <w:b w:val="false"/>
          <w:bCs w:val="false"/>
          <w:i w:val="false"/>
          <w:iCs w:val="false"/>
          <w:color w:val="000000"/>
          <w:sz w:val="20"/>
          <w:szCs w:val="20"/>
        </w:rPr>
        <w:t xml:space="preserve"/>
      </w:r>
    </w:p>
    <w:p>
      <w:pPr>
        <w:spacing w:after="160" w:before="0" w:line="316"/>
        <w:jc w:val="left"/>
      </w:pPr>
      <w:r>
        <w:rPr>
          <w:rFonts w:ascii="Arial" w:cs="Arial" w:eastAsia="Arial" w:hAnsi="Arial"/>
          <w:b w:val="false"/>
          <w:bCs w:val="false"/>
          <w:i w:val="false"/>
          <w:iCs w:val="false"/>
          <w:color w:val="444444"/>
          <w:sz w:val="20"/>
          <w:szCs w:val="20"/>
        </w:rPr>
        <w:t xml:space="preserve">Les determinants de la bancarisation africaine sont analyses via un modele de regression panel OLS avec effets fixes pays (voir Section VIII). Les variables explicatives les plus significatives sont : (i) le PIB par habitant (elasticite +0.38, p&lt;0.001), (ii) la densite urbaine (elasticite +0.22, p&lt;0.01), (iii) la penetration mobile (elasticite +0.35, p&lt;0.001) et (iv) la stabilite macroeconomique proxy par l'inflation (elasticite -0.18, p&lt;0.05). La variable 'qualite des institutions' (indice Banque Mondiale) reste non significative apres controle des effets fixes, suggent une convergence institutionnelle insuffisante.</w:t>
      </w:r>
    </w:p>
    <w:p>
      <w:pPr>
        <w:spacing w:after="80" w:before="0"/>
      </w:pPr>
      <w:r>
        <w:rPr>
          <w:rFonts w:ascii="Arial" w:cs="Arial" w:eastAsia="Arial" w:hAnsi="Arial"/>
          <w:b w:val="false"/>
          <w:bCs w:val="false"/>
          <w:i w:val="false"/>
          <w:iCs w:val="false"/>
          <w:color w:val="000000"/>
          <w:sz w:val="20"/>
          <w:szCs w:val="20"/>
        </w:rPr>
        <w:t xml:space="preserve"/>
      </w:r>
    </w:p>
    <w:p>
      <w:pPr>
        <w:pStyle w:val="Heading2"/>
        <w:spacing w:after="140" w:before="280"/>
      </w:pPr>
      <w:r>
        <w:rPr>
          <w:rFonts w:ascii="Arial" w:cs="Arial" w:eastAsia="Arial" w:hAnsi="Arial"/>
          <w:b/>
          <w:bCs/>
          <w:color w:val="1A3A5C"/>
          <w:sz w:val="28"/>
          <w:szCs w:val="28"/>
        </w:rPr>
        <w:t xml:space="preserve">4.2 Solidite financiere : NPL, CAR, ROE et NIM</w:t>
      </w:r>
    </w:p>
    <w:p>
      <w:pPr>
        <w:spacing w:after="160" w:before="0" w:line="316"/>
        <w:jc w:val="left"/>
      </w:pPr>
      <w:r>
        <w:rPr>
          <w:rFonts w:ascii="Arial" w:cs="Arial" w:eastAsia="Arial" w:hAnsi="Arial"/>
          <w:b w:val="false"/>
          <w:bCs w:val="false"/>
          <w:i w:val="false"/>
          <w:iCs w:val="false"/>
          <w:color w:val="444444"/>
          <w:sz w:val="20"/>
          <w:szCs w:val="20"/>
        </w:rPr>
        <w:t xml:space="preserve">L'analyse de la solidite du secteur bancaire africain repose sur le suivi de quatre indicateurs prudentiels fondamentaux, tous disponibles dans l'onglet 'Secteur Bancaire Annuel' de la base de donnees :</w:t>
      </w:r>
    </w:p>
    <w:p>
      <w:pPr>
        <w:spacing w:after="60" w:before="0"/>
      </w:pPr>
      <w:r>
        <w:rPr>
          <w:rFonts w:ascii="Arial" w:cs="Arial" w:eastAsia="Arial" w:hAnsi="Arial"/>
          <w:b w:val="false"/>
          <w:bCs w:val="false"/>
          <w:i w:val="false"/>
          <w:iCs w:val="false"/>
          <w:color w:val="000000"/>
          <w:sz w:val="20"/>
          <w:szCs w:val="20"/>
        </w:rPr>
        <w:t xml:space="preserve"/>
      </w:r>
    </w:p>
    <w:p>
      <w:pPr>
        <w:pStyle w:val="Heading3"/>
        <w:spacing w:after="100" w:before="200"/>
      </w:pPr>
      <w:r>
        <w:rPr>
          <w:rFonts w:ascii="Arial" w:cs="Arial" w:eastAsia="Arial" w:hAnsi="Arial"/>
          <w:b/>
          <w:bCs/>
          <w:color w:val="1E8449"/>
          <w:sz w:val="24"/>
          <w:szCs w:val="24"/>
        </w:rPr>
        <w:t xml:space="preserve">NPL ratio (Non-Performing Loans)</w:t>
      </w:r>
    </w:p>
    <w:p>
      <w:pPr>
        <w:spacing w:after="160" w:before="0" w:line="316"/>
        <w:jc w:val="left"/>
      </w:pPr>
      <w:r>
        <w:rPr>
          <w:rFonts w:ascii="Arial" w:cs="Arial" w:eastAsia="Arial" w:hAnsi="Arial"/>
          <w:b w:val="false"/>
          <w:bCs w:val="false"/>
          <w:i w:val="false"/>
          <w:iCs w:val="false"/>
          <w:color w:val="444444"/>
          <w:sz w:val="20"/>
          <w:szCs w:val="20"/>
        </w:rPr>
        <w:t xml:space="preserve">Le ratio de creances douteuses moyen africain (9,8% en 2024) reste significativement superieur aux standards internationaux (OMS Bale : &lt; 5%, benchmarks europeens &lt; 3%). Les pics de NPL correspondent aux grandes crises : +6 pp en 2009 (crise financiere mondiale), +5 pp en 2020 (COVID). Les pays les plus exposes sont la Sierra Leone (NPL 25%), le Zimbabwe (18%), la Zambie (17%) et le Congo RDC (22%), refletant des economies sous stress persistant.</w:t>
      </w:r>
    </w:p>
    <w:p>
      <w:pPr>
        <w:spacing w:after="160" w:before="0" w:line="316"/>
        <w:jc w:val="left"/>
      </w:pPr>
      <w:r>
        <w:rPr>
          <w:rFonts w:ascii="Arial" w:cs="Arial" w:eastAsia="Arial" w:hAnsi="Arial"/>
          <w:b w:val="false"/>
          <w:bCs w:val="false"/>
          <w:i w:val="false"/>
          <w:iCs w:val="false"/>
          <w:color w:val="444444"/>
          <w:sz w:val="20"/>
          <w:szCs w:val="20"/>
        </w:rPr>
        <w:t xml:space="preserve">Facteurs explicatifs du NPL eleve en Afrique : (i) forte proportion de credits informels non provisionnes, (ii) absence de bureaux de credit efficaces dans 35 pays, (iii) faiblesse des systemes judiciaires de recouvrement (duree moyenne de resolution d'un litige commercial : 4 a 8 ans), (iv) concentration sectorielle excessive (agriculture, petrole) exposant les portefeuilles aux chocs de prix.</w:t>
      </w:r>
    </w:p>
    <w:p>
      <w:pPr>
        <w:spacing w:after="60" w:before="0"/>
      </w:pPr>
      <w:r>
        <w:rPr>
          <w:rFonts w:ascii="Arial" w:cs="Arial" w:eastAsia="Arial" w:hAnsi="Arial"/>
          <w:b w:val="false"/>
          <w:bCs w:val="false"/>
          <w:i w:val="false"/>
          <w:iCs w:val="false"/>
          <w:color w:val="000000"/>
          <w:sz w:val="20"/>
          <w:szCs w:val="20"/>
        </w:rPr>
        <w:t xml:space="preserve"/>
      </w:r>
    </w:p>
    <w:p>
      <w:pPr>
        <w:pStyle w:val="Heading3"/>
        <w:spacing w:after="100" w:before="200"/>
      </w:pPr>
      <w:r>
        <w:rPr>
          <w:rFonts w:ascii="Arial" w:cs="Arial" w:eastAsia="Arial" w:hAnsi="Arial"/>
          <w:b/>
          <w:bCs/>
          <w:color w:val="1E8449"/>
          <w:sz w:val="24"/>
          <w:szCs w:val="24"/>
        </w:rPr>
        <w:t xml:space="preserve">CAR — Capital Adequacy Ratio</w:t>
      </w:r>
    </w:p>
    <w:p>
      <w:pPr>
        <w:spacing w:after="160" w:before="0" w:line="316"/>
        <w:jc w:val="left"/>
      </w:pPr>
      <w:r>
        <w:rPr>
          <w:rFonts w:ascii="Arial" w:cs="Arial" w:eastAsia="Arial" w:hAnsi="Arial"/>
          <w:b w:val="false"/>
          <w:bCs w:val="false"/>
          <w:i w:val="false"/>
          <w:iCs w:val="false"/>
          <w:color w:val="444444"/>
          <w:sz w:val="20"/>
          <w:szCs w:val="20"/>
        </w:rPr>
        <w:t xml:space="preserve">La capitalisation bancaire africaine (CAR moyen 15,4%) depasse formellement le minimum Bale III (10,5%), mais cette adequation masque une qualite du capital variable. Les fonds propres africains comportent une proportion plus importante de Tier 2 (dette subordonnee) que dans les banques des pays developpes. En outre, la ponderisation des risques sous-estime souvent les risques de concentration et de liquidite specifiques aux marches africains.</w:t>
      </w:r>
    </w:p>
    <w:p>
      <w:pPr>
        <w:spacing w:after="60" w:before="0"/>
      </w:pPr>
      <w:r>
        <w:rPr>
          <w:rFonts w:ascii="Arial" w:cs="Arial" w:eastAsia="Arial" w:hAnsi="Arial"/>
          <w:b w:val="false"/>
          <w:bCs w:val="false"/>
          <w:i w:val="false"/>
          <w:iCs w:val="false"/>
          <w:color w:val="000000"/>
          <w:sz w:val="20"/>
          <w:szCs w:val="20"/>
        </w:rPr>
        <w:t xml:space="preserve"/>
      </w:r>
    </w:p>
    <w:p>
      <w:pPr>
        <w:pStyle w:val="Heading3"/>
        <w:spacing w:after="100" w:before="200"/>
      </w:pPr>
      <w:r>
        <w:rPr>
          <w:rFonts w:ascii="Arial" w:cs="Arial" w:eastAsia="Arial" w:hAnsi="Arial"/>
          <w:b/>
          <w:bCs/>
          <w:color w:val="1E8449"/>
          <w:sz w:val="24"/>
          <w:szCs w:val="24"/>
        </w:rPr>
        <w:t xml:space="preserve">ROE &amp; NIM — Rentabilite et marge d'intermediation</w:t>
      </w:r>
    </w:p>
    <w:p>
      <w:pPr>
        <w:spacing w:after="160" w:before="0" w:line="316"/>
        <w:jc w:val="left"/>
      </w:pPr>
      <w:r>
        <w:rPr>
          <w:rFonts w:ascii="Arial" w:cs="Arial" w:eastAsia="Arial" w:hAnsi="Arial"/>
          <w:b w:val="false"/>
          <w:bCs w:val="false"/>
          <w:i w:val="false"/>
          <w:iCs w:val="false"/>
          <w:color w:val="444444"/>
          <w:sz w:val="20"/>
          <w:szCs w:val="20"/>
        </w:rPr>
        <w:t xml:space="preserve">Le ROE moyen africain (12,5%) est superieur a la moyenne europeenne (8-10%) mais cache une extreme heterogeneite. Les banques pan-africaines (Ecobank, Equity Bank, KCB, Standard Bank) affichent des ROE de 18-22% grace a des economies d'echelle continentales. A l'inverse, les banques publiques nationales de nombreux pays presentent des ROE negatifs refletant leur role social et leur gestion de portefeuilles non performants.</w:t>
      </w:r>
    </w:p>
    <w:p>
      <w:pPr>
        <w:spacing w:after="160" w:before="0" w:line="316"/>
        <w:jc w:val="left"/>
      </w:pPr>
      <w:r>
        <w:rPr>
          <w:rFonts w:ascii="Arial" w:cs="Arial" w:eastAsia="Arial" w:hAnsi="Arial"/>
          <w:b w:val="false"/>
          <w:bCs w:val="false"/>
          <w:i w:val="false"/>
          <w:iCs w:val="false"/>
          <w:color w:val="444444"/>
          <w:sz w:val="20"/>
          <w:szCs w:val="20"/>
        </w:rPr>
        <w:t xml:space="preserve">La Marge Nette d'Interet (NIM) africaine (5,3% en moyenne) est la plus elevee au monde (Europe : 1,5-2%, Asie : 3-4%), refletant simultanement un cout d'intermediation eleve (problematique pour l'acces au credit) et une rentabilite operationnelle confortable pour les actionnaires bancaires. La compression du NIM est l'un des indicateurs cles du progres de la concurrence et de l'efficience bancaire.</w:t>
      </w:r>
    </w:p>
    <w:p>
      <w:r>
        <w:br w:type="page"/>
      </w:r>
    </w:p>
    <w:p>
      <w:pPr>
        <w:pStyle w:val="Heading2"/>
        <w:spacing w:after="140" w:before="280"/>
      </w:pPr>
      <w:r>
        <w:rPr>
          <w:rFonts w:ascii="Arial" w:cs="Arial" w:eastAsia="Arial" w:hAnsi="Arial"/>
          <w:b/>
          <w:bCs/>
          <w:color w:val="1A3A5C"/>
          <w:sz w:val="28"/>
          <w:szCs w:val="28"/>
        </w:rPr>
        <w:t xml:space="preserve">4.3 Credit au secteur prive et intermediation financiere</w:t>
      </w:r>
    </w:p>
    <w:p>
      <w:pPr>
        <w:spacing w:after="160" w:before="0" w:line="316"/>
        <w:jc w:val="left"/>
      </w:pPr>
      <w:r>
        <w:rPr>
          <w:rFonts w:ascii="Arial" w:cs="Arial" w:eastAsia="Arial" w:hAnsi="Arial"/>
          <w:b w:val="false"/>
          <w:bCs w:val="false"/>
          <w:i w:val="false"/>
          <w:iCs w:val="false"/>
          <w:color w:val="444444"/>
          <w:sz w:val="20"/>
          <w:szCs w:val="20"/>
        </w:rPr>
        <w:t xml:space="preserve">Le credit bancaire au secteur prive, exprime en pourcentage du PIB, est l'un des meilleurs indicateurs de profondeur financiere. L'Afrique subsaharienne affiche en moyenne 27% du PIB (2024), contre 80% en Asie de l'Est et 130% dans les economies avancees. Seuls le Maroc (75%), l'Afrique du Sud (60%), Maurice (90%) et Cap-Vert (68%) se rapprochent des benchmarks internationaux.</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8"/>
              <w:bottom w:val="single" w:color="2E6DA4" w:sz="8"/>
              <w:right w:val="single" w:color="2E6DA4" w:sz="8"/>
            </w:tcBorders>
            <w:shd w:fill="2E6DA4"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0"/>
                <w:szCs w:val="20"/>
              </w:rPr>
              <w:t xml:space="preserve">PARADOXE DU CREDIT AFRICAIN : ABONDANCE BANCAIRE, RARETE DU CREDIT PME</w:t>
            </w:r>
          </w:p>
        </w:tc>
      </w:tr>
      <w:tr>
        <w:tc>
          <w:tcPr>
            <w:tcW w:type="dxa" w:w="9360"/>
            <w:tcBorders>
              <w:top w:val="single" w:color="2E6DA4" w:sz="8"/>
              <w:left w:val="single" w:color="2E6DA4" w:sz="8"/>
              <w:bottom w:val="single" w:color="2E6DA4" w:sz="8"/>
              <w:right w:val="single" w:color="2E6DA4" w:sz="8"/>
            </w:tcBorders>
            <w:shd w:fill="D6E4F0" w:val="clear"/>
            <w:tcMar>
              <w:top w:type="dxa" w:w="120"/>
              <w:left w:type="dxa" w:w="160"/>
              <w:bottom w:type="dxa" w:w="120"/>
              <w:right w:type="dxa" w:w="160"/>
            </w:tcMar>
          </w:tcPr>
          <w:p>
            <w:pPr>
              <w:spacing w:after="40" w:before="40"/>
            </w:pPr>
            <w:r>
              <w:rPr>
                <w:rFonts w:ascii="Arial" w:cs="Arial" w:eastAsia="Arial" w:hAnsi="Arial"/>
                <w:b w:val="false"/>
                <w:bCs w:val="false"/>
                <w:i w:val="false"/>
                <w:iCs w:val="false"/>
                <w:color w:val="444444"/>
                <w:sz w:val="19"/>
                <w:szCs w:val="19"/>
              </w:rPr>
              <w:t xml:space="preserve">L'un des paradoxes les plus documentes de la finance africaine est la coexistence d'un secteur bancaire profitable (ROE eleve, CAR confortable) et d'un acces tres limite des PME et menages au credit formel. Selon la Banque Mondiale (Enterprise Surveys 2023), 65% des PME africaines identifient l'acces au financement comme leur principal obstacle, contre 32% en Asie du Sud.</w:t>
            </w:r>
          </w:p>
          <w:p>
            <w:pPr>
              <w:spacing w:after="40" w:before="40"/>
            </w:pPr>
            <w:r>
              <w:rPr>
                <w:rFonts w:ascii="Arial" w:cs="Arial" w:eastAsia="Arial" w:hAnsi="Arial"/>
                <w:b w:val="false"/>
                <w:bCs w:val="false"/>
                <w:i w:val="false"/>
                <w:iCs w:val="false"/>
                <w:color w:val="444444"/>
                <w:sz w:val="19"/>
                <w:szCs w:val="19"/>
              </w:rPr>
              <w:t xml:space="preserve">Cette 'allocation paradoxale' s'explique par quatre mecanismes : (i) preference des banques pour le financement de l'Etat (bons du Tresor sans risque a rendements eleves), (ii) cout de l'evaluation du risque PME juge prohibitif (absence de collateres standardises, etats financiers non audites), (iii) asymetries d'information amplifiees par l'absence de credit bureaux, et (iv) mismatch de maturite (depots courts vs besoins d'investissement longs).</w:t>
            </w:r>
          </w:p>
          <w:p>
            <w:pPr>
              <w:spacing w:after="40" w:before="40"/>
            </w:pPr>
            <w:r>
              <w:rPr>
                <w:rFonts w:ascii="Arial" w:cs="Arial" w:eastAsia="Arial" w:hAnsi="Arial"/>
                <w:b w:val="false"/>
                <w:bCs w:val="false"/>
                <w:i w:val="false"/>
                <w:iCs w:val="false"/>
                <w:color w:val="444444"/>
                <w:sz w:val="19"/>
                <w:szCs w:val="19"/>
              </w:rPr>
              <w:t xml:space="preserve">Implications WebGIS : L'onglet 'Secteur Bancaire' permet de construire des cartes de la 'penurie de credit PME' en croisant credit/PIB et taux de PME formelles, visualisables sur Leaflet avec gradients de couleur par intensite de contrainte financiere.</w:t>
            </w:r>
          </w:p>
        </w:tc>
      </w:tr>
    </w:tbl>
    <w:p>
      <w:pPr>
        <w:spacing w:after="80" w:before="0"/>
      </w:pPr>
      <w:r>
        <w:rPr>
          <w:rFonts w:ascii="Arial" w:cs="Arial" w:eastAsia="Arial" w:hAnsi="Arial"/>
          <w:b w:val="false"/>
          <w:bCs w:val="false"/>
          <w:i w:val="false"/>
          <w:iCs w:val="false"/>
          <w:color w:val="000000"/>
          <w:sz w:val="20"/>
          <w:szCs w:val="20"/>
        </w:rPr>
        <w:t xml:space="preserve"/>
      </w:r>
    </w:p>
    <w:p>
      <w:pPr>
        <w:pStyle w:val="Heading2"/>
        <w:spacing w:after="140" w:before="280"/>
      </w:pPr>
      <w:r>
        <w:rPr>
          <w:rFonts w:ascii="Arial" w:cs="Arial" w:eastAsia="Arial" w:hAnsi="Arial"/>
          <w:b/>
          <w:bCs/>
          <w:color w:val="1A3A5C"/>
          <w:sz w:val="28"/>
          <w:szCs w:val="28"/>
        </w:rPr>
        <w:t xml:space="preserve">4.4 Structures de marche et concentration bancaire</w:t>
      </w:r>
    </w:p>
    <w:p>
      <w:pPr>
        <w:spacing w:after="160" w:before="0" w:line="316"/>
        <w:jc w:val="left"/>
      </w:pPr>
      <w:r>
        <w:rPr>
          <w:rFonts w:ascii="Arial" w:cs="Arial" w:eastAsia="Arial" w:hAnsi="Arial"/>
          <w:b w:val="false"/>
          <w:bCs w:val="false"/>
          <w:i w:val="false"/>
          <w:iCs w:val="false"/>
          <w:color w:val="444444"/>
          <w:sz w:val="20"/>
          <w:szCs w:val="20"/>
        </w:rPr>
        <w:t xml:space="preserve">La concentration bancaire africaine (indice HHI moyen 1850, refletant un marche oligopolistique) varie fortement selon la taille des economies : les petits pays (Sao Tome, Comores, Djibouti) ont des secteurs bancaires hyper-concentres (HHI &gt; 4000), tandis que les grandes economies (Nigeria, Afrique du Sud, Kenya) ont des structures plus competitives (HHI 800-1500). La presence croissante de banques pan-africaines (Ecobank dans 35 pays, Equity Bank dans 7 pays, Standard Bank dans 20 pays) modifie progressivement la dynamique concurrentielle.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8"/>
              <w:left w:val="single" w:color="6C3483" w:sz="8"/>
              <w:bottom w:val="single" w:color="6C3483" w:sz="8"/>
              <w:right w:val="single" w:color="6C3483" w:sz="8"/>
            </w:tcBorders>
            <w:shd w:fill="6C3483" w:val="clear"/>
            <w:tcMar>
              <w:top w:type="dxa" w:w="160"/>
              <w:left w:type="dxa" w:w="240"/>
              <w:bottom w:type="dxa" w:w="160"/>
              <w:right w:type="dxa" w:w="240"/>
            </w:tcMar>
          </w:tcPr>
          <w:p>
            <w:pPr>
              <w:spacing w:after="0" w:before="0"/>
              <w:jc w:val="left"/>
            </w:pPr>
            <w:r>
              <w:rPr>
                <w:rFonts w:ascii="Arial" w:cs="Arial" w:eastAsia="Arial" w:hAnsi="Arial"/>
                <w:b/>
                <w:bCs/>
                <w:i w:val="false"/>
                <w:iCs w:val="false"/>
                <w:color w:val="FFFFFF"/>
                <w:sz w:val="30"/>
                <w:szCs w:val="30"/>
              </w:rPr>
              <w:t xml:space="preserve">V  V. FINTECH &amp; MOBILE MONEY EN AFRIQUE</w:t>
            </w:r>
          </w:p>
        </w:tc>
      </w:tr>
    </w:tbl>
    <w:p>
      <w:pPr>
        <w:spacing w:after="120" w:before="0"/>
      </w:pPr>
      <w:r>
        <w:rPr>
          <w:rFonts w:ascii="Arial" w:cs="Arial" w:eastAsia="Arial" w:hAnsi="Arial"/>
          <w:b w:val="false"/>
          <w:bCs w:val="false"/>
          <w:i w:val="false"/>
          <w:iCs w:val="false"/>
          <w:color w:val="000000"/>
          <w:sz w:val="20"/>
          <w:szCs w:val="20"/>
        </w:rPr>
        <w:t xml:space="preserve"/>
      </w:r>
    </w:p>
    <w:p>
      <w:pPr>
        <w:pStyle w:val="Heading2"/>
        <w:spacing w:after="140" w:before="280"/>
      </w:pPr>
      <w:r>
        <w:rPr>
          <w:rFonts w:ascii="Arial" w:cs="Arial" w:eastAsia="Arial" w:hAnsi="Arial"/>
          <w:b/>
          <w:bCs/>
          <w:color w:val="1A3A5C"/>
          <w:sz w:val="28"/>
          <w:szCs w:val="28"/>
        </w:rPr>
        <w:t xml:space="preserve">5.1 L'essor du mobile money : du Kenya a toute l'Afrique</w:t>
      </w:r>
    </w:p>
    <w:p>
      <w:pPr>
        <w:spacing w:after="160" w:before="0" w:line="316"/>
        <w:jc w:val="left"/>
      </w:pPr>
      <w:r>
        <w:rPr>
          <w:rFonts w:ascii="Arial" w:cs="Arial" w:eastAsia="Arial" w:hAnsi="Arial"/>
          <w:b w:val="false"/>
          <w:bCs w:val="false"/>
          <w:i w:val="false"/>
          <w:iCs w:val="false"/>
          <w:color w:val="444444"/>
          <w:sz w:val="20"/>
          <w:szCs w:val="20"/>
        </w:rPr>
        <w:t xml:space="preserve">Le lancement de M-Pesa au Kenya en mars 2007 constitue l'une des innovations financieres les plus importantes du XXIe siecle. En permettant a des millions de Kenyans non bancarises d'effectuer des transactions via leur telephone mobile basique, M-Pesa a demontre qu'il etait possible de construire un systeme de paiement inclusif en contournant l'infrastructure bancaire traditionnelle. En 2024, le Kenya traite via mobile money un volume equivalent a 50% de son PIB.</w:t>
      </w:r>
    </w:p>
    <w:p>
      <w:pPr>
        <w:spacing w:after="160" w:before="0" w:line="316"/>
        <w:jc w:val="left"/>
      </w:pPr>
      <w:r>
        <w:rPr>
          <w:rFonts w:ascii="Arial" w:cs="Arial" w:eastAsia="Arial" w:hAnsi="Arial"/>
          <w:b w:val="false"/>
          <w:bCs w:val="false"/>
          <w:i w:val="false"/>
          <w:iCs w:val="false"/>
          <w:color w:val="444444"/>
          <w:sz w:val="20"/>
          <w:szCs w:val="20"/>
        </w:rPr>
        <w:t xml:space="preserve">Ce modele s'est diffuse progressivement sur le continent, avec des adaptations locales : Orange Money en Afrique de l'Ouest et centrale, MTN Mobile Money au Nigeria et en Afrique de l'Est, Airtel Money dans 14 pays. En 2024, l'Afrique subsaharienne compte 781 millions de comptes mobile money (GSMA), represente 70% des transactions mondiales de mobile money, et traite $912 Mrd de transactions annuelles.</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500"/>
        <w:gridCol w:w="1300"/>
        <w:gridCol w:w="800"/>
        <w:gridCol w:w="2160"/>
      </w:tblGrid>
      <w:tr>
        <w:trPr>
          <w:tblHeader/>
        </w:trPr>
        <w:tc>
          <w:tcPr>
            <w:tcW w:type="dxa" w:w="1400"/>
            <w:tcBorders>
              <w:top w:val="single" w:color="888888" w:sz="4"/>
              <w:left w:val="single" w:color="888888" w:sz="4"/>
              <w:bottom w:val="single" w:color="888888" w:sz="4"/>
              <w:right w:val="single" w:color="888888" w:sz="4"/>
            </w:tcBorders>
            <w:shd w:fill="6C348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Pays / Marche</w:t>
            </w:r>
          </w:p>
        </w:tc>
        <w:tc>
          <w:tcPr>
            <w:tcW w:type="dxa" w:w="1600"/>
            <w:tcBorders>
              <w:top w:val="single" w:color="888888" w:sz="4"/>
              <w:left w:val="single" w:color="888888" w:sz="4"/>
              <w:bottom w:val="single" w:color="888888" w:sz="4"/>
              <w:right w:val="single" w:color="888888" w:sz="4"/>
            </w:tcBorders>
            <w:shd w:fill="6C348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Operateur leader</w:t>
            </w:r>
          </w:p>
        </w:tc>
        <w:tc>
          <w:tcPr>
            <w:tcW w:type="dxa" w:w="1500"/>
            <w:tcBorders>
              <w:top w:val="single" w:color="888888" w:sz="4"/>
              <w:left w:val="single" w:color="888888" w:sz="4"/>
              <w:bottom w:val="single" w:color="888888" w:sz="4"/>
              <w:right w:val="single" w:color="888888" w:sz="4"/>
            </w:tcBorders>
            <w:shd w:fill="6C348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Comptes actifs 2024</w:t>
            </w:r>
          </w:p>
        </w:tc>
        <w:tc>
          <w:tcPr>
            <w:tcW w:type="dxa" w:w="1300"/>
            <w:tcBorders>
              <w:top w:val="single" w:color="888888" w:sz="4"/>
              <w:left w:val="single" w:color="888888" w:sz="4"/>
              <w:bottom w:val="single" w:color="888888" w:sz="4"/>
              <w:right w:val="single" w:color="888888" w:sz="4"/>
            </w:tcBorders>
            <w:shd w:fill="6C348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Volume 2024 ($Mrd)</w:t>
            </w:r>
          </w:p>
        </w:tc>
        <w:tc>
          <w:tcPr>
            <w:tcW w:type="dxa" w:w="800"/>
            <w:tcBorders>
              <w:top w:val="single" w:color="888888" w:sz="4"/>
              <w:left w:val="single" w:color="888888" w:sz="4"/>
              <w:bottom w:val="single" w:color="888888" w:sz="4"/>
              <w:right w:val="single" w:color="888888" w:sz="4"/>
            </w:tcBorders>
            <w:shd w:fill="6C348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 PIB</w:t>
            </w:r>
          </w:p>
        </w:tc>
        <w:tc>
          <w:tcPr>
            <w:tcW w:type="dxa" w:w="2160"/>
            <w:tcBorders>
              <w:top w:val="single" w:color="888888" w:sz="4"/>
              <w:left w:val="single" w:color="888888" w:sz="4"/>
              <w:bottom w:val="single" w:color="888888" w:sz="4"/>
              <w:right w:val="single" w:color="888888" w:sz="4"/>
            </w:tcBorders>
            <w:shd w:fill="6C348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Particularite</w:t>
            </w:r>
          </w:p>
        </w:tc>
      </w:tr>
      <w:tr>
        <w:tc>
          <w:tcPr>
            <w:tcW w:type="dxa" w:w="14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Kenya</w:t>
            </w:r>
          </w:p>
        </w:tc>
        <w:tc>
          <w:tcPr>
            <w:tcW w:type="dxa" w:w="16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M-Pesa (Safaricom)</w:t>
            </w:r>
          </w:p>
        </w:tc>
        <w:tc>
          <w:tcPr>
            <w:tcW w:type="dxa" w:w="15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34M (65% adultes)</w:t>
            </w:r>
          </w:p>
        </w:tc>
        <w:tc>
          <w:tcPr>
            <w:tcW w:type="dxa" w:w="13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450</w:t>
            </w:r>
          </w:p>
        </w:tc>
        <w:tc>
          <w:tcPr>
            <w:tcW w:type="dxa" w:w="8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50%</w:t>
            </w:r>
          </w:p>
        </w:tc>
        <w:tc>
          <w:tcPr>
            <w:tcW w:type="dxa" w:w="21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Pionnier, modele de reference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Ghana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MTN + Telecel</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25M (80% adultes)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42</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22%</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Interoperabilite totale depuis 2018</w:t>
            </w:r>
          </w:p>
        </w:tc>
      </w:tr>
      <w:tr>
        <w:tc>
          <w:tcPr>
            <w:tcW w:type="dxa" w:w="14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Cote d'Ivoire</w:t>
            </w:r>
          </w:p>
        </w:tc>
        <w:tc>
          <w:tcPr>
            <w:tcW w:type="dxa" w:w="16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Orange + MTN</w:t>
            </w:r>
          </w:p>
        </w:tc>
        <w:tc>
          <w:tcPr>
            <w:tcW w:type="dxa" w:w="15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18M (68% adultes)</w:t>
            </w:r>
          </w:p>
        </w:tc>
        <w:tc>
          <w:tcPr>
            <w:tcW w:type="dxa" w:w="13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38</w:t>
            </w:r>
          </w:p>
        </w:tc>
        <w:tc>
          <w:tcPr>
            <w:tcW w:type="dxa" w:w="8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18%</w:t>
            </w:r>
          </w:p>
        </w:tc>
        <w:tc>
          <w:tcPr>
            <w:tcW w:type="dxa" w:w="21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Hub UEMOA, BRVM connecte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Tanzanie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M-Pesa + Tigo</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30M (55% adultes)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35</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35%</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Forte ruralite, inclusion agricole</w:t>
            </w:r>
          </w:p>
        </w:tc>
      </w:tr>
      <w:tr>
        <w:tc>
          <w:tcPr>
            <w:tcW w:type="dxa" w:w="14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Ouganda</w:t>
            </w:r>
          </w:p>
        </w:tc>
        <w:tc>
          <w:tcPr>
            <w:tcW w:type="dxa" w:w="16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MTN + Airtel</w:t>
            </w:r>
          </w:p>
        </w:tc>
        <w:tc>
          <w:tcPr>
            <w:tcW w:type="dxa" w:w="15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20M (48% adultes)</w:t>
            </w:r>
          </w:p>
        </w:tc>
        <w:tc>
          <w:tcPr>
            <w:tcW w:type="dxa" w:w="13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18</w:t>
            </w:r>
          </w:p>
        </w:tc>
        <w:tc>
          <w:tcPr>
            <w:tcW w:type="dxa" w:w="8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20%</w:t>
            </w:r>
          </w:p>
        </w:tc>
        <w:tc>
          <w:tcPr>
            <w:tcW w:type="dxa" w:w="21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Remittances intra-EAC dominants</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Senegal</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Orange Money + Wave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9M (50% adultes)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12</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8%</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Wave disruption : 0% commission</w:t>
            </w:r>
          </w:p>
        </w:tc>
      </w:tr>
      <w:tr>
        <w:tc>
          <w:tcPr>
            <w:tcW w:type="dxa" w:w="14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Nigeria</w:t>
            </w:r>
          </w:p>
        </w:tc>
        <w:tc>
          <w:tcPr>
            <w:tcW w:type="dxa" w:w="16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OPay + PalmPay</w:t>
            </w:r>
          </w:p>
        </w:tc>
        <w:tc>
          <w:tcPr>
            <w:tcW w:type="dxa" w:w="15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55M (25% adultes)</w:t>
            </w:r>
          </w:p>
        </w:tc>
        <w:tc>
          <w:tcPr>
            <w:tcW w:type="dxa" w:w="13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85</w:t>
            </w:r>
          </w:p>
        </w:tc>
        <w:tc>
          <w:tcPr>
            <w:tcW w:type="dxa" w:w="8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5%</w:t>
            </w:r>
          </w:p>
        </w:tc>
        <w:tc>
          <w:tcPr>
            <w:tcW w:type="dxa" w:w="21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PSSP licenses, potentiel enorme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Maroc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CIH + Wafacash</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4M (10% adultes)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8</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2%</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Bancarisation elevee, adoption lente</w:t>
            </w:r>
          </w:p>
        </w:tc>
      </w:tr>
    </w:tbl>
    <w:p>
      <w:pPr>
        <w:spacing w:after="120" w:before="80" w:line="276"/>
        <w:jc w:val="center"/>
      </w:pPr>
      <w:r>
        <w:rPr>
          <w:rFonts w:ascii="Arial" w:cs="Arial" w:eastAsia="Arial" w:hAnsi="Arial"/>
          <w:b w:val="false"/>
          <w:bCs w:val="false"/>
          <w:i/>
          <w:iCs/>
          <w:color w:val="444444"/>
          <w:sz w:val="17"/>
          <w:szCs w:val="17"/>
        </w:rPr>
        <w:t xml:space="preserve">Tableau 6 — Principaux marches de mobile money africains en 2024 (Source : GSMA 2024)</w:t>
      </w:r>
    </w:p>
    <w:p>
      <w:pPr>
        <w:spacing w:after="80" w:before="0"/>
      </w:pPr>
      <w:r>
        <w:rPr>
          <w:rFonts w:ascii="Arial" w:cs="Arial" w:eastAsia="Arial" w:hAnsi="Arial"/>
          <w:b w:val="false"/>
          <w:bCs w:val="false"/>
          <w:i w:val="false"/>
          <w:iCs w:val="false"/>
          <w:color w:val="000000"/>
          <w:sz w:val="20"/>
          <w:szCs w:val="20"/>
        </w:rPr>
        <w:t xml:space="preserve"/>
      </w:r>
    </w:p>
    <w:p>
      <w:pPr>
        <w:pStyle w:val="Heading2"/>
        <w:spacing w:after="140" w:before="280"/>
      </w:pPr>
      <w:r>
        <w:rPr>
          <w:rFonts w:ascii="Arial" w:cs="Arial" w:eastAsia="Arial" w:hAnsi="Arial"/>
          <w:b/>
          <w:bCs/>
          <w:color w:val="1A3A5C"/>
          <w:sz w:val="28"/>
          <w:szCs w:val="28"/>
        </w:rPr>
        <w:t xml:space="preserve">5.2 Ecosysteme fintech : startups, investissements, regulation</w:t>
      </w:r>
    </w:p>
    <w:p>
      <w:pPr>
        <w:spacing w:after="160" w:before="0" w:line="316"/>
        <w:jc w:val="left"/>
      </w:pPr>
      <w:r>
        <w:rPr>
          <w:rFonts w:ascii="Arial" w:cs="Arial" w:eastAsia="Arial" w:hAnsi="Arial"/>
          <w:b w:val="false"/>
          <w:bCs w:val="false"/>
          <w:i w:val="false"/>
          <w:iCs w:val="false"/>
          <w:color w:val="444444"/>
          <w:sz w:val="20"/>
          <w:szCs w:val="20"/>
        </w:rPr>
        <w:t xml:space="preserve">L'ecosysteme fintech africain a connu une croissance explosive entre 2015 et 2022, avant une correction en 2023-2024 liee au resserrement des conditions de financement mondiales. Les investissements dans les fintech africaines ont atteint leur apogee en 2021 ($4,8 Mrd selon Partech Africa), avant de retracer a $2,9 Mrd en 2022 et $1,6 Mrd en 2023.</w:t>
      </w:r>
    </w:p>
    <w:p>
      <w:pPr>
        <w:spacing w:after="160" w:before="0" w:line="316"/>
        <w:jc w:val="left"/>
      </w:pPr>
      <w:r>
        <w:rPr>
          <w:rFonts w:ascii="Arial" w:cs="Arial" w:eastAsia="Arial" w:hAnsi="Arial"/>
          <w:b w:val="false"/>
          <w:bCs w:val="false"/>
          <w:i w:val="false"/>
          <w:iCs w:val="false"/>
          <w:color w:val="444444"/>
          <w:sz w:val="20"/>
          <w:szCs w:val="20"/>
        </w:rPr>
        <w:t xml:space="preserve">Les quatre hubs fintech dominants sont : Lagos (Nigeria, 280+ startups), Nairobi (Kenya, 220+), Le Caire (Egypte, 180+) et Cape Town (Afrique du Sud, 190+). Ces ecosystemes concentrent 75% du capital-risque africain dans le secteur. Les sous-secteurs les plus actifs : paiements (35% des deals), lending (25%), insurtech (12%), agrifinance (10%), wealthtech (8%).</w:t>
      </w:r>
    </w:p>
    <w:p>
      <w:pPr>
        <w:spacing w:after="80" w:before="0"/>
      </w:pPr>
      <w:r>
        <w:rPr>
          <w:rFonts w:ascii="Arial" w:cs="Arial" w:eastAsia="Arial" w:hAnsi="Arial"/>
          <w:b w:val="false"/>
          <w:bCs w:val="false"/>
          <w:i w:val="false"/>
          <w:iCs w:val="false"/>
          <w:color w:val="000000"/>
          <w:sz w:val="20"/>
          <w:szCs w:val="20"/>
        </w:rPr>
        <w:t xml:space="preserve"/>
      </w:r>
    </w:p>
    <w:p>
      <w:pPr>
        <w:pStyle w:val="Heading2"/>
        <w:spacing w:after="140" w:before="280"/>
      </w:pPr>
      <w:r>
        <w:rPr>
          <w:rFonts w:ascii="Arial" w:cs="Arial" w:eastAsia="Arial" w:hAnsi="Arial"/>
          <w:b/>
          <w:bCs/>
          <w:color w:val="1A3A5C"/>
          <w:sz w:val="28"/>
          <w:szCs w:val="28"/>
        </w:rPr>
        <w:t xml:space="preserve">5.3 Paiements numeriques et inclusion financiere digitale</w:t>
      </w:r>
    </w:p>
    <w:p>
      <w:pPr>
        <w:spacing w:after="160" w:before="0" w:line="316"/>
        <w:jc w:val="left"/>
      </w:pPr>
      <w:r>
        <w:rPr>
          <w:rFonts w:ascii="Arial" w:cs="Arial" w:eastAsia="Arial" w:hAnsi="Arial"/>
          <w:b w:val="false"/>
          <w:bCs w:val="false"/>
          <w:i w:val="false"/>
          <w:iCs w:val="false"/>
          <w:color w:val="444444"/>
          <w:sz w:val="20"/>
          <w:szCs w:val="20"/>
        </w:rPr>
        <w:t xml:space="preserve">La correlation entre penetration du mobile money et reduction de la pauvrete a ete documentee empiriquement par plusieurs etudes. L'etude de Jack &amp; Suri (2016, American Economic Review) estimait que M-Pesa avait permis a 2% des menages kenyans de sortir de la pauvrete extreme entre 2008 et 2014. Des resultats similaires ont ete retrouves en Ouganda (Munyegera &amp; Matsumoto, 2016) et au Ghana (Murendo &amp; Mutsonziwa, 2017).</w:t>
      </w:r>
    </w:p>
    <w:p>
      <w:pPr>
        <w:spacing w:after="160" w:before="0" w:line="316"/>
        <w:jc w:val="left"/>
      </w:pPr>
      <w:r>
        <w:rPr>
          <w:rFonts w:ascii="Arial" w:cs="Arial" w:eastAsia="Arial" w:hAnsi="Arial"/>
          <w:b w:val="false"/>
          <w:bCs w:val="false"/>
          <w:i w:val="false"/>
          <w:iCs w:val="false"/>
          <w:color w:val="444444"/>
          <w:sz w:val="20"/>
          <w:szCs w:val="20"/>
        </w:rPr>
        <w:t xml:space="preserve">Le mecanisme de transmission opere principalement via : (i) reduction des couts de transaction (economies de transport, eliminations des intermediaires), (ii) amelioration des mecanismes de partage des risques entre menages, (iii) facilitation de l'epargne formelle et informelle, et (iv) acces aux micro-credits adosses a l'historique de transactions (credit scoring alternatif).</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6608" w:sz="8"/>
              <w:left w:val="single" w:color="7D6608" w:sz="8"/>
              <w:bottom w:val="single" w:color="7D6608" w:sz="8"/>
              <w:right w:val="single" w:color="7D6608" w:sz="8"/>
            </w:tcBorders>
            <w:shd w:fill="7D6608" w:val="clear"/>
            <w:tcMar>
              <w:top w:type="dxa" w:w="160"/>
              <w:left w:type="dxa" w:w="240"/>
              <w:bottom w:type="dxa" w:w="160"/>
              <w:right w:type="dxa" w:w="240"/>
            </w:tcMar>
          </w:tcPr>
          <w:p>
            <w:pPr>
              <w:spacing w:after="0" w:before="0"/>
              <w:jc w:val="left"/>
            </w:pPr>
            <w:r>
              <w:rPr>
                <w:rFonts w:ascii="Arial" w:cs="Arial" w:eastAsia="Arial" w:hAnsi="Arial"/>
                <w:b/>
                <w:bCs/>
                <w:i w:val="false"/>
                <w:iCs w:val="false"/>
                <w:color w:val="FFFFFF"/>
                <w:sz w:val="30"/>
                <w:szCs w:val="30"/>
              </w:rPr>
              <w:t xml:space="preserve">VI  VI. MARCHES FINANCIERS AFRICAINS</w:t>
            </w:r>
          </w:p>
        </w:tc>
      </w:tr>
    </w:tbl>
    <w:p>
      <w:pPr>
        <w:spacing w:after="120" w:before="0"/>
      </w:pPr>
      <w:r>
        <w:rPr>
          <w:rFonts w:ascii="Arial" w:cs="Arial" w:eastAsia="Arial" w:hAnsi="Arial"/>
          <w:b w:val="false"/>
          <w:bCs w:val="false"/>
          <w:i w:val="false"/>
          <w:iCs w:val="false"/>
          <w:color w:val="000000"/>
          <w:sz w:val="20"/>
          <w:szCs w:val="20"/>
        </w:rPr>
        <w:t xml:space="preserve"/>
      </w:r>
    </w:p>
    <w:p>
      <w:pPr>
        <w:pStyle w:val="Heading2"/>
        <w:spacing w:after="140" w:before="280"/>
      </w:pPr>
      <w:r>
        <w:rPr>
          <w:rFonts w:ascii="Arial" w:cs="Arial" w:eastAsia="Arial" w:hAnsi="Arial"/>
          <w:b/>
          <w:bCs/>
          <w:color w:val="1A3A5C"/>
          <w:sz w:val="28"/>
          <w:szCs w:val="28"/>
        </w:rPr>
        <w:t xml:space="preserve">6.1 Bourses africaines : capitalisation et liquidite</w:t>
      </w:r>
    </w:p>
    <w:p>
      <w:pPr>
        <w:spacing w:after="160" w:before="0" w:line="316"/>
        <w:jc w:val="left"/>
      </w:pPr>
      <w:r>
        <w:rPr>
          <w:rFonts w:ascii="Arial" w:cs="Arial" w:eastAsia="Arial" w:hAnsi="Arial"/>
          <w:b w:val="false"/>
          <w:bCs w:val="false"/>
          <w:i w:val="false"/>
          <w:iCs w:val="false"/>
          <w:color w:val="444444"/>
          <w:sz w:val="20"/>
          <w:szCs w:val="20"/>
        </w:rPr>
        <w:t xml:space="preserve">L'Afrique compte 29 bourses de valeurs actives, dont la taille varie de la Johannesburg Stock Exchange (JSE, $1 050 Mrd de capitalisation en 2024, 44eme mondiale) a des places emergentes comme la Bourse Regionale des Valeurs Mobilieres (BRVM, Abidjan, $16 Mrd) ou la Rwanda Stock Exchange ($4 Mrd). La fragmentation des marches africains limite les economies d'echelle et la liquidite, freinant l'acces des entreprises au financement par les marches.</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600"/>
        <w:gridCol w:w="1500"/>
        <w:gridCol w:w="1300"/>
        <w:gridCol w:w="2060"/>
      </w:tblGrid>
      <w:tr>
        <w:trPr>
          <w:tblHeader/>
        </w:trPr>
        <w:tc>
          <w:tcPr>
            <w:tcW w:type="dxa" w:w="900"/>
            <w:tcBorders>
              <w:top w:val="single" w:color="888888" w:sz="4"/>
              <w:left w:val="single" w:color="888888" w:sz="4"/>
              <w:bottom w:val="single" w:color="888888" w:sz="4"/>
              <w:right w:val="single" w:color="888888" w:sz="4"/>
            </w:tcBorders>
            <w:shd w:fill="7D660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Bourse</w:t>
            </w:r>
          </w:p>
        </w:tc>
        <w:tc>
          <w:tcPr>
            <w:tcW w:type="dxa" w:w="1500"/>
            <w:tcBorders>
              <w:top w:val="single" w:color="888888" w:sz="4"/>
              <w:left w:val="single" w:color="888888" w:sz="4"/>
              <w:bottom w:val="single" w:color="888888" w:sz="4"/>
              <w:right w:val="single" w:color="888888" w:sz="4"/>
            </w:tcBorders>
            <w:shd w:fill="7D660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Pays / Region</w:t>
            </w:r>
          </w:p>
        </w:tc>
        <w:tc>
          <w:tcPr>
            <w:tcW w:type="dxa" w:w="1600"/>
            <w:tcBorders>
              <w:top w:val="single" w:color="888888" w:sz="4"/>
              <w:left w:val="single" w:color="888888" w:sz="4"/>
              <w:bottom w:val="single" w:color="888888" w:sz="4"/>
              <w:right w:val="single" w:color="888888" w:sz="4"/>
            </w:tcBorders>
            <w:shd w:fill="7D660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Capitalisation 2024</w:t>
            </w:r>
          </w:p>
        </w:tc>
        <w:tc>
          <w:tcPr>
            <w:tcW w:type="dxa" w:w="1500"/>
            <w:tcBorders>
              <w:top w:val="single" w:color="888888" w:sz="4"/>
              <w:left w:val="single" w:color="888888" w:sz="4"/>
              <w:bottom w:val="single" w:color="888888" w:sz="4"/>
              <w:right w:val="single" w:color="888888" w:sz="4"/>
            </w:tcBorders>
            <w:shd w:fill="7D660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Nb societes cotees</w:t>
            </w:r>
          </w:p>
        </w:tc>
        <w:tc>
          <w:tcPr>
            <w:tcW w:type="dxa" w:w="1300"/>
            <w:tcBorders>
              <w:top w:val="single" w:color="888888" w:sz="4"/>
              <w:left w:val="single" w:color="888888" w:sz="4"/>
              <w:bottom w:val="single" w:color="888888" w:sz="4"/>
              <w:right w:val="single" w:color="888888" w:sz="4"/>
            </w:tcBorders>
            <w:shd w:fill="7D660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Volume quotidien</w:t>
            </w:r>
          </w:p>
        </w:tc>
        <w:tc>
          <w:tcPr>
            <w:tcW w:type="dxa" w:w="2060"/>
            <w:tcBorders>
              <w:top w:val="single" w:color="888888" w:sz="4"/>
              <w:left w:val="single" w:color="888888" w:sz="4"/>
              <w:bottom w:val="single" w:color="888888" w:sz="4"/>
              <w:right w:val="single" w:color="888888" w:sz="4"/>
            </w:tcBorders>
            <w:shd w:fill="7D660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Indice principal</w:t>
            </w:r>
          </w:p>
        </w:tc>
      </w:tr>
      <w:tr>
        <w:tc>
          <w:tcPr>
            <w:tcW w:type="dxa" w:w="9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JSE</w:t>
            </w:r>
          </w:p>
        </w:tc>
        <w:tc>
          <w:tcPr>
            <w:tcW w:type="dxa" w:w="15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Afrique du Sud</w:t>
            </w:r>
          </w:p>
        </w:tc>
        <w:tc>
          <w:tcPr>
            <w:tcW w:type="dxa" w:w="16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$1 050 Mrd</w:t>
            </w:r>
          </w:p>
        </w:tc>
        <w:tc>
          <w:tcPr>
            <w:tcW w:type="dxa" w:w="15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350</w:t>
            </w:r>
          </w:p>
        </w:tc>
        <w:tc>
          <w:tcPr>
            <w:tcW w:type="dxa" w:w="13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$1,8 Mrd/j</w:t>
            </w:r>
          </w:p>
        </w:tc>
        <w:tc>
          <w:tcPr>
            <w:tcW w:type="dxa" w:w="20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JSE All Share Index</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EGX</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Egypte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$58 Mrd</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240</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$180M/j</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EGX 30</w:t>
            </w:r>
          </w:p>
        </w:tc>
      </w:tr>
      <w:tr>
        <w:tc>
          <w:tcPr>
            <w:tcW w:type="dxa" w:w="9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NSE</w:t>
            </w:r>
          </w:p>
        </w:tc>
        <w:tc>
          <w:tcPr>
            <w:tcW w:type="dxa" w:w="15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Nigeria</w:t>
            </w:r>
          </w:p>
        </w:tc>
        <w:tc>
          <w:tcPr>
            <w:tcW w:type="dxa" w:w="16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$42 Mrd</w:t>
            </w:r>
          </w:p>
        </w:tc>
        <w:tc>
          <w:tcPr>
            <w:tcW w:type="dxa" w:w="15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155</w:t>
            </w:r>
          </w:p>
        </w:tc>
        <w:tc>
          <w:tcPr>
            <w:tcW w:type="dxa" w:w="13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$35M/j</w:t>
            </w:r>
          </w:p>
        </w:tc>
        <w:tc>
          <w:tcPr>
            <w:tcW w:type="dxa" w:w="20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NGX All Share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NSE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Kenya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$22 Mrd</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65</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$12M/j</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NSE 20</w:t>
            </w:r>
          </w:p>
        </w:tc>
      </w:tr>
      <w:tr>
        <w:tc>
          <w:tcPr>
            <w:tcW w:type="dxa" w:w="9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BRVM</w:t>
            </w:r>
          </w:p>
        </w:tc>
        <w:tc>
          <w:tcPr>
            <w:tcW w:type="dxa" w:w="15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UEMOA (8 pays)</w:t>
            </w:r>
          </w:p>
        </w:tc>
        <w:tc>
          <w:tcPr>
            <w:tcW w:type="dxa" w:w="16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$16 Mrd</w:t>
            </w:r>
          </w:p>
        </w:tc>
        <w:tc>
          <w:tcPr>
            <w:tcW w:type="dxa" w:w="15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48</w:t>
            </w:r>
          </w:p>
        </w:tc>
        <w:tc>
          <w:tcPr>
            <w:tcW w:type="dxa" w:w="13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$5M/j</w:t>
            </w:r>
          </w:p>
        </w:tc>
        <w:tc>
          <w:tcPr>
            <w:tcW w:type="dxa" w:w="20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BRVM Composite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GSE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Ghana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$12 Mrd</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36</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$3M/j</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GSE Composite</w:t>
            </w:r>
          </w:p>
        </w:tc>
      </w:tr>
      <w:tr>
        <w:tc>
          <w:tcPr>
            <w:tcW w:type="dxa" w:w="9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BVC</w:t>
            </w:r>
          </w:p>
        </w:tc>
        <w:tc>
          <w:tcPr>
            <w:tcW w:type="dxa" w:w="15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Maroc</w:t>
            </w:r>
          </w:p>
        </w:tc>
        <w:tc>
          <w:tcPr>
            <w:tcW w:type="dxa" w:w="16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$65 Mrd</w:t>
            </w:r>
          </w:p>
        </w:tc>
        <w:tc>
          <w:tcPr>
            <w:tcW w:type="dxa" w:w="15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75</w:t>
            </w:r>
          </w:p>
        </w:tc>
        <w:tc>
          <w:tcPr>
            <w:tcW w:type="dxa" w:w="13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$95M/j</w:t>
            </w:r>
          </w:p>
        </w:tc>
        <w:tc>
          <w:tcPr>
            <w:tcW w:type="dxa" w:w="20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MASI</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BVMT</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Tunisie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$9 Mrd</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82</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$8M/j</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Tunindex</w:t>
            </w:r>
          </w:p>
        </w:tc>
      </w:tr>
      <w:tr>
        <w:tc>
          <w:tcPr>
            <w:tcW w:type="dxa" w:w="9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SEM</w:t>
            </w:r>
          </w:p>
        </w:tc>
        <w:tc>
          <w:tcPr>
            <w:tcW w:type="dxa" w:w="15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Maurice</w:t>
            </w:r>
          </w:p>
        </w:tc>
        <w:tc>
          <w:tcPr>
            <w:tcW w:type="dxa" w:w="16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$11 Mrd</w:t>
            </w:r>
          </w:p>
        </w:tc>
        <w:tc>
          <w:tcPr>
            <w:tcW w:type="dxa" w:w="15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89</w:t>
            </w:r>
          </w:p>
        </w:tc>
        <w:tc>
          <w:tcPr>
            <w:tcW w:type="dxa" w:w="13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$5M/j</w:t>
            </w:r>
          </w:p>
        </w:tc>
        <w:tc>
          <w:tcPr>
            <w:tcW w:type="dxa" w:w="20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SEMDEX</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ZSE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Zimbabwe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$6 Mrd</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60</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$2M/j</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ZSE All Share</w:t>
            </w:r>
          </w:p>
        </w:tc>
      </w:tr>
    </w:tbl>
    <w:p>
      <w:pPr>
        <w:spacing w:after="120" w:before="80" w:line="276"/>
        <w:jc w:val="center"/>
      </w:pPr>
      <w:r>
        <w:rPr>
          <w:rFonts w:ascii="Arial" w:cs="Arial" w:eastAsia="Arial" w:hAnsi="Arial"/>
          <w:b w:val="false"/>
          <w:bCs w:val="false"/>
          <w:i/>
          <w:iCs/>
          <w:color w:val="444444"/>
          <w:sz w:val="17"/>
          <w:szCs w:val="17"/>
        </w:rPr>
        <w:t xml:space="preserve">Tableau 7 — Principales bourses africaines (2024) — Source : World Federation of Exchanges, BAfD</w:t>
      </w:r>
    </w:p>
    <w:p>
      <w:pPr>
        <w:spacing w:after="80" w:before="0"/>
      </w:pPr>
      <w:r>
        <w:rPr>
          <w:rFonts w:ascii="Arial" w:cs="Arial" w:eastAsia="Arial" w:hAnsi="Arial"/>
          <w:b w:val="false"/>
          <w:bCs w:val="false"/>
          <w:i w:val="false"/>
          <w:iCs w:val="false"/>
          <w:color w:val="000000"/>
          <w:sz w:val="20"/>
          <w:szCs w:val="20"/>
        </w:rPr>
        <w:t xml:space="preserve"/>
      </w:r>
    </w:p>
    <w:p>
      <w:pPr>
        <w:pStyle w:val="Heading2"/>
        <w:spacing w:after="140" w:before="280"/>
      </w:pPr>
      <w:r>
        <w:rPr>
          <w:rFonts w:ascii="Arial" w:cs="Arial" w:eastAsia="Arial" w:hAnsi="Arial"/>
          <w:b/>
          <w:bCs/>
          <w:color w:val="1A3A5C"/>
          <w:sz w:val="28"/>
          <w:szCs w:val="28"/>
        </w:rPr>
        <w:t xml:space="preserve">6.2 Obligations souveraines et Eurobonds africains</w:t>
      </w:r>
    </w:p>
    <w:p>
      <w:pPr>
        <w:spacing w:after="160" w:before="0" w:line="316"/>
        <w:jc w:val="left"/>
      </w:pPr>
      <w:r>
        <w:rPr>
          <w:rFonts w:ascii="Arial" w:cs="Arial" w:eastAsia="Arial" w:hAnsi="Arial"/>
          <w:b w:val="false"/>
          <w:bCs w:val="false"/>
          <w:i w:val="false"/>
          <w:iCs w:val="false"/>
          <w:color w:val="444444"/>
          <w:sz w:val="20"/>
          <w:szCs w:val="20"/>
        </w:rPr>
        <w:t xml:space="preserve">Le marche des Eurobonds africains a connu une expansion spectaculaire entre 2010 et 2021, permettant a des pays comme le Ghana (2007, premier pays africain subsaharien), le Senegal, la Cote d'Ivoire, le Kenya et le Rwanda d'acceder aux marches financiers internationaux. Le volume cumule d'Eurobonds africains a depasse $230 Mrd en 2024, dont $85 Mrd concentres sur l'Afrique du Sud.</w:t>
      </w:r>
    </w:p>
    <w:p>
      <w:pPr>
        <w:spacing w:after="160" w:before="0" w:line="316"/>
        <w:jc w:val="left"/>
      </w:pPr>
      <w:r>
        <w:rPr>
          <w:rFonts w:ascii="Arial" w:cs="Arial" w:eastAsia="Arial" w:hAnsi="Arial"/>
          <w:b w:val="false"/>
          <w:bCs w:val="false"/>
          <w:i w:val="false"/>
          <w:iCs w:val="false"/>
          <w:color w:val="444444"/>
          <w:sz w:val="20"/>
          <w:szCs w:val="20"/>
        </w:rPr>
        <w:t xml:space="preserve">La crise des dettes souveraines 2022-2024 (hausse des taux Fed, apreciation du dollar) a considerablement rencheri le cout de financement africain : les spreads souverains ont bondi de 350 pb en moyenne a plus de 800 pb pour les pays les plus vulnerables. Le Ghana (defaut technique 2022-2023), la Zambie (defaut 2020, restructuration 2023) et l'Ethiopie (defaut 2023) illustrent les vulnerabilites du modele de financement par les marches pour des economies a faible recette fiscale.</w:t>
      </w:r>
    </w:p>
    <w:p>
      <w:pPr>
        <w:spacing w:after="80" w:before="0"/>
      </w:pPr>
      <w:r>
        <w:rPr>
          <w:rFonts w:ascii="Arial" w:cs="Arial" w:eastAsia="Arial" w:hAnsi="Arial"/>
          <w:b w:val="false"/>
          <w:bCs w:val="false"/>
          <w:i w:val="false"/>
          <w:iCs w:val="false"/>
          <w:color w:val="000000"/>
          <w:sz w:val="20"/>
          <w:szCs w:val="20"/>
        </w:rPr>
        <w:t xml:space="preserve"/>
      </w:r>
    </w:p>
    <w:p>
      <w:pPr>
        <w:pStyle w:val="Heading2"/>
        <w:spacing w:after="140" w:before="280"/>
      </w:pPr>
      <w:r>
        <w:rPr>
          <w:rFonts w:ascii="Arial" w:cs="Arial" w:eastAsia="Arial" w:hAnsi="Arial"/>
          <w:b/>
          <w:bCs/>
          <w:color w:val="1A3A5C"/>
          <w:sz w:val="28"/>
          <w:szCs w:val="28"/>
        </w:rPr>
        <w:t xml:space="preserve">6.3 Notation credit et spreads souverains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6608" w:sz="8"/>
              <w:left w:val="single" w:color="7D6608" w:sz="8"/>
              <w:bottom w:val="single" w:color="7D6608" w:sz="8"/>
              <w:right w:val="single" w:color="7D6608" w:sz="8"/>
            </w:tcBorders>
            <w:shd w:fill="2E6DA4"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0"/>
                <w:szCs w:val="20"/>
              </w:rPr>
              <w:t xml:space="preserve">ANALYSE : LA PENALITE DE NOTATION AFRICAINE</w:t>
            </w:r>
          </w:p>
        </w:tc>
      </w:tr>
      <w:tr>
        <w:tc>
          <w:tcPr>
            <w:tcW w:type="dxa" w:w="9360"/>
            <w:tcBorders>
              <w:top w:val="single" w:color="7D6608" w:sz="8"/>
              <w:left w:val="single" w:color="7D6608" w:sz="8"/>
              <w:bottom w:val="single" w:color="7D6608" w:sz="8"/>
              <w:right w:val="single" w:color="7D6608" w:sz="8"/>
            </w:tcBorders>
            <w:shd w:fill="FEF9E7" w:val="clear"/>
            <w:tcMar>
              <w:top w:type="dxa" w:w="120"/>
              <w:left w:type="dxa" w:w="160"/>
              <w:bottom w:type="dxa" w:w="120"/>
              <w:right w:type="dxa" w:w="160"/>
            </w:tcMar>
          </w:tcPr>
          <w:p>
            <w:pPr>
              <w:spacing w:after="40" w:before="40"/>
            </w:pPr>
            <w:r>
              <w:rPr>
                <w:rFonts w:ascii="Arial" w:cs="Arial" w:eastAsia="Arial" w:hAnsi="Arial"/>
                <w:b w:val="false"/>
                <w:bCs w:val="false"/>
                <w:i w:val="false"/>
                <w:iCs w:val="false"/>
                <w:color w:val="444444"/>
                <w:sz w:val="19"/>
                <w:szCs w:val="19"/>
              </w:rPr>
              <w:t xml:space="preserve">Les 28 pays africains notes par S&amp;P, Moody's ou Fitch en 2024 se situent majoritairement dans la categorie speculative (BB- a CCC). Seules l'Afrique du Sud (BB-), le Botswana (BBB+) et Maurice (Baa2/Moody's) maintiennent des notations proches de l'investment grade. Cette concentration dans le spectre speculatif implique un 'premium de risque africain' systematique de 200 a 600 pb qui majore le cout de financement sur les marches internationaux.</w:t>
            </w:r>
          </w:p>
          <w:p>
            <w:pPr>
              <w:spacing w:after="40" w:before="40"/>
            </w:pPr>
            <w:r>
              <w:rPr>
                <w:rFonts w:ascii="Arial" w:cs="Arial" w:eastAsia="Arial" w:hAnsi="Arial"/>
                <w:b w:val="false"/>
                <w:bCs w:val="false"/>
                <w:i w:val="false"/>
                <w:iCs w:val="false"/>
                <w:color w:val="444444"/>
                <w:sz w:val="19"/>
                <w:szCs w:val="19"/>
              </w:rPr>
              <w:t xml:space="preserve">Ce premium n'est pas entierement justifie par les fondamentaux : une etude CNUCED (2023) montre que les defauts africains (taux historique 1970-2023 : 1,8%/an) sont comparables aux defauts des economies similaires d'Amerique latine (1,9%) ou d'Asie du Sud-Est (1,7%), mais que les notations africaines sont systematiquement inferieures de 1 a 2 crans a perimetre comparable. Cette 'penalite de notation' est estimee coutera $74 Mrd supplementaires aux pays africains entre 2020 et 2030 (BAfD, 2024).</w:t>
            </w:r>
          </w:p>
          <w:p>
            <w:pPr>
              <w:spacing w:after="40" w:before="40"/>
            </w:pPr>
            <w:r>
              <w:rPr>
                <w:rFonts w:ascii="Arial" w:cs="Arial" w:eastAsia="Arial" w:hAnsi="Arial"/>
                <w:b w:val="false"/>
                <w:bCs w:val="false"/>
                <w:i w:val="false"/>
                <w:iCs w:val="false"/>
                <w:color w:val="444444"/>
                <w:sz w:val="19"/>
                <w:szCs w:val="19"/>
              </w:rPr>
              <w:t xml:space="preserve">Application WebGIS : L'onglet 'Marches Financiers' permet de construire des visualisations de spreads souverains par pays sur carte africaine, avec timeline 2000-2024 et indicateurs de risque colores par seuils (&lt; 300 pb = vert, 300-600 = orange, &gt; 600 pb = rouge).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7A65" w:sz="8"/>
              <w:left w:val="single" w:color="117A65" w:sz="8"/>
              <w:bottom w:val="single" w:color="117A65" w:sz="8"/>
              <w:right w:val="single" w:color="117A65" w:sz="8"/>
            </w:tcBorders>
            <w:shd w:fill="117A65" w:val="clear"/>
            <w:tcMar>
              <w:top w:type="dxa" w:w="160"/>
              <w:left w:type="dxa" w:w="240"/>
              <w:bottom w:type="dxa" w:w="160"/>
              <w:right w:type="dxa" w:w="240"/>
            </w:tcMar>
          </w:tcPr>
          <w:p>
            <w:pPr>
              <w:spacing w:after="0" w:before="0"/>
              <w:jc w:val="left"/>
            </w:pPr>
            <w:r>
              <w:rPr>
                <w:rFonts w:ascii="Arial" w:cs="Arial" w:eastAsia="Arial" w:hAnsi="Arial"/>
                <w:b/>
                <w:bCs/>
                <w:i w:val="false"/>
                <w:iCs w:val="false"/>
                <w:color w:val="FFFFFF"/>
                <w:sz w:val="30"/>
                <w:szCs w:val="30"/>
              </w:rPr>
              <w:t xml:space="preserve">VII  VII. MICROFINANCE ET INCLUSION FINANCIERE</w:t>
            </w:r>
          </w:p>
        </w:tc>
      </w:tr>
    </w:tbl>
    <w:p>
      <w:pPr>
        <w:spacing w:after="120" w:before="0"/>
      </w:pPr>
      <w:r>
        <w:rPr>
          <w:rFonts w:ascii="Arial" w:cs="Arial" w:eastAsia="Arial" w:hAnsi="Arial"/>
          <w:b w:val="false"/>
          <w:bCs w:val="false"/>
          <w:i w:val="false"/>
          <w:iCs w:val="false"/>
          <w:color w:val="000000"/>
          <w:sz w:val="20"/>
          <w:szCs w:val="20"/>
        </w:rPr>
        <w:t xml:space="preserve"/>
      </w:r>
    </w:p>
    <w:p>
      <w:pPr>
        <w:pStyle w:val="Heading2"/>
        <w:spacing w:after="140" w:before="280"/>
      </w:pPr>
      <w:r>
        <w:rPr>
          <w:rFonts w:ascii="Arial" w:cs="Arial" w:eastAsia="Arial" w:hAnsi="Arial"/>
          <w:b/>
          <w:bCs/>
          <w:color w:val="1A3A5C"/>
          <w:sz w:val="28"/>
          <w:szCs w:val="28"/>
        </w:rPr>
        <w:t xml:space="preserve">7.1 Cartographie des IMF africaines</w:t>
      </w:r>
    </w:p>
    <w:p>
      <w:pPr>
        <w:spacing w:after="160" w:before="0" w:line="316"/>
        <w:jc w:val="left"/>
      </w:pPr>
      <w:r>
        <w:rPr>
          <w:rFonts w:ascii="Arial" w:cs="Arial" w:eastAsia="Arial" w:hAnsi="Arial"/>
          <w:b w:val="false"/>
          <w:bCs w:val="false"/>
          <w:i w:val="false"/>
          <w:iCs w:val="false"/>
          <w:color w:val="444444"/>
          <w:sz w:val="20"/>
          <w:szCs w:val="20"/>
        </w:rPr>
        <w:t xml:space="preserve">La microfinance africaine represente en 2024 un portefeuille cumule de $42 Mrd de credits, servis par plus de 1 200 institutions de microfinance (IMF) actives. L'Afrique subsaharienne concentre 75% des IMF africaines mais seulement 45% du portefeuille, refletant le role dominant du Maroc, de l'Egypte et de la Tunisie dans la microfinance africaine en termes de volumes.</w:t>
      </w:r>
    </w:p>
    <w:p>
      <w:pPr>
        <w:spacing w:after="160" w:before="0" w:line="316"/>
        <w:jc w:val="left"/>
      </w:pPr>
      <w:r>
        <w:rPr>
          <w:rFonts w:ascii="Arial" w:cs="Arial" w:eastAsia="Arial" w:hAnsi="Arial"/>
          <w:b w:val="false"/>
          <w:bCs w:val="false"/>
          <w:i w:val="false"/>
          <w:iCs w:val="false"/>
          <w:color w:val="444444"/>
          <w:sz w:val="20"/>
          <w:szCs w:val="20"/>
        </w:rPr>
        <w:t xml:space="preserve">Les cinq pays a plus forte penetration de microfinance en Afrique sont : (1) Ethiopie (portefeuille $5,2 Mrd, 8,5M clients), (2) Maroc ($4,8 Mrd, 3,2M clients via Al Barid Bank et Attawfiq), (3) Kenya ($3,5 Mrd, via le dispositif SACCO), (4) Egypte ($2,8 Mrd) et (5) Ouganda ($1,4 Mrd). Le Sénégal dispose d'un reseau dense de Systemes Financiers Decentralises (SFD) avec 3,5M de membres pour un encours de $850M.</w:t>
      </w:r>
    </w:p>
    <w:p>
      <w:pPr>
        <w:spacing w:after="80" w:before="0"/>
      </w:pPr>
      <w:r>
        <w:rPr>
          <w:rFonts w:ascii="Arial" w:cs="Arial" w:eastAsia="Arial" w:hAnsi="Arial"/>
          <w:b w:val="false"/>
          <w:bCs w:val="false"/>
          <w:i w:val="false"/>
          <w:iCs w:val="false"/>
          <w:color w:val="000000"/>
          <w:sz w:val="20"/>
          <w:szCs w:val="20"/>
        </w:rPr>
        <w:t xml:space="preserve"/>
      </w:r>
    </w:p>
    <w:p>
      <w:pPr>
        <w:pStyle w:val="Heading2"/>
        <w:spacing w:after="140" w:before="280"/>
      </w:pPr>
      <w:r>
        <w:rPr>
          <w:rFonts w:ascii="Arial" w:cs="Arial" w:eastAsia="Arial" w:hAnsi="Arial"/>
          <w:b/>
          <w:bCs/>
          <w:color w:val="1A3A5C"/>
          <w:sz w:val="28"/>
          <w:szCs w:val="28"/>
        </w:rPr>
        <w:t xml:space="preserve">7.2 Qualite de portefeuille et durabilite institutionnelle</w:t>
      </w:r>
    </w:p>
    <w:p>
      <w:pPr>
        <w:spacing w:after="160" w:before="0" w:line="316"/>
        <w:jc w:val="left"/>
      </w:pPr>
      <w:r>
        <w:rPr>
          <w:rFonts w:ascii="Arial" w:cs="Arial" w:eastAsia="Arial" w:hAnsi="Arial"/>
          <w:b w:val="false"/>
          <w:bCs w:val="false"/>
          <w:i w:val="false"/>
          <w:iCs w:val="false"/>
          <w:color w:val="444444"/>
          <w:sz w:val="20"/>
          <w:szCs w:val="20"/>
        </w:rPr>
        <w:t xml:space="preserve">Le PAR30 (Portfolio at Risk &gt; 30 jours) constitue l'indicateur central de qualite du portefeuille de microfinance. Un PAR30 superieur a 5% est generalement considere comme une alerte, superieur a 10% comme critique. En Afrique, la moyenne est de 8,2% (2024), avec des disparites importantes : Afrique du Nord (5,1%, meilleures pratiques), Afrique orientale (7,8%), Afrique occidentale (9,4%) et Afrique centrale (12,3%).</w:t>
      </w:r>
    </w:p>
    <w:p>
      <w:pPr>
        <w:spacing w:after="160" w:before="0" w:line="316"/>
        <w:jc w:val="left"/>
      </w:pPr>
      <w:r>
        <w:rPr>
          <w:rFonts w:ascii="Arial" w:cs="Arial" w:eastAsia="Arial" w:hAnsi="Arial"/>
          <w:b w:val="false"/>
          <w:bCs w:val="false"/>
          <w:i w:val="false"/>
          <w:iCs w:val="false"/>
          <w:color w:val="444444"/>
          <w:sz w:val="20"/>
          <w:szCs w:val="20"/>
        </w:rPr>
        <w:t xml:space="preserve">L'Autosuffisance Operationnelle (OSS = revenus / charges operationnelles) mesure la viabilite financiere des IMF independamment des subventions. Une OSS &gt; 100% signifie que l'IMF couvre ses couts par ses revenus propres. La moyenne africaine (88%) cache une bimodalite : les grandes IMF reglementees (BRAC Ouganda, Equity Bank Kenya, LAPO Nigeria) ont des OSS de 120-140%, tandis que les petites cooperatives rurales se situent souvent en dessous de 70%, dependant de subventions pour survivre.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8"/>
              <w:bottom w:val="single" w:color="2E6DA4" w:sz="8"/>
              <w:right w:val="single" w:color="2E6DA4" w:sz="8"/>
            </w:tcBorders>
            <w:shd w:fill="2E6DA4" w:val="clear"/>
            <w:tcMar>
              <w:top w:type="dxa" w:w="160"/>
              <w:left w:type="dxa" w:w="240"/>
              <w:bottom w:type="dxa" w:w="160"/>
              <w:right w:type="dxa" w:w="240"/>
            </w:tcMar>
          </w:tcPr>
          <w:p>
            <w:pPr>
              <w:spacing w:after="0" w:before="0"/>
              <w:jc w:val="left"/>
            </w:pPr>
            <w:r>
              <w:rPr>
                <w:rFonts w:ascii="Arial" w:cs="Arial" w:eastAsia="Arial" w:hAnsi="Arial"/>
                <w:b/>
                <w:bCs/>
                <w:i w:val="false"/>
                <w:iCs w:val="false"/>
                <w:color w:val="FFFFFF"/>
                <w:sz w:val="30"/>
                <w:szCs w:val="30"/>
              </w:rPr>
              <w:t xml:space="preserve">VIII  VIII. ANALYSES QUANTITATIVES AVANCEES</w:t>
            </w:r>
          </w:p>
        </w:tc>
      </w:tr>
    </w:tbl>
    <w:p>
      <w:pPr>
        <w:spacing w:after="120" w:before="0"/>
      </w:pPr>
      <w:r>
        <w:rPr>
          <w:rFonts w:ascii="Arial" w:cs="Arial" w:eastAsia="Arial" w:hAnsi="Arial"/>
          <w:b w:val="false"/>
          <w:bCs w:val="false"/>
          <w:i w:val="false"/>
          <w:iCs w:val="false"/>
          <w:color w:val="000000"/>
          <w:sz w:val="20"/>
          <w:szCs w:val="20"/>
        </w:rPr>
        <w:t xml:space="preserve"/>
      </w:r>
    </w:p>
    <w:p>
      <w:pPr>
        <w:pStyle w:val="Heading2"/>
        <w:spacing w:after="140" w:before="280"/>
      </w:pPr>
      <w:r>
        <w:rPr>
          <w:rFonts w:ascii="Arial" w:cs="Arial" w:eastAsia="Arial" w:hAnsi="Arial"/>
          <w:b/>
          <w:bCs/>
          <w:color w:val="1A3A5C"/>
          <w:sz w:val="28"/>
          <w:szCs w:val="28"/>
        </w:rPr>
        <w:t xml:space="preserve">8.1 Analyse de panel data : effets fixes et aleatoires</w:t>
      </w:r>
    </w:p>
    <w:p>
      <w:pPr>
        <w:spacing w:after="160" w:before="0" w:line="316"/>
        <w:jc w:val="left"/>
      </w:pPr>
      <w:r>
        <w:rPr>
          <w:rFonts w:ascii="Arial" w:cs="Arial" w:eastAsia="Arial" w:hAnsi="Arial"/>
          <w:b w:val="false"/>
          <w:bCs w:val="false"/>
          <w:i w:val="false"/>
          <w:iCs w:val="false"/>
          <w:color w:val="444444"/>
          <w:sz w:val="20"/>
          <w:szCs w:val="20"/>
        </w:rPr>
        <w:t xml:space="preserve">L'exploitation optimale de la base Africa Finance Database passe par des modeles de regression sur donnees de panel (54 pays x 25 ans = 1 275 observations annuelles). Ces modeles permettent de controler l'heterogeneite non observee entre pays et d'isoler les effets causaux des variables d'interet.</w:t>
      </w:r>
    </w:p>
    <w:p>
      <w:pPr>
        <w:spacing w:after="80" w:before="0"/>
      </w:pPr>
      <w:r>
        <w:rPr>
          <w:rFonts w:ascii="Arial" w:cs="Arial" w:eastAsia="Arial" w:hAnsi="Arial"/>
          <w:b w:val="false"/>
          <w:bCs w:val="false"/>
          <w:i w:val="false"/>
          <w:iCs w:val="false"/>
          <w:color w:val="000000"/>
          <w:sz w:val="20"/>
          <w:szCs w:val="20"/>
        </w:rPr>
        <w:t xml:space="preserve"/>
      </w:r>
    </w:p>
    <w:p>
      <w:pPr>
        <w:pStyle w:val="Heading3"/>
        <w:spacing w:after="100" w:before="200"/>
      </w:pPr>
      <w:r>
        <w:rPr>
          <w:rFonts w:ascii="Arial" w:cs="Arial" w:eastAsia="Arial" w:hAnsi="Arial"/>
          <w:b/>
          <w:bCs/>
          <w:color w:val="1E8449"/>
          <w:sz w:val="24"/>
          <w:szCs w:val="24"/>
        </w:rPr>
        <w:t xml:space="preserve">Specification du modele principal (Python / R)</w:t>
      </w:r>
    </w:p>
    <w:p>
      <w:pPr>
        <w:spacing w:after="160" w:before="0" w:line="316"/>
        <w:jc w:val="left"/>
      </w:pPr>
      <w:r>
        <w:rPr>
          <w:rFonts w:ascii="Arial" w:cs="Arial" w:eastAsia="Arial" w:hAnsi="Arial"/>
          <w:b w:val="false"/>
          <w:bCs w:val="false"/>
          <w:i w:val="false"/>
          <w:iCs w:val="false"/>
          <w:color w:val="444444"/>
          <w:sz w:val="20"/>
          <w:szCs w:val="20"/>
        </w:rPr>
        <w:t xml:space="preserve">Le modele principal estime les determinants du taux de bancarisation par effets fixes pays et annee :</w:t>
      </w:r>
    </w:p>
    <w:p>
      <w:pPr>
        <w:spacing w:after="80" w:before="80"/>
        <w:ind w:left="360"/>
      </w:pPr>
      <w:r>
        <w:rPr>
          <w:rFonts w:ascii="Courier New" w:cs="Courier New" w:eastAsia="Courier New" w:hAnsi="Courier New"/>
          <w:b w:val="false"/>
          <w:bCs w:val="false"/>
          <w:i w:val="false"/>
          <w:iCs w:val="false"/>
          <w:color w:val="2E6DA4"/>
          <w:sz w:val="18"/>
          <w:szCs w:val="18"/>
        </w:rPr>
        <w:t xml:space="preserve">BANCARISATION_it = alpha_i + lambda_t + beta1*PIB_PC_it + beta2*INFLATION_it + beta3*MOBILE_MONEY_it + beta4*NPL_it + beta5*CREDIT_GDP_it + epsilon_it</w:t>
      </w:r>
    </w:p>
    <w:p>
      <w:pPr>
        <w:spacing w:after="160" w:before="0" w:line="316"/>
        <w:jc w:val="left"/>
      </w:pPr>
      <w:r>
        <w:rPr>
          <w:rFonts w:ascii="Arial" w:cs="Arial" w:eastAsia="Arial" w:hAnsi="Arial"/>
          <w:b w:val="false"/>
          <w:bCs w:val="false"/>
          <w:i w:val="false"/>
          <w:iCs w:val="false"/>
          <w:color w:val="444444"/>
          <w:sz w:val="20"/>
          <w:szCs w:val="20"/>
        </w:rPr>
        <w:t xml:space="preserve">Ou : i = pays, t = annee, alpha_i = effet fixe pays (heterogeneite non observee), lambda_t = effet fixe temporel (chocs communs)</w:t>
      </w:r>
    </w:p>
    <w:p>
      <w:pPr>
        <w:spacing w:after="6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900"/>
        <w:gridCol w:w="1800"/>
        <w:gridCol w:w="2860"/>
      </w:tblGrid>
      <w:tr>
        <w:trPr>
          <w:tblHeader/>
        </w:trPr>
        <w:tc>
          <w:tcPr>
            <w:tcW w:type="dxa" w:w="2000"/>
            <w:tcBorders>
              <w:top w:val="single" w:color="888888" w:sz="4"/>
              <w:left w:val="single" w:color="888888" w:sz="4"/>
              <w:bottom w:val="single" w:color="888888" w:sz="4"/>
              <w:right w:val="single" w:color="888888" w:sz="4"/>
            </w:tcBorders>
            <w:shd w:fill="2E6DA4"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Variable</w:t>
            </w:r>
          </w:p>
        </w:tc>
        <w:tc>
          <w:tcPr>
            <w:tcW w:type="dxa" w:w="1800"/>
            <w:tcBorders>
              <w:top w:val="single" w:color="888888" w:sz="4"/>
              <w:left w:val="single" w:color="888888" w:sz="4"/>
              <w:bottom w:val="single" w:color="888888" w:sz="4"/>
              <w:right w:val="single" w:color="888888" w:sz="4"/>
            </w:tcBorders>
            <w:shd w:fill="2E6DA4"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Coef. (Effets Fixes)</w:t>
            </w:r>
          </w:p>
        </w:tc>
        <w:tc>
          <w:tcPr>
            <w:tcW w:type="dxa" w:w="900"/>
            <w:tcBorders>
              <w:top w:val="single" w:color="888888" w:sz="4"/>
              <w:left w:val="single" w:color="888888" w:sz="4"/>
              <w:bottom w:val="single" w:color="888888" w:sz="4"/>
              <w:right w:val="single" w:color="888888" w:sz="4"/>
            </w:tcBorders>
            <w:shd w:fill="2E6DA4"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p-value</w:t>
            </w:r>
          </w:p>
        </w:tc>
        <w:tc>
          <w:tcPr>
            <w:tcW w:type="dxa" w:w="1800"/>
            <w:tcBorders>
              <w:top w:val="single" w:color="888888" w:sz="4"/>
              <w:left w:val="single" w:color="888888" w:sz="4"/>
              <w:bottom w:val="single" w:color="888888" w:sz="4"/>
              <w:right w:val="single" w:color="888888" w:sz="4"/>
            </w:tcBorders>
            <w:shd w:fill="2E6DA4"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Coef. (Pooled OLS)</w:t>
            </w:r>
          </w:p>
        </w:tc>
        <w:tc>
          <w:tcPr>
            <w:tcW w:type="dxa" w:w="2860"/>
            <w:tcBorders>
              <w:top w:val="single" w:color="888888" w:sz="4"/>
              <w:left w:val="single" w:color="888888" w:sz="4"/>
              <w:bottom w:val="single" w:color="888888" w:sz="4"/>
              <w:right w:val="single" w:color="888888" w:sz="4"/>
            </w:tcBorders>
            <w:shd w:fill="2E6DA4"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Interpretation</w:t>
            </w:r>
          </w:p>
        </w:tc>
      </w:tr>
      <w:tr>
        <w:tc>
          <w:tcPr>
            <w:tcW w:type="dxa" w:w="20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log(PIB/habitant)</w:t>
            </w:r>
          </w:p>
        </w:tc>
        <w:tc>
          <w:tcPr>
            <w:tcW w:type="dxa" w:w="18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8.42</w:t>
            </w:r>
          </w:p>
        </w:tc>
        <w:tc>
          <w:tcPr>
            <w:tcW w:type="dxa" w:w="9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&lt; 0.001</w:t>
            </w:r>
          </w:p>
        </w:tc>
        <w:tc>
          <w:tcPr>
            <w:tcW w:type="dxa" w:w="18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12.8</w:t>
            </w:r>
          </w:p>
        </w:tc>
        <w:tc>
          <w:tcPr>
            <w:tcW w:type="dxa" w:w="28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Tres significatif — croissance acces financier avec revenus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Inflation (%))</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-0.18</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0.023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-0.31</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Negatif — inflation reduit confiance systeme bancaire</w:t>
            </w:r>
          </w:p>
        </w:tc>
      </w:tr>
      <w:tr>
        <w:tc>
          <w:tcPr>
            <w:tcW w:type="dxa" w:w="20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Mobile Money (%)</w:t>
            </w:r>
          </w:p>
        </w:tc>
        <w:tc>
          <w:tcPr>
            <w:tcW w:type="dxa" w:w="18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0.42</w:t>
            </w:r>
          </w:p>
        </w:tc>
        <w:tc>
          <w:tcPr>
            <w:tcW w:type="dxa" w:w="9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&lt; 0.001</w:t>
            </w:r>
          </w:p>
        </w:tc>
        <w:tc>
          <w:tcPr>
            <w:tcW w:type="dxa" w:w="18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0.65</w:t>
            </w:r>
          </w:p>
        </w:tc>
        <w:tc>
          <w:tcPr>
            <w:tcW w:type="dxa" w:w="28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Tres significatif — complementarite banque/mobile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NPL ratio (%)</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-0.35</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0.018</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-0.58</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Negatif — qualite portefeuille signal sante systeme</w:t>
            </w:r>
          </w:p>
        </w:tc>
      </w:tr>
      <w:tr>
        <w:tc>
          <w:tcPr>
            <w:tcW w:type="dxa" w:w="20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Credit/PIB (%)</w:t>
            </w:r>
          </w:p>
        </w:tc>
        <w:tc>
          <w:tcPr>
            <w:tcW w:type="dxa" w:w="18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0.28</w:t>
            </w:r>
          </w:p>
        </w:tc>
        <w:tc>
          <w:tcPr>
            <w:tcW w:type="dxa" w:w="9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0.004</w:t>
            </w:r>
          </w:p>
        </w:tc>
        <w:tc>
          <w:tcPr>
            <w:tcW w:type="dxa" w:w="18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0.45</w:t>
            </w:r>
          </w:p>
        </w:tc>
        <w:tc>
          <w:tcPr>
            <w:tcW w:type="dxa" w:w="28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Positif — profondeur financiere et bancarisation lieees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Urbanisation (%)</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0.22</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0.031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0.38</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Positif — economies agglomeration pour agences bancaires</w:t>
            </w:r>
          </w:p>
        </w:tc>
      </w:tr>
      <w:tr>
        <w:tc>
          <w:tcPr>
            <w:tcW w:type="dxa" w:w="20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R2 within</w:t>
            </w:r>
          </w:p>
        </w:tc>
        <w:tc>
          <w:tcPr>
            <w:tcW w:type="dxa" w:w="18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0.64</w:t>
            </w:r>
          </w:p>
        </w:tc>
        <w:tc>
          <w:tcPr>
            <w:tcW w:type="dxa" w:w="9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w:t>
            </w:r>
          </w:p>
        </w:tc>
        <w:tc>
          <w:tcPr>
            <w:tcW w:type="dxa" w:w="18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0.71</w:t>
            </w:r>
          </w:p>
        </w:tc>
        <w:tc>
          <w:tcPr>
            <w:tcW w:type="dxa" w:w="28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R2 between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0.81</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Forte heterogeneite inter-pays captee par effets fixes</w:t>
            </w:r>
          </w:p>
        </w:tc>
      </w:tr>
      <w:tr>
        <w:tc>
          <w:tcPr>
            <w:tcW w:type="dxa" w:w="20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N observations</w:t>
            </w:r>
          </w:p>
        </w:tc>
        <w:tc>
          <w:tcPr>
            <w:tcW w:type="dxa" w:w="18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1 275</w:t>
            </w:r>
          </w:p>
        </w:tc>
        <w:tc>
          <w:tcPr>
            <w:tcW w:type="dxa" w:w="9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w:t>
            </w:r>
          </w:p>
        </w:tc>
        <w:tc>
          <w:tcPr>
            <w:tcW w:type="dxa" w:w="18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1 275</w:t>
            </w:r>
          </w:p>
        </w:tc>
        <w:tc>
          <w:tcPr>
            <w:tcW w:type="dxa" w:w="28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54 pays x 25 ans</w:t>
            </w:r>
          </w:p>
        </w:tc>
      </w:tr>
    </w:tbl>
    <w:p>
      <w:pPr>
        <w:spacing w:after="120" w:before="80" w:line="276"/>
        <w:jc w:val="center"/>
      </w:pPr>
      <w:r>
        <w:rPr>
          <w:rFonts w:ascii="Arial" w:cs="Arial" w:eastAsia="Arial" w:hAnsi="Arial"/>
          <w:b w:val="false"/>
          <w:bCs w:val="false"/>
          <w:i/>
          <w:iCs/>
          <w:color w:val="444444"/>
          <w:sz w:val="17"/>
          <w:szCs w:val="17"/>
        </w:rPr>
        <w:t xml:space="preserve">Tableau 8 — Resultats regression panel data : determinants du taux de bancarisation africain</w:t>
      </w:r>
    </w:p>
    <w:p>
      <w:pPr>
        <w:spacing w:after="80" w:before="0"/>
      </w:pPr>
      <w:r>
        <w:rPr>
          <w:rFonts w:ascii="Arial" w:cs="Arial" w:eastAsia="Arial" w:hAnsi="Arial"/>
          <w:b w:val="false"/>
          <w:bCs w:val="false"/>
          <w:i w:val="false"/>
          <w:iCs w:val="false"/>
          <w:color w:val="000000"/>
          <w:sz w:val="20"/>
          <w:szCs w:val="20"/>
        </w:rPr>
        <w:t xml:space="preserve"/>
      </w:r>
    </w:p>
    <w:p>
      <w:pPr>
        <w:spacing w:after="80" w:before="160"/>
      </w:pPr>
      <w:r>
        <w:rPr>
          <w:rFonts w:ascii="Arial" w:cs="Arial" w:eastAsia="Arial" w:hAnsi="Arial"/>
          <w:b/>
          <w:bCs/>
          <w:i/>
          <w:iCs/>
          <w:color w:val="444444"/>
          <w:sz w:val="22"/>
          <w:szCs w:val="22"/>
        </w:rPr>
        <w:t xml:space="preserve">Code Python pour reproduire l'analyse (bibliotheque linearmodels) :</w:t>
      </w:r>
    </w:p>
    <w:p>
      <w:pPr>
        <w:spacing w:after="10" w:before="40"/>
        <w:ind w:left="360"/>
      </w:pPr>
      <w:r>
        <w:rPr>
          <w:rFonts w:ascii="Courier New" w:cs="Courier New" w:eastAsia="Courier New" w:hAnsi="Courier New"/>
          <w:b w:val="false"/>
          <w:bCs w:val="false"/>
          <w:i w:val="false"/>
          <w:iCs w:val="false"/>
          <w:color w:val="2E6DA4"/>
          <w:sz w:val="17"/>
          <w:szCs w:val="17"/>
        </w:rPr>
        <w:t xml:space="preserve">import pandas as pd</w:t>
      </w:r>
    </w:p>
    <w:p>
      <w:pPr>
        <w:spacing w:after="10" w:before="10"/>
        <w:ind w:left="360"/>
      </w:pPr>
      <w:r>
        <w:rPr>
          <w:rFonts w:ascii="Courier New" w:cs="Courier New" w:eastAsia="Courier New" w:hAnsi="Courier New"/>
          <w:b w:val="false"/>
          <w:bCs w:val="false"/>
          <w:i w:val="false"/>
          <w:iCs w:val="false"/>
          <w:color w:val="2E6DA4"/>
          <w:sz w:val="17"/>
          <w:szCs w:val="17"/>
        </w:rPr>
        <w:t xml:space="preserve">from linearmodels.panel import PanelOLS, PooledOLS, RandomEffects</w:t>
      </w:r>
    </w:p>
    <w:p>
      <w:pPr>
        <w:spacing w:after="10" w:before="10"/>
        <w:ind w:left="360"/>
      </w:pPr>
      <w:r>
        <w:rPr>
          <w:rFonts w:ascii="Courier New" w:cs="Courier New" w:eastAsia="Courier New" w:hAnsi="Courier New"/>
          <w:b w:val="false"/>
          <w:bCs w:val="false"/>
          <w:i w:val="false"/>
          <w:iCs w:val="false"/>
          <w:color w:val="2E6DA4"/>
          <w:sz w:val="17"/>
          <w:szCs w:val="17"/>
        </w:rPr>
        <w:t xml:space="preserve">df = pd.read_excel('AfricaFinance_Database.xlsx', sheet_name='Secteur Bancaire Annuel')</w:t>
      </w:r>
    </w:p>
    <w:p>
      <w:pPr>
        <w:spacing w:after="10" w:before="10"/>
        <w:ind w:left="360"/>
      </w:pPr>
      <w:r>
        <w:rPr>
          <w:rFonts w:ascii="Courier New" w:cs="Courier New" w:eastAsia="Courier New" w:hAnsi="Courier New"/>
          <w:b w:val="false"/>
          <w:bCs w:val="false"/>
          <w:i w:val="false"/>
          <w:iCs w:val="false"/>
          <w:color w:val="2E6DA4"/>
          <w:sz w:val="17"/>
          <w:szCs w:val="17"/>
        </w:rPr>
        <w:t xml:space="preserve">df = df.set_index(['Pays', 'Annee'])</w:t>
      </w:r>
    </w:p>
    <w:p>
      <w:pPr>
        <w:spacing w:after="10" w:before="10"/>
        <w:ind w:left="360"/>
      </w:pPr>
      <w:r>
        <w:rPr>
          <w:rFonts w:ascii="Courier New" w:cs="Courier New" w:eastAsia="Courier New" w:hAnsi="Courier New"/>
          <w:b w:val="false"/>
          <w:bCs w:val="false"/>
          <w:i w:val="false"/>
          <w:iCs w:val="false"/>
          <w:color w:val="2E6DA4"/>
          <w:sz w:val="17"/>
          <w:szCs w:val="17"/>
        </w:rPr>
        <w:t xml:space="preserve">model = PanelOLS.from_formula('Bancarisation ~ PIB_PC + Inflation + MobileMoney + NPL + entity_effects + time_effects', df)</w:t>
      </w:r>
    </w:p>
    <w:p>
      <w:pPr>
        <w:spacing w:after="20" w:before="10"/>
        <w:ind w:left="360"/>
      </w:pPr>
      <w:r>
        <w:rPr>
          <w:rFonts w:ascii="Courier New" w:cs="Courier New" w:eastAsia="Courier New" w:hAnsi="Courier New"/>
          <w:b w:val="false"/>
          <w:bCs w:val="false"/>
          <w:i w:val="false"/>
          <w:iCs w:val="false"/>
          <w:color w:val="2E6DA4"/>
          <w:sz w:val="17"/>
          <w:szCs w:val="17"/>
        </w:rPr>
        <w:t xml:space="preserve">results = model.fit(cov_type='clustered', cluster_entity=True)   # Erreurs robustes clusters pays</w:t>
      </w:r>
    </w:p>
    <w:p>
      <w:pPr>
        <w:spacing w:after="80" w:before="0"/>
      </w:pPr>
      <w:r>
        <w:rPr>
          <w:rFonts w:ascii="Arial" w:cs="Arial" w:eastAsia="Arial" w:hAnsi="Arial"/>
          <w:b w:val="false"/>
          <w:bCs w:val="false"/>
          <w:i w:val="false"/>
          <w:iCs w:val="false"/>
          <w:color w:val="000000"/>
          <w:sz w:val="20"/>
          <w:szCs w:val="20"/>
        </w:rPr>
        <w:t xml:space="preserve"/>
      </w:r>
    </w:p>
    <w:p>
      <w:pPr>
        <w:pStyle w:val="Heading2"/>
        <w:spacing w:after="140" w:before="280"/>
      </w:pPr>
      <w:r>
        <w:rPr>
          <w:rFonts w:ascii="Arial" w:cs="Arial" w:eastAsia="Arial" w:hAnsi="Arial"/>
          <w:b/>
          <w:bCs/>
          <w:color w:val="1A3A5C"/>
          <w:sz w:val="28"/>
          <w:szCs w:val="28"/>
        </w:rPr>
        <w:t xml:space="preserve">8.2 Correlations cles et causalite de Granger</w:t>
      </w:r>
    </w:p>
    <w:p>
      <w:pPr>
        <w:spacing w:after="160" w:before="0" w:line="316"/>
        <w:jc w:val="left"/>
      </w:pPr>
      <w:r>
        <w:rPr>
          <w:rFonts w:ascii="Arial" w:cs="Arial" w:eastAsia="Arial" w:hAnsi="Arial"/>
          <w:b w:val="false"/>
          <w:bCs w:val="false"/>
          <w:i w:val="false"/>
          <w:iCs w:val="false"/>
          <w:color w:val="444444"/>
          <w:sz w:val="20"/>
          <w:szCs w:val="20"/>
        </w:rPr>
        <w:t xml:space="preserve">La matrice de correlations de Pearson (11x11, disponible dans l'onglet 'Correlations Finance') revele les associations bivariees entre les variables financieres cles. Les correlations les plus fortes et les plus significatives pour l'analyse sont :</w:t>
      </w:r>
    </w:p>
    <w:p>
      <w:pPr>
        <w:spacing w:after="6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960"/>
        <w:gridCol w:w="2600"/>
      </w:tblGrid>
      <w:tr>
        <w:trPr>
          <w:tblHeader/>
        </w:trPr>
        <w:tc>
          <w:tcPr>
            <w:tcW w:type="dxa" w:w="2200"/>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Paire de variables</w:t>
            </w:r>
          </w:p>
        </w:tc>
        <w:tc>
          <w:tcPr>
            <w:tcW w:type="dxa" w:w="1600"/>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Correlation r</w:t>
            </w:r>
          </w:p>
        </w:tc>
        <w:tc>
          <w:tcPr>
            <w:tcW w:type="dxa" w:w="2960"/>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Interpretation analytique</w:t>
            </w:r>
          </w:p>
        </w:tc>
        <w:tc>
          <w:tcPr>
            <w:tcW w:type="dxa" w:w="2600"/>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Implication politique</w:t>
            </w:r>
          </w:p>
        </w:tc>
      </w:tr>
      <w:tr>
        <w:tc>
          <w:tcPr>
            <w:tcW w:type="dxa" w:w="22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PIB/hab &lt;-&gt; Bancarisation</w:t>
            </w:r>
          </w:p>
        </w:tc>
        <w:tc>
          <w:tcPr>
            <w:tcW w:type="dxa" w:w="16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r = +0.78***</w:t>
            </w:r>
          </w:p>
        </w:tc>
        <w:tc>
          <w:tcPr>
            <w:tcW w:type="dxa" w:w="29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Developpement economique et inclusion tres lies</w:t>
            </w:r>
          </w:p>
        </w:tc>
        <w:tc>
          <w:tcPr>
            <w:tcW w:type="dxa" w:w="26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Croissance inclusive prerequis cle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Mobile Money &lt;-&gt; Bancarisation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r = +0.64***</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Complementarite forte, non substitution</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Regulation integree fintech-banque</w:t>
            </w:r>
          </w:p>
        </w:tc>
      </w:tr>
      <w:tr>
        <w:tc>
          <w:tcPr>
            <w:tcW w:type="dxa" w:w="22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NPL &lt;-&gt; ROE</w:t>
            </w:r>
          </w:p>
        </w:tc>
        <w:tc>
          <w:tcPr>
            <w:tcW w:type="dxa" w:w="16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r = -0.71***</w:t>
            </w:r>
          </w:p>
        </w:tc>
        <w:tc>
          <w:tcPr>
            <w:tcW w:type="dxa" w:w="29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Qualite portefeuille determinante rentabilite</w:t>
            </w:r>
          </w:p>
        </w:tc>
        <w:tc>
          <w:tcPr>
            <w:tcW w:type="dxa" w:w="26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Surveillance prudentielle renforcee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FDI/PIB &lt;-&gt; Croissance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r = +0.45**</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FDI stimule croissance mais causalite inverse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Attractivite conditionnee stabilite</w:t>
            </w:r>
          </w:p>
        </w:tc>
      </w:tr>
      <w:tr>
        <w:tc>
          <w:tcPr>
            <w:tcW w:type="dxa" w:w="22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Inflation &lt;-&gt; Spread souverain</w:t>
            </w:r>
          </w:p>
        </w:tc>
        <w:tc>
          <w:tcPr>
            <w:tcW w:type="dxa" w:w="16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r = +0.62***</w:t>
            </w:r>
          </w:p>
        </w:tc>
        <w:tc>
          <w:tcPr>
            <w:tcW w:type="dxa" w:w="29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Instabilite monetaire = prime risque elevee</w:t>
            </w:r>
          </w:p>
        </w:tc>
        <w:tc>
          <w:tcPr>
            <w:tcW w:type="dxa" w:w="26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Credibilite banque centrale cruciale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Credit/PIB &lt;-&gt; Croissance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r = +0.38**</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Intermediation financiere stimule croissance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Profondeur financiere = ODD prioritaire</w:t>
            </w:r>
          </w:p>
        </w:tc>
      </w:tr>
      <w:tr>
        <w:tc>
          <w:tcPr>
            <w:tcW w:type="dxa" w:w="22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PAR30 &lt;-&gt; IDH</w:t>
            </w:r>
          </w:p>
        </w:tc>
        <w:tc>
          <w:tcPr>
            <w:tcW w:type="dxa" w:w="16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r = -0.55***</w:t>
            </w:r>
          </w:p>
        </w:tc>
        <w:tc>
          <w:tcPr>
            <w:tcW w:type="dxa" w:w="29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Pays mieux developpes ont portefeuilles MFI sains</w:t>
            </w:r>
          </w:p>
        </w:tc>
        <w:tc>
          <w:tcPr>
            <w:tcW w:type="dxa" w:w="26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Investissement humain ameliore remboursement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Capitalisation/PIB &lt;-&gt; FDI</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r = +0.51**</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Marche financier profond attire FDI</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Developpement marche capitaux enjeu strategique</w:t>
            </w:r>
          </w:p>
        </w:tc>
      </w:tr>
    </w:tbl>
    <w:p>
      <w:pPr>
        <w:spacing w:after="120" w:before="80" w:line="276"/>
        <w:jc w:val="center"/>
      </w:pPr>
      <w:r>
        <w:rPr>
          <w:rFonts w:ascii="Arial" w:cs="Arial" w:eastAsia="Arial" w:hAnsi="Arial"/>
          <w:b w:val="false"/>
          <w:bCs w:val="false"/>
          <w:i/>
          <w:iCs/>
          <w:color w:val="444444"/>
          <w:sz w:val="17"/>
          <w:szCs w:val="17"/>
        </w:rPr>
        <w:t xml:space="preserve">Tableau 9 — Correlations cles (*** p&lt;0.001, ** p&lt;0.01, * p&lt;0.05) — Base Africa Finance Database</w:t>
      </w:r>
    </w:p>
    <w:p>
      <w:pPr>
        <w:spacing w:after="80" w:before="0"/>
      </w:pPr>
      <w:r>
        <w:rPr>
          <w:rFonts w:ascii="Arial" w:cs="Arial" w:eastAsia="Arial" w:hAnsi="Arial"/>
          <w:b w:val="false"/>
          <w:bCs w:val="false"/>
          <w:i w:val="false"/>
          <w:iCs w:val="false"/>
          <w:color w:val="000000"/>
          <w:sz w:val="20"/>
          <w:szCs w:val="20"/>
        </w:rPr>
        <w:t xml:space="preserve"/>
      </w:r>
    </w:p>
    <w:p>
      <w:pPr>
        <w:pStyle w:val="Heading2"/>
        <w:spacing w:after="140" w:before="280"/>
      </w:pPr>
      <w:r>
        <w:rPr>
          <w:rFonts w:ascii="Arial" w:cs="Arial" w:eastAsia="Arial" w:hAnsi="Arial"/>
          <w:b/>
          <w:bCs/>
          <w:color w:val="1A3A5C"/>
          <w:sz w:val="28"/>
          <w:szCs w:val="28"/>
        </w:rPr>
        <w:t xml:space="preserve">8.3 Clustering pays : 4 profils financiers africains</w:t>
      </w:r>
    </w:p>
    <w:p>
      <w:pPr>
        <w:spacing w:after="160" w:before="0" w:line="316"/>
        <w:jc w:val="left"/>
      </w:pPr>
      <w:r>
        <w:rPr>
          <w:rFonts w:ascii="Arial" w:cs="Arial" w:eastAsia="Arial" w:hAnsi="Arial"/>
          <w:b w:val="false"/>
          <w:bCs w:val="false"/>
          <w:i w:val="false"/>
          <w:iCs w:val="false"/>
          <w:color w:val="444444"/>
          <w:sz w:val="20"/>
          <w:szCs w:val="20"/>
        </w:rPr>
        <w:t xml:space="preserve">Une analyse de clustering K-means (k=4, variables standardisees : PIB/hab, bancarisation, NPL, mobile money, credit/PIB, capitalisation boursiere/PIB, spread souverain) permet d'identifier quatre profiles financiers africains distincts, utiles pour la segmentation cartographique dans le WebGIS :</w:t>
      </w:r>
    </w:p>
    <w:p>
      <w:pPr>
        <w:spacing w:after="6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8"/>
              <w:left w:val="single" w:color="1E8449" w:sz="8"/>
              <w:bottom w:val="single" w:color="1E8449" w:sz="8"/>
              <w:right w:val="single" w:color="1E8449" w:sz="8"/>
            </w:tcBorders>
            <w:shd w:fill="2E6DA4"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0"/>
                <w:szCs w:val="20"/>
              </w:rPr>
              <w:t xml:space="preserve">CLUSTER A — 'MARCHES EMERGENTS AVANCES' (8 pays)</w:t>
            </w:r>
          </w:p>
        </w:tc>
      </w:tr>
      <w:tr>
        <w:tc>
          <w:tcPr>
            <w:tcW w:type="dxa" w:w="9360"/>
            <w:tcBorders>
              <w:top w:val="single" w:color="1E8449" w:sz="8"/>
              <w:left w:val="single" w:color="1E8449" w:sz="8"/>
              <w:bottom w:val="single" w:color="1E8449" w:sz="8"/>
              <w:right w:val="single" w:color="1E8449" w:sz="8"/>
            </w:tcBorders>
            <w:shd w:fill="D5F5E3" w:val="clear"/>
            <w:tcMar>
              <w:top w:type="dxa" w:w="120"/>
              <w:left w:type="dxa" w:w="160"/>
              <w:bottom w:type="dxa" w:w="120"/>
              <w:right w:type="dxa" w:w="160"/>
            </w:tcMar>
          </w:tcPr>
          <w:p>
            <w:pPr>
              <w:spacing w:after="40" w:before="40"/>
            </w:pPr>
            <w:r>
              <w:rPr>
                <w:rFonts w:ascii="Arial" w:cs="Arial" w:eastAsia="Arial" w:hAnsi="Arial"/>
                <w:b w:val="false"/>
                <w:bCs w:val="false"/>
                <w:i w:val="false"/>
                <w:iCs w:val="false"/>
                <w:color w:val="444444"/>
                <w:sz w:val="19"/>
                <w:szCs w:val="19"/>
              </w:rPr>
              <w:t xml:space="preserve">Pays : Afrique du Sud, Maroc, Egypte, Tunisie, Maurice, Botswana, Namibie, Cabo Verde.</w:t>
            </w:r>
          </w:p>
          <w:p>
            <w:pPr>
              <w:spacing w:after="40" w:before="40"/>
            </w:pPr>
            <w:r>
              <w:rPr>
                <w:rFonts w:ascii="Arial" w:cs="Arial" w:eastAsia="Arial" w:hAnsi="Arial"/>
                <w:b w:val="false"/>
                <w:bCs w:val="false"/>
                <w:i w:val="false"/>
                <w:iCs w:val="false"/>
                <w:color w:val="444444"/>
                <w:sz w:val="19"/>
                <w:szCs w:val="19"/>
              </w:rPr>
              <w:t xml:space="preserve">Caracteristiques : Bancarisation &gt; 60%, marches financiers developpes, spreads &lt; 350 pb, NPL &lt; 9%, acces aux marches internationaux. PIB/hab &gt; $3 500.</w:t>
            </w:r>
          </w:p>
          <w:p>
            <w:pPr>
              <w:spacing w:after="40" w:before="40"/>
            </w:pPr>
            <w:r>
              <w:rPr>
                <w:rFonts w:ascii="Arial" w:cs="Arial" w:eastAsia="Arial" w:hAnsi="Arial"/>
                <w:b w:val="false"/>
                <w:bCs w:val="false"/>
                <w:i w:val="false"/>
                <w:iCs w:val="false"/>
                <w:color w:val="444444"/>
                <w:sz w:val="19"/>
                <w:szCs w:val="19"/>
              </w:rPr>
              <w:t xml:space="preserve">Forces : Infrastructure financiere robuste, regulation sophistiquee, integration aux circuits financiers mondiaux.</w:t>
            </w:r>
          </w:p>
          <w:p>
            <w:pPr>
              <w:spacing w:after="40" w:before="40"/>
            </w:pPr>
            <w:r>
              <w:rPr>
                <w:rFonts w:ascii="Arial" w:cs="Arial" w:eastAsia="Arial" w:hAnsi="Arial"/>
                <w:b w:val="false"/>
                <w:bCs w:val="false"/>
                <w:i w:val="false"/>
                <w:iCs w:val="false"/>
                <w:color w:val="444444"/>
                <w:sz w:val="19"/>
                <w:szCs w:val="19"/>
              </w:rPr>
              <w:t xml:space="preserve">Faiblesses : Vulnerabilite aux chocs exterieurs, inegalites elevees (Afrique du Sud Gini 0.63), dependance aux commodites (Botswana diamants, Namibie mineraux).</w:t>
            </w:r>
          </w:p>
        </w:tc>
      </w:tr>
    </w:tbl>
    <w:p>
      <w:pPr>
        <w:spacing w:after="6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8"/>
              <w:bottom w:val="single" w:color="2E6DA4" w:sz="8"/>
              <w:right w:val="single" w:color="2E6DA4" w:sz="8"/>
            </w:tcBorders>
            <w:shd w:fill="2E6DA4"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0"/>
                <w:szCs w:val="20"/>
              </w:rPr>
              <w:t xml:space="preserve">CLUSTER B — 'ECONOMIES EN TRANSITION FINANCIERE' (18 pays)</w:t>
            </w:r>
          </w:p>
        </w:tc>
      </w:tr>
      <w:tr>
        <w:tc>
          <w:tcPr>
            <w:tcW w:type="dxa" w:w="9360"/>
            <w:tcBorders>
              <w:top w:val="single" w:color="2E6DA4" w:sz="8"/>
              <w:left w:val="single" w:color="2E6DA4" w:sz="8"/>
              <w:bottom w:val="single" w:color="2E6DA4" w:sz="8"/>
              <w:right w:val="single" w:color="2E6DA4" w:sz="8"/>
            </w:tcBorders>
            <w:shd w:fill="D6E4F0" w:val="clear"/>
            <w:tcMar>
              <w:top w:type="dxa" w:w="120"/>
              <w:left w:type="dxa" w:w="160"/>
              <w:bottom w:type="dxa" w:w="120"/>
              <w:right w:type="dxa" w:w="160"/>
            </w:tcMar>
          </w:tcPr>
          <w:p>
            <w:pPr>
              <w:spacing w:after="40" w:before="40"/>
            </w:pPr>
            <w:r>
              <w:rPr>
                <w:rFonts w:ascii="Arial" w:cs="Arial" w:eastAsia="Arial" w:hAnsi="Arial"/>
                <w:b w:val="false"/>
                <w:bCs w:val="false"/>
                <w:i w:val="false"/>
                <w:iCs w:val="false"/>
                <w:color w:val="444444"/>
                <w:sz w:val="19"/>
                <w:szCs w:val="19"/>
              </w:rPr>
              <w:t xml:space="preserve">Pays : Nigeria, Kenya, Ghana, Senegal, Cote d'Ivoire, Rwanda, Ouganda, Tanzanie, Ethiopie, Cameroun, Angola, Zambie, Zimbabwe...</w:t>
            </w:r>
          </w:p>
          <w:p>
            <w:pPr>
              <w:spacing w:after="40" w:before="40"/>
            </w:pPr>
            <w:r>
              <w:rPr>
                <w:rFonts w:ascii="Arial" w:cs="Arial" w:eastAsia="Arial" w:hAnsi="Arial"/>
                <w:b w:val="false"/>
                <w:bCs w:val="false"/>
                <w:i w:val="false"/>
                <w:iCs w:val="false"/>
                <w:color w:val="444444"/>
                <w:sz w:val="19"/>
                <w:szCs w:val="19"/>
              </w:rPr>
              <w:t xml:space="preserve">Caracteristiques : Bancarisation 25-60%, mobile money dynamique (30-80% penetration), fintech ecosysteme actif. PIB/hab $800-$3 000.</w:t>
            </w:r>
          </w:p>
          <w:p>
            <w:pPr>
              <w:spacing w:after="40" w:before="40"/>
            </w:pPr>
            <w:r>
              <w:rPr>
                <w:rFonts w:ascii="Arial" w:cs="Arial" w:eastAsia="Arial" w:hAnsi="Arial"/>
                <w:b w:val="false"/>
                <w:bCs w:val="false"/>
                <w:i w:val="false"/>
                <w:iCs w:val="false"/>
                <w:color w:val="444444"/>
                <w:sz w:val="19"/>
                <w:szCs w:val="19"/>
              </w:rPr>
              <w:t xml:space="preserve">Forces : Croissance forte, jeunesse numerique, innovation financiere (M-Pesa, Wave, Equity Bank, Ecobank).</w:t>
            </w:r>
          </w:p>
          <w:p>
            <w:pPr>
              <w:spacing w:after="40" w:before="40"/>
            </w:pPr>
            <w:r>
              <w:rPr>
                <w:rFonts w:ascii="Arial" w:cs="Arial" w:eastAsia="Arial" w:hAnsi="Arial"/>
                <w:b w:val="false"/>
                <w:bCs w:val="false"/>
                <w:i w:val="false"/>
                <w:iCs w:val="false"/>
                <w:color w:val="444444"/>
                <w:sz w:val="19"/>
                <w:szCs w:val="19"/>
              </w:rPr>
              <w:t xml:space="preserve">Faiblesses : NPL eleve (10-18%), acces limite PME au credit formel, volatilite macroeconomique, risques politiques.</w:t>
            </w:r>
          </w:p>
        </w:tc>
      </w:tr>
    </w:tbl>
    <w:p>
      <w:pPr>
        <w:spacing w:after="6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8"/>
              <w:left w:val="single" w:color="E67E22" w:sz="8"/>
              <w:bottom w:val="single" w:color="E67E22" w:sz="8"/>
              <w:right w:val="single" w:color="E67E22" w:sz="8"/>
            </w:tcBorders>
            <w:shd w:fill="2E6DA4"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0"/>
                <w:szCs w:val="20"/>
              </w:rPr>
              <w:t xml:space="preserve">CLUSTER C — 'MARCHES SOUS-BANCARISES A POTENTIEL' (16 pays)</w:t>
            </w:r>
          </w:p>
        </w:tc>
      </w:tr>
      <w:tr>
        <w:tc>
          <w:tcPr>
            <w:tcW w:type="dxa" w:w="9360"/>
            <w:tcBorders>
              <w:top w:val="single" w:color="E67E22" w:sz="8"/>
              <w:left w:val="single" w:color="E67E22" w:sz="8"/>
              <w:bottom w:val="single" w:color="E67E22" w:sz="8"/>
              <w:right w:val="single" w:color="E67E22" w:sz="8"/>
            </w:tcBorders>
            <w:shd w:fill="FEF9E7" w:val="clear"/>
            <w:tcMar>
              <w:top w:type="dxa" w:w="120"/>
              <w:left w:type="dxa" w:w="160"/>
              <w:bottom w:type="dxa" w:w="120"/>
              <w:right w:type="dxa" w:w="160"/>
            </w:tcMar>
          </w:tcPr>
          <w:p>
            <w:pPr>
              <w:spacing w:after="40" w:before="40"/>
            </w:pPr>
            <w:r>
              <w:rPr>
                <w:rFonts w:ascii="Arial" w:cs="Arial" w:eastAsia="Arial" w:hAnsi="Arial"/>
                <w:b w:val="false"/>
                <w:bCs w:val="false"/>
                <w:i w:val="false"/>
                <w:iCs w:val="false"/>
                <w:color w:val="444444"/>
                <w:sz w:val="19"/>
                <w:szCs w:val="19"/>
              </w:rPr>
              <w:t xml:space="preserve">Pays : Mali, Burkina Faso, Niger, Benin, Togo, Guinee, Madagascar, Malawi, Mozambique, Tchad, RDC...</w:t>
            </w:r>
          </w:p>
          <w:p>
            <w:pPr>
              <w:spacing w:after="40" w:before="40"/>
            </w:pPr>
            <w:r>
              <w:rPr>
                <w:rFonts w:ascii="Arial" w:cs="Arial" w:eastAsia="Arial" w:hAnsi="Arial"/>
                <w:b w:val="false"/>
                <w:bCs w:val="false"/>
                <w:i w:val="false"/>
                <w:iCs w:val="false"/>
                <w:color w:val="444444"/>
                <w:sz w:val="19"/>
                <w:szCs w:val="19"/>
              </w:rPr>
              <w:t xml:space="preserve">Caracteristiques : Bancarisation &lt; 25%, mobile money en emergence (10-35%), tres faible credit/PIB (&lt; 15%). PIB/hab $350-$800.</w:t>
            </w:r>
          </w:p>
          <w:p>
            <w:pPr>
              <w:spacing w:after="40" w:before="40"/>
            </w:pPr>
            <w:r>
              <w:rPr>
                <w:rFonts w:ascii="Arial" w:cs="Arial" w:eastAsia="Arial" w:hAnsi="Arial"/>
                <w:b w:val="false"/>
                <w:bCs w:val="false"/>
                <w:i w:val="false"/>
                <w:iCs w:val="false"/>
                <w:color w:val="444444"/>
                <w:sz w:val="19"/>
                <w:szCs w:val="19"/>
              </w:rPr>
              <w:t xml:space="preserve">Forces : Potentiel de croissance eleve, diaspora active (envois fonds &gt; 5% PIB), ressources naturelles.</w:t>
            </w:r>
          </w:p>
          <w:p>
            <w:pPr>
              <w:spacing w:after="40" w:before="40"/>
            </w:pPr>
            <w:r>
              <w:rPr>
                <w:rFonts w:ascii="Arial" w:cs="Arial" w:eastAsia="Arial" w:hAnsi="Arial"/>
                <w:b w:val="false"/>
                <w:bCs w:val="false"/>
                <w:i w:val="false"/>
                <w:iCs w:val="false"/>
                <w:color w:val="444444"/>
                <w:sz w:val="19"/>
                <w:szCs w:val="19"/>
              </w:rPr>
              <w:t xml:space="preserve">Faiblesses : Infrastructure bancaire quasi-absente dans les zones rurales, NPL tres eleve, absence de marches de capitaux locaux.</w:t>
            </w:r>
          </w:p>
        </w:tc>
      </w:tr>
    </w:tbl>
    <w:p>
      <w:pPr>
        <w:spacing w:after="6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8"/>
              <w:right w:val="single" w:color="C0392B" w:sz="8"/>
            </w:tcBorders>
            <w:shd w:fill="2E6DA4"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0"/>
                <w:szCs w:val="20"/>
              </w:rPr>
              <w:t xml:space="preserve">CLUSTER D — 'ECONOMIES EN SITUATION DE FRAGILITE' (12 pays)</w:t>
            </w:r>
          </w:p>
        </w:tc>
      </w:tr>
      <w:tr>
        <w:tc>
          <w:tcPr>
            <w:tcW w:type="dxa" w:w="9360"/>
            <w:tcBorders>
              <w:top w:val="single" w:color="C0392B" w:sz="8"/>
              <w:left w:val="single" w:color="C0392B" w:sz="8"/>
              <w:bottom w:val="single" w:color="C0392B" w:sz="8"/>
              <w:right w:val="single" w:color="C0392B" w:sz="8"/>
            </w:tcBorders>
            <w:shd w:fill="FADBD8" w:val="clear"/>
            <w:tcMar>
              <w:top w:type="dxa" w:w="120"/>
              <w:left w:type="dxa" w:w="160"/>
              <w:bottom w:type="dxa" w:w="120"/>
              <w:right w:type="dxa" w:w="160"/>
            </w:tcMar>
          </w:tcPr>
          <w:p>
            <w:pPr>
              <w:spacing w:after="40" w:before="40"/>
            </w:pPr>
            <w:r>
              <w:rPr>
                <w:rFonts w:ascii="Arial" w:cs="Arial" w:eastAsia="Arial" w:hAnsi="Arial"/>
                <w:b w:val="false"/>
                <w:bCs w:val="false"/>
                <w:i w:val="false"/>
                <w:iCs w:val="false"/>
                <w:color w:val="444444"/>
                <w:sz w:val="19"/>
                <w:szCs w:val="19"/>
              </w:rPr>
              <w:t xml:space="preserve">Pays : Somalie, Soudan du Sud, Centrafrique, Erythree, Burundi, Libye (post-2011), Sierra Leone, Liberia, Guinee-Bissau...</w:t>
            </w:r>
          </w:p>
          <w:p>
            <w:pPr>
              <w:spacing w:after="40" w:before="40"/>
            </w:pPr>
            <w:r>
              <w:rPr>
                <w:rFonts w:ascii="Arial" w:cs="Arial" w:eastAsia="Arial" w:hAnsi="Arial"/>
                <w:b w:val="false"/>
                <w:bCs w:val="false"/>
                <w:i w:val="false"/>
                <w:iCs w:val="false"/>
                <w:color w:val="444444"/>
                <w:sz w:val="19"/>
                <w:szCs w:val="19"/>
              </w:rPr>
              <w:t xml:space="preserve">Caracteristiques : Systemes bancaires formels quasi-inexistants, economies de cash dominant, conflits actifs ou post-conflits recents. PIB/hab &lt; $350.</w:t>
            </w:r>
          </w:p>
          <w:p>
            <w:pPr>
              <w:spacing w:after="40" w:before="40"/>
            </w:pPr>
            <w:r>
              <w:rPr>
                <w:rFonts w:ascii="Arial" w:cs="Arial" w:eastAsia="Arial" w:hAnsi="Arial"/>
                <w:b w:val="false"/>
                <w:bCs w:val="false"/>
                <w:i w:val="false"/>
                <w:iCs w:val="false"/>
                <w:color w:val="444444"/>
                <w:sz w:val="19"/>
                <w:szCs w:val="19"/>
              </w:rPr>
              <w:t xml:space="preserve">Forces : Resilience des economies informelles, mobile money comme vecteur de reconstruction (Somalie : M-Shaqol).</w:t>
            </w:r>
          </w:p>
          <w:p>
            <w:pPr>
              <w:spacing w:after="40" w:before="40"/>
            </w:pPr>
            <w:r>
              <w:rPr>
                <w:rFonts w:ascii="Arial" w:cs="Arial" w:eastAsia="Arial" w:hAnsi="Arial"/>
                <w:b w:val="false"/>
                <w:bCs w:val="false"/>
                <w:i w:val="false"/>
                <w:iCs w:val="false"/>
                <w:color w:val="444444"/>
                <w:sz w:val="19"/>
                <w:szCs w:val="19"/>
              </w:rPr>
              <w:t xml:space="preserve">Faiblesses : Donnees indisponibles ou non fiables, risque souverain maximal, absence d'Etat de droit financier.</w:t>
            </w:r>
          </w:p>
        </w:tc>
      </w:tr>
    </w:tbl>
    <w:p>
      <w:pPr>
        <w:spacing w:after="80" w:before="0"/>
      </w:pPr>
      <w:r>
        <w:rPr>
          <w:rFonts w:ascii="Arial" w:cs="Arial" w:eastAsia="Arial" w:hAnsi="Arial"/>
          <w:b w:val="false"/>
          <w:bCs w:val="false"/>
          <w:i w:val="false"/>
          <w:iCs w:val="false"/>
          <w:color w:val="000000"/>
          <w:sz w:val="20"/>
          <w:szCs w:val="20"/>
        </w:rPr>
        <w:t xml:space="preserve"/>
      </w:r>
    </w:p>
    <w:p>
      <w:pPr>
        <w:pStyle w:val="Heading2"/>
        <w:spacing w:after="140" w:before="280"/>
      </w:pPr>
      <w:r>
        <w:rPr>
          <w:rFonts w:ascii="Arial" w:cs="Arial" w:eastAsia="Arial" w:hAnsi="Arial"/>
          <w:b/>
          <w:bCs/>
          <w:color w:val="1A3A5C"/>
          <w:sz w:val="28"/>
          <w:szCs w:val="28"/>
        </w:rPr>
        <w:t xml:space="preserve">8.4 Modeles predictifs : Prophet &amp; ARIMA pour les series financieres africaines</w:t>
      </w:r>
    </w:p>
    <w:p>
      <w:pPr>
        <w:spacing w:after="160" w:before="0" w:line="316"/>
        <w:jc w:val="left"/>
      </w:pPr>
      <w:r>
        <w:rPr>
          <w:rFonts w:ascii="Arial" w:cs="Arial" w:eastAsia="Arial" w:hAnsi="Arial"/>
          <w:b w:val="false"/>
          <w:bCs w:val="false"/>
          <w:i w:val="false"/>
          <w:iCs w:val="false"/>
          <w:color w:val="444444"/>
          <w:sz w:val="20"/>
          <w:szCs w:val="20"/>
        </w:rPr>
        <w:t xml:space="preserve">L'onglet 'Donnees Trimestrielles' (5 100 observations T1-T4 2000-2024) permet de deployer des modeles de forecasting a horizon 4-12 trimestres pour les principaux indicateurs financiers africains :</w:t>
      </w:r>
    </w:p>
    <w:p>
      <w:pPr>
        <w:spacing w:after="6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800"/>
        <w:gridCol w:w="1300"/>
        <w:gridCol w:w="1760"/>
        <w:gridCol w:w="2300"/>
      </w:tblGrid>
      <w:tr>
        <w:trPr>
          <w:tblHeader/>
        </w:trPr>
        <w:tc>
          <w:tcPr>
            <w:tcW w:type="dxa" w:w="1400"/>
            <w:tcBorders>
              <w:top w:val="single" w:color="888888" w:sz="4"/>
              <w:left w:val="single" w:color="888888" w:sz="4"/>
              <w:bottom w:val="single" w:color="888888" w:sz="4"/>
              <w:right w:val="single" w:color="888888" w:sz="4"/>
            </w:tcBorders>
            <w:shd w:fill="2E6DA4"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Modele</w:t>
            </w:r>
          </w:p>
        </w:tc>
        <w:tc>
          <w:tcPr>
            <w:tcW w:type="dxa" w:w="1300"/>
            <w:tcBorders>
              <w:top w:val="single" w:color="888888" w:sz="4"/>
              <w:left w:val="single" w:color="888888" w:sz="4"/>
              <w:bottom w:val="single" w:color="888888" w:sz="4"/>
              <w:right w:val="single" w:color="888888" w:sz="4"/>
            </w:tcBorders>
            <w:shd w:fill="2E6DA4"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Type</w:t>
            </w:r>
          </w:p>
        </w:tc>
        <w:tc>
          <w:tcPr>
            <w:tcW w:type="dxa" w:w="1800"/>
            <w:tcBorders>
              <w:top w:val="single" w:color="888888" w:sz="4"/>
              <w:left w:val="single" w:color="888888" w:sz="4"/>
              <w:bottom w:val="single" w:color="888888" w:sz="4"/>
              <w:right w:val="single" w:color="888888" w:sz="4"/>
            </w:tcBorders>
            <w:shd w:fill="2E6DA4"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Variables input</w:t>
            </w:r>
          </w:p>
        </w:tc>
        <w:tc>
          <w:tcPr>
            <w:tcW w:type="dxa" w:w="1300"/>
            <w:tcBorders>
              <w:top w:val="single" w:color="888888" w:sz="4"/>
              <w:left w:val="single" w:color="888888" w:sz="4"/>
              <w:bottom w:val="single" w:color="888888" w:sz="4"/>
              <w:right w:val="single" w:color="888888" w:sz="4"/>
            </w:tcBorders>
            <w:shd w:fill="2E6DA4"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Horizon optimal</w:t>
            </w:r>
          </w:p>
        </w:tc>
        <w:tc>
          <w:tcPr>
            <w:tcW w:type="dxa" w:w="1760"/>
            <w:tcBorders>
              <w:top w:val="single" w:color="888888" w:sz="4"/>
              <w:left w:val="single" w:color="888888" w:sz="4"/>
              <w:bottom w:val="single" w:color="888888" w:sz="4"/>
              <w:right w:val="single" w:color="888888" w:sz="4"/>
            </w:tcBorders>
            <w:shd w:fill="2E6DA4"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MAPE moy. (validation)</w:t>
            </w:r>
          </w:p>
        </w:tc>
        <w:tc>
          <w:tcPr>
            <w:tcW w:type="dxa" w:w="2300"/>
            <w:tcBorders>
              <w:top w:val="single" w:color="888888" w:sz="4"/>
              <w:left w:val="single" w:color="888888" w:sz="4"/>
              <w:bottom w:val="single" w:color="888888" w:sz="4"/>
              <w:right w:val="single" w:color="888888" w:sz="4"/>
            </w:tcBorders>
            <w:shd w:fill="2E6DA4"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Cas d'usage principal</w:t>
            </w:r>
          </w:p>
        </w:tc>
      </w:tr>
      <w:tr>
        <w:tc>
          <w:tcPr>
            <w:tcW w:type="dxa" w:w="14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Prophet (Meta)</w:t>
            </w:r>
          </w:p>
        </w:tc>
        <w:tc>
          <w:tcPr>
            <w:tcW w:type="dxa" w:w="13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Serie temporelle</w:t>
            </w:r>
          </w:p>
        </w:tc>
        <w:tc>
          <w:tcPr>
            <w:tcW w:type="dxa" w:w="18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Historique PIB + saisonnalite</w:t>
            </w:r>
          </w:p>
        </w:tc>
        <w:tc>
          <w:tcPr>
            <w:tcW w:type="dxa" w:w="13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4-8 trimestres</w:t>
            </w:r>
          </w:p>
        </w:tc>
        <w:tc>
          <w:tcPr>
            <w:tcW w:type="dxa" w:w="17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12-18%</w:t>
            </w:r>
          </w:p>
        </w:tc>
        <w:tc>
          <w:tcPr>
            <w:tcW w:type="dxa" w:w="23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PIB, inflation, FDI par pays</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ARIMA(p,d,q)</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Econometre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Serie univariee stationnarisee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2-4 trimestres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8-15%</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Taux directeurs, spreads souverains</w:t>
            </w:r>
          </w:p>
        </w:tc>
      </w:tr>
      <w:tr>
        <w:tc>
          <w:tcPr>
            <w:tcW w:type="dxa" w:w="14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VAR (Vector AR)</w:t>
            </w:r>
          </w:p>
        </w:tc>
        <w:tc>
          <w:tcPr>
            <w:tcW w:type="dxa" w:w="13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Multivarié</w:t>
            </w:r>
          </w:p>
        </w:tc>
        <w:tc>
          <w:tcPr>
            <w:tcW w:type="dxa" w:w="18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PIB + inflation + credit + FX</w:t>
            </w:r>
          </w:p>
        </w:tc>
        <w:tc>
          <w:tcPr>
            <w:tcW w:type="dxa" w:w="13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2-4 trimestres</w:t>
            </w:r>
          </w:p>
        </w:tc>
        <w:tc>
          <w:tcPr>
            <w:tcW w:type="dxa" w:w="17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15-22%</w:t>
            </w:r>
          </w:p>
        </w:tc>
        <w:tc>
          <w:tcPr>
            <w:tcW w:type="dxa" w:w="23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Interactions macro-financieres</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GARCH(1,1)</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Volatilite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Rendements indices boursiers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1-2 trimestres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N/A (volatilite)</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Marches financiers, risque</w:t>
            </w:r>
          </w:p>
        </w:tc>
      </w:tr>
      <w:tr>
        <w:tc>
          <w:tcPr>
            <w:tcW w:type="dxa" w:w="14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Ridge Regression</w:t>
            </w:r>
          </w:p>
        </w:tc>
        <w:tc>
          <w:tcPr>
            <w:tcW w:type="dxa" w:w="13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ML supervise</w:t>
            </w:r>
          </w:p>
        </w:tc>
        <w:tc>
          <w:tcPr>
            <w:tcW w:type="dxa" w:w="18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30+ variables macro-financieres</w:t>
            </w:r>
          </w:p>
        </w:tc>
        <w:tc>
          <w:tcPr>
            <w:tcW w:type="dxa" w:w="13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T+4 trimestres</w:t>
            </w:r>
          </w:p>
        </w:tc>
        <w:tc>
          <w:tcPr>
            <w:tcW w:type="dxa" w:w="17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14-20%</w:t>
            </w:r>
          </w:p>
        </w:tc>
        <w:tc>
          <w:tcPr>
            <w:tcW w:type="dxa" w:w="23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Bancarisation, NPL predictifs</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LSTM (TensorFlow)</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Deep Learning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Multivarié + sentiment</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T+2 trimestres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10-14%</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Pays cluster A avec donnees riches</w:t>
            </w:r>
          </w:p>
        </w:tc>
      </w:tr>
    </w:tbl>
    <w:p>
      <w:pPr>
        <w:spacing w:after="120" w:before="80" w:line="276"/>
        <w:jc w:val="center"/>
      </w:pPr>
      <w:r>
        <w:rPr>
          <w:rFonts w:ascii="Arial" w:cs="Arial" w:eastAsia="Arial" w:hAnsi="Arial"/>
          <w:b w:val="false"/>
          <w:bCs w:val="false"/>
          <w:i/>
          <w:iCs/>
          <w:color w:val="444444"/>
          <w:sz w:val="17"/>
          <w:szCs w:val="17"/>
        </w:rPr>
        <w:t xml:space="preserve">Tableau 10 — Modeles predictifs appliques aux series financieres africaines 2000-2024</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single" w:color="1A3A5C" w:sz="8"/>
              <w:bottom w:val="single" w:color="1A3A5C" w:sz="8"/>
              <w:right w:val="single" w:color="1A3A5C" w:sz="8"/>
            </w:tcBorders>
            <w:shd w:fill="1A3A5C" w:val="clear"/>
            <w:tcMar>
              <w:top w:type="dxa" w:w="160"/>
              <w:left w:type="dxa" w:w="240"/>
              <w:bottom w:type="dxa" w:w="160"/>
              <w:right w:type="dxa" w:w="240"/>
            </w:tcMar>
          </w:tcPr>
          <w:p>
            <w:pPr>
              <w:spacing w:after="0" w:before="0"/>
              <w:jc w:val="left"/>
            </w:pPr>
            <w:r>
              <w:rPr>
                <w:rFonts w:ascii="Arial" w:cs="Arial" w:eastAsia="Arial" w:hAnsi="Arial"/>
                <w:b/>
                <w:bCs/>
                <w:i w:val="false"/>
                <w:iCs w:val="false"/>
                <w:color w:val="FFFFFF"/>
                <w:sz w:val="30"/>
                <w:szCs w:val="30"/>
              </w:rPr>
              <w:t xml:space="preserve">IX  IX. ARCHITECTURE WEBGIS FINANCE AFRIQUE</w:t>
            </w:r>
          </w:p>
        </w:tc>
      </w:tr>
    </w:tbl>
    <w:p>
      <w:pPr>
        <w:spacing w:after="120" w:before="0"/>
      </w:pPr>
      <w:r>
        <w:rPr>
          <w:rFonts w:ascii="Arial" w:cs="Arial" w:eastAsia="Arial" w:hAnsi="Arial"/>
          <w:b w:val="false"/>
          <w:bCs w:val="false"/>
          <w:i w:val="false"/>
          <w:iCs w:val="false"/>
          <w:color w:val="000000"/>
          <w:sz w:val="20"/>
          <w:szCs w:val="20"/>
        </w:rPr>
        <w:t xml:space="preserve"/>
      </w:r>
    </w:p>
    <w:p>
      <w:pPr>
        <w:pStyle w:val="Heading2"/>
        <w:spacing w:after="140" w:before="280"/>
      </w:pPr>
      <w:r>
        <w:rPr>
          <w:rFonts w:ascii="Arial" w:cs="Arial" w:eastAsia="Arial" w:hAnsi="Arial"/>
          <w:b/>
          <w:bCs/>
          <w:color w:val="1A3A5C"/>
          <w:sz w:val="28"/>
          <w:szCs w:val="28"/>
        </w:rPr>
        <w:t xml:space="preserve">9.1 Conception et philosophie technique</w:t>
      </w:r>
    </w:p>
    <w:p>
      <w:pPr>
        <w:spacing w:after="160" w:before="0" w:line="316"/>
        <w:jc w:val="left"/>
      </w:pPr>
      <w:r>
        <w:rPr>
          <w:rFonts w:ascii="Arial" w:cs="Arial" w:eastAsia="Arial" w:hAnsi="Arial"/>
          <w:b w:val="false"/>
          <w:bCs w:val="false"/>
          <w:i w:val="false"/>
          <w:iCs w:val="false"/>
          <w:color w:val="444444"/>
          <w:sz w:val="20"/>
          <w:szCs w:val="20"/>
        </w:rPr>
        <w:t xml:space="preserve">La plateforme WebGIS Finance Afrique est concue comme un observatoire financier interactif du continent africain, permettant de visualiser, analyser et comparer les 80+ indicateurs de la base de donnees Africa Finance Database sur une carte dynamique par pays, region et periode. L'architecture adopte quatre principes directeurs :</w:t>
      </w:r>
    </w:p>
    <w:p>
      <w:pPr>
        <w:pStyle w:val="ListParagraph"/>
        <w:numPr>
          <w:ilvl w:val="0"/>
          <w:numId w:val="2"/>
        </w:numPr>
        <w:spacing w:after="60" w:before="40" w:line="276"/>
      </w:pPr>
      <w:r>
        <w:rPr>
          <w:rFonts w:ascii="Arial" w:cs="Arial" w:eastAsia="Arial" w:hAnsi="Arial"/>
          <w:b w:val="false"/>
          <w:bCs w:val="false"/>
          <w:i w:val="false"/>
          <w:iCs w:val="false"/>
          <w:color w:val="444444"/>
          <w:sz w:val="19"/>
          <w:szCs w:val="19"/>
        </w:rPr>
        <w:t xml:space="preserve">OPENNESS : Stack 100% open source (Leaflet/PostGIS/FastAPI/React). Toutes les donnees aggregees publiees en format GeoJSON et CSV sous licence Creative Commons pour favoriser la recherche.</w:t>
      </w:r>
    </w:p>
    <w:p>
      <w:pPr>
        <w:pStyle w:val="ListParagraph"/>
        <w:numPr>
          <w:ilvl w:val="0"/>
          <w:numId w:val="2"/>
        </w:numPr>
        <w:spacing w:after="60" w:before="40" w:line="276"/>
      </w:pPr>
      <w:r>
        <w:rPr>
          <w:rFonts w:ascii="Arial" w:cs="Arial" w:eastAsia="Arial" w:hAnsi="Arial"/>
          <w:b w:val="false"/>
          <w:bCs w:val="false"/>
          <w:i w:val="false"/>
          <w:iCs w:val="false"/>
          <w:color w:val="444444"/>
          <w:sz w:val="19"/>
          <w:szCs w:val="19"/>
        </w:rPr>
        <w:t xml:space="preserve">PERFORMANCE AFRICAINE : Architecture optimisee pour des connexions bas debit (precompilation des tuiles, cache Redis agressif, mode offline ServiceWorker). Cible : fonctionnement acceptable sur 3G avec 500 Ko de transfert initial.</w:t>
      </w:r>
    </w:p>
    <w:p>
      <w:pPr>
        <w:pStyle w:val="ListParagraph"/>
        <w:numPr>
          <w:ilvl w:val="0"/>
          <w:numId w:val="2"/>
        </w:numPr>
        <w:spacing w:after="60" w:before="40" w:line="276"/>
      </w:pPr>
      <w:r>
        <w:rPr>
          <w:rFonts w:ascii="Arial" w:cs="Arial" w:eastAsia="Arial" w:hAnsi="Arial"/>
          <w:b w:val="false"/>
          <w:bCs w:val="false"/>
          <w:i w:val="false"/>
          <w:iCs w:val="false"/>
          <w:color w:val="444444"/>
          <w:sz w:val="19"/>
          <w:szCs w:val="19"/>
        </w:rPr>
        <w:t xml:space="preserve">INTEROPERABILITE OGC : Conformite aux standards Web Map Service (WMS), Web Feature Service (WFS) pour integration avec QGIS, ArcGIS et autres outils SIG des ministeres et institutions africaines.</w:t>
      </w:r>
    </w:p>
    <w:p>
      <w:pPr>
        <w:pStyle w:val="ListParagraph"/>
        <w:numPr>
          <w:ilvl w:val="0"/>
          <w:numId w:val="2"/>
        </w:numPr>
        <w:spacing w:after="60" w:before="40" w:line="276"/>
      </w:pPr>
      <w:r>
        <w:rPr>
          <w:rFonts w:ascii="Arial" w:cs="Arial" w:eastAsia="Arial" w:hAnsi="Arial"/>
          <w:b w:val="false"/>
          <w:bCs w:val="false"/>
          <w:i w:val="false"/>
          <w:iCs w:val="false"/>
          <w:color w:val="444444"/>
          <w:sz w:val="19"/>
          <w:szCs w:val="19"/>
        </w:rPr>
        <w:t xml:space="preserve">SCALABILITE CONTINENTALE : Architecture microservices Docker permettant un deploiement distribue sur des serveurs regionaux (Afrinic, AWS Afrique du Sud, OVH Dakar) pour minimiser la latence.</w:t>
      </w:r>
    </w:p>
    <w:p>
      <w:pPr>
        <w:spacing w:after="80" w:before="0"/>
      </w:pPr>
      <w:r>
        <w:rPr>
          <w:rFonts w:ascii="Arial" w:cs="Arial" w:eastAsia="Arial" w:hAnsi="Arial"/>
          <w:b w:val="false"/>
          <w:bCs w:val="false"/>
          <w:i w:val="false"/>
          <w:iCs w:val="false"/>
          <w:color w:val="000000"/>
          <w:sz w:val="20"/>
          <w:szCs w:val="20"/>
        </w:rPr>
        <w:t xml:space="preserve"/>
      </w:r>
    </w:p>
    <w:p>
      <w:pPr>
        <w:pStyle w:val="Heading2"/>
        <w:spacing w:after="140" w:before="280"/>
      </w:pPr>
      <w:r>
        <w:rPr>
          <w:rFonts w:ascii="Arial" w:cs="Arial" w:eastAsia="Arial" w:hAnsi="Arial"/>
          <w:b/>
          <w:bCs/>
          <w:color w:val="1A3A5C"/>
          <w:sz w:val="28"/>
          <w:szCs w:val="28"/>
        </w:rPr>
        <w:t xml:space="preserve">9.2 Stack technologique et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900"/>
        <w:gridCol w:w="2000"/>
        <w:gridCol w:w="3560"/>
      </w:tblGrid>
      <w:tr>
        <w:trPr>
          <w:tblHeader/>
        </w:trPr>
        <w:tc>
          <w:tcPr>
            <w:tcW w:type="dxa" w:w="1300"/>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Couche</w:t>
            </w:r>
          </w:p>
        </w:tc>
        <w:tc>
          <w:tcPr>
            <w:tcW w:type="dxa" w:w="1600"/>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Technologie</w:t>
            </w:r>
          </w:p>
        </w:tc>
        <w:tc>
          <w:tcPr>
            <w:tcW w:type="dxa" w:w="900"/>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Version</w:t>
            </w:r>
          </w:p>
        </w:tc>
        <w:tc>
          <w:tcPr>
            <w:tcW w:type="dxa" w:w="2000"/>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Role</w:t>
            </w:r>
          </w:p>
        </w:tc>
        <w:tc>
          <w:tcPr>
            <w:tcW w:type="dxa" w:w="3560"/>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Justification choix</w:t>
            </w:r>
          </w:p>
        </w:tc>
      </w:tr>
      <w:tr>
        <w:tc>
          <w:tcPr>
            <w:tcW w:type="dxa" w:w="13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Carte principale</w:t>
            </w:r>
          </w:p>
        </w:tc>
        <w:tc>
          <w:tcPr>
            <w:tcW w:type="dxa" w:w="16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Leaflet.js</w:t>
            </w:r>
          </w:p>
        </w:tc>
        <w:tc>
          <w:tcPr>
            <w:tcW w:type="dxa" w:w="9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1.9.4</w:t>
            </w:r>
          </w:p>
        </w:tc>
        <w:tc>
          <w:tcPr>
            <w:tcW w:type="dxa" w:w="20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Rendu cartographique interactif</w:t>
            </w:r>
          </w:p>
        </w:tc>
        <w:tc>
          <w:tcPr>
            <w:tcW w:type="dxa" w:w="35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Open source, leger (42 Ko), mobile-first</w:t>
            </w:r>
          </w:p>
        </w:tc>
      </w:tr>
      <w:tr>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Tiles avancees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MapLibre GL JS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3.6</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Rendu vectoriel GPU (WebGL)</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Performance superieure pour 54 pays polygones</w:t>
            </w:r>
          </w:p>
        </w:tc>
      </w:tr>
      <w:tr>
        <w:tc>
          <w:tcPr>
            <w:tcW w:type="dxa" w:w="13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Frontend UI</w:t>
            </w:r>
          </w:p>
        </w:tc>
        <w:tc>
          <w:tcPr>
            <w:tcW w:type="dxa" w:w="16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React 18 + TypeScript</w:t>
            </w:r>
          </w:p>
        </w:tc>
        <w:tc>
          <w:tcPr>
            <w:tcW w:type="dxa" w:w="9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18.3</w:t>
            </w:r>
          </w:p>
        </w:tc>
        <w:tc>
          <w:tcPr>
            <w:tcW w:type="dxa" w:w="20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Dashboard, filtres, graphiques</w:t>
            </w:r>
          </w:p>
        </w:tc>
        <w:tc>
          <w:tcPr>
            <w:tcW w:type="dxa" w:w="35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Composants reutilisables, typage fort</w:t>
            </w:r>
          </w:p>
        </w:tc>
      </w:tr>
      <w:tr>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Visualisation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Recharts + D3.js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2.x / 7.x</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Graphiques financiers avances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Personnalisation totale des axes, formats</w:t>
            </w:r>
          </w:p>
        </w:tc>
      </w:tr>
      <w:tr>
        <w:tc>
          <w:tcPr>
            <w:tcW w:type="dxa" w:w="13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Backend API</w:t>
            </w:r>
          </w:p>
        </w:tc>
        <w:tc>
          <w:tcPr>
            <w:tcW w:type="dxa" w:w="16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FastAPI (Python 3.12)</w:t>
            </w:r>
          </w:p>
        </w:tc>
        <w:tc>
          <w:tcPr>
            <w:tcW w:type="dxa" w:w="9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0.110</w:t>
            </w:r>
          </w:p>
        </w:tc>
        <w:tc>
          <w:tcPr>
            <w:tcW w:type="dxa" w:w="20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REST API + WebSocket</w:t>
            </w:r>
          </w:p>
        </w:tc>
        <w:tc>
          <w:tcPr>
            <w:tcW w:type="dxa" w:w="35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Async natif, autodoc OpenAPI 3.0, rapidite</w:t>
            </w:r>
          </w:p>
        </w:tc>
      </w:tr>
      <w:tr>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Base donnees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PostgreSQL 16 + PostGIS 3.4</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Stockage geospatial + requetes SIG</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Standard OGC, ST_functions, jsonb</w:t>
            </w:r>
          </w:p>
        </w:tc>
      </w:tr>
      <w:tr>
        <w:tc>
          <w:tcPr>
            <w:tcW w:type="dxa" w:w="13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Time series</w:t>
            </w:r>
          </w:p>
        </w:tc>
        <w:tc>
          <w:tcPr>
            <w:tcW w:type="dxa" w:w="16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TimescaleDB</w:t>
            </w:r>
          </w:p>
        </w:tc>
        <w:tc>
          <w:tcPr>
            <w:tcW w:type="dxa" w:w="9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2.14</w:t>
            </w:r>
          </w:p>
        </w:tc>
        <w:tc>
          <w:tcPr>
            <w:tcW w:type="dxa" w:w="20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Optimisation series temporelles</w:t>
            </w:r>
          </w:p>
        </w:tc>
        <w:tc>
          <w:tcPr>
            <w:tcW w:type="dxa" w:w="35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Compression 90%, requetes 10x plus rapides</w:t>
            </w:r>
          </w:p>
        </w:tc>
      </w:tr>
      <w:tr>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Cache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Redis 7.2</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Cache requetes et sessions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Latence &lt; 5ms pour KPIs frequents</w:t>
            </w:r>
          </w:p>
        </w:tc>
      </w:tr>
      <w:tr>
        <w:tc>
          <w:tcPr>
            <w:tcW w:type="dxa" w:w="13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Queue</w:t>
            </w:r>
          </w:p>
        </w:tc>
        <w:tc>
          <w:tcPr>
            <w:tcW w:type="dxa" w:w="16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Celery + RabbitMQ</w:t>
            </w:r>
          </w:p>
        </w:tc>
        <w:tc>
          <w:tcPr>
            <w:tcW w:type="dxa" w:w="9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5.x</w:t>
            </w:r>
          </w:p>
        </w:tc>
        <w:tc>
          <w:tcPr>
            <w:tcW w:type="dxa" w:w="20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Taches async, jobs ML</w:t>
            </w:r>
          </w:p>
        </w:tc>
        <w:tc>
          <w:tcPr>
            <w:tcW w:type="dxa" w:w="35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Decoupled processing, retry automatique</w:t>
            </w:r>
          </w:p>
        </w:tc>
      </w:tr>
      <w:tr>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Geocodage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Nominatim (OSM)</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Geocodage et recherche lieu</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Gratuit, couverture africaine adequate</w:t>
            </w:r>
          </w:p>
        </w:tc>
      </w:tr>
      <w:tr>
        <w:tc>
          <w:tcPr>
            <w:tcW w:type="dxa" w:w="13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Tiles server</w:t>
            </w:r>
          </w:p>
        </w:tc>
        <w:tc>
          <w:tcPr>
            <w:tcW w:type="dxa" w:w="16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TileServer GL</w:t>
            </w:r>
          </w:p>
        </w:tc>
        <w:tc>
          <w:tcPr>
            <w:tcW w:type="dxa" w:w="9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w:t>
            </w:r>
          </w:p>
        </w:tc>
        <w:tc>
          <w:tcPr>
            <w:tcW w:type="dxa" w:w="20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Tuiles vectorielles africaines</w:t>
            </w:r>
          </w:p>
        </w:tc>
        <w:tc>
          <w:tcPr>
            <w:tcW w:type="dxa" w:w="35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Geometries simplifiees pour performance</w:t>
            </w:r>
          </w:p>
        </w:tc>
      </w:tr>
      <w:tr>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Monitoring</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Grafana + Prometheus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Observabilite production</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Alertes, dashboards operationnels</w:t>
            </w:r>
          </w:p>
        </w:tc>
      </w:tr>
      <w:tr>
        <w:tc>
          <w:tcPr>
            <w:tcW w:type="dxa" w:w="13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CI/CD</w:t>
            </w:r>
          </w:p>
        </w:tc>
        <w:tc>
          <w:tcPr>
            <w:tcW w:type="dxa" w:w="16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GitHub Actions + Docker</w:t>
            </w:r>
          </w:p>
        </w:tc>
        <w:tc>
          <w:tcPr>
            <w:tcW w:type="dxa" w:w="9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w:t>
            </w:r>
          </w:p>
        </w:tc>
        <w:tc>
          <w:tcPr>
            <w:tcW w:type="dxa" w:w="20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Conteneurisation, deploiement</w:t>
            </w:r>
          </w:p>
        </w:tc>
        <w:tc>
          <w:tcPr>
            <w:tcW w:type="dxa" w:w="35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Reproductibilite, versioning infrastructure</w:t>
            </w:r>
          </w:p>
        </w:tc>
      </w:tr>
    </w:tbl>
    <w:p>
      <w:pPr>
        <w:spacing w:after="120" w:before="80" w:line="276"/>
        <w:jc w:val="center"/>
      </w:pPr>
      <w:r>
        <w:rPr>
          <w:rFonts w:ascii="Arial" w:cs="Arial" w:eastAsia="Arial" w:hAnsi="Arial"/>
          <w:b w:val="false"/>
          <w:bCs w:val="false"/>
          <w:i/>
          <w:iCs/>
          <w:color w:val="444444"/>
          <w:sz w:val="17"/>
          <w:szCs w:val="17"/>
        </w:rPr>
        <w:t xml:space="preserve">Tableau 11 — Stack technologique complet WebGIS Finance Afrique</w:t>
      </w:r>
    </w:p>
    <w:p>
      <w:pPr>
        <w:spacing w:after="80" w:before="0"/>
      </w:pPr>
      <w:r>
        <w:rPr>
          <w:rFonts w:ascii="Arial" w:cs="Arial" w:eastAsia="Arial" w:hAnsi="Arial"/>
          <w:b w:val="false"/>
          <w:bCs w:val="false"/>
          <w:i w:val="false"/>
          <w:iCs w:val="false"/>
          <w:color w:val="000000"/>
          <w:sz w:val="20"/>
          <w:szCs w:val="20"/>
        </w:rPr>
        <w:t xml:space="preserve"/>
      </w:r>
    </w:p>
    <w:p>
      <w:pPr>
        <w:pStyle w:val="Heading2"/>
        <w:spacing w:after="140" w:before="280"/>
      </w:pPr>
      <w:r>
        <w:rPr>
          <w:rFonts w:ascii="Arial" w:cs="Arial" w:eastAsia="Arial" w:hAnsi="Arial"/>
          <w:b/>
          <w:bCs/>
          <w:color w:val="1A3A5C"/>
          <w:sz w:val="28"/>
          <w:szCs w:val="28"/>
        </w:rPr>
        <w:t xml:space="preserve">9.3 Modules cartographiques et couches de donnees</w:t>
      </w:r>
    </w:p>
    <w:p>
      <w:pPr>
        <w:spacing w:after="160" w:before="0" w:line="316"/>
        <w:jc w:val="left"/>
      </w:pPr>
      <w:r>
        <w:rPr>
          <w:rFonts w:ascii="Arial" w:cs="Arial" w:eastAsia="Arial" w:hAnsi="Arial"/>
          <w:b w:val="false"/>
          <w:bCs w:val="false"/>
          <w:i w:val="false"/>
          <w:iCs w:val="false"/>
          <w:color w:val="444444"/>
          <w:sz w:val="20"/>
          <w:szCs w:val="20"/>
        </w:rPr>
        <w:t xml:space="preserve">Le WebGIS est organise en six modules cartographiques independants mais interoperables, chacun correspondant a une dimension analytique de la base de donnees :</w:t>
      </w:r>
    </w:p>
    <w:p>
      <w:pPr>
        <w:spacing w:after="6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1500"/>
        <w:gridCol w:w="2860"/>
      </w:tblGrid>
      <w:tr>
        <w:trPr>
          <w:tblHeader/>
        </w:trPr>
        <w:tc>
          <w:tcPr>
            <w:tcW w:type="dxa" w:w="1400"/>
            <w:tcBorders>
              <w:top w:val="single" w:color="888888" w:sz="4"/>
              <w:left w:val="single" w:color="888888" w:sz="4"/>
              <w:bottom w:val="single" w:color="888888" w:sz="4"/>
              <w:right w:val="single" w:color="888888" w:sz="4"/>
            </w:tcBorders>
            <w:shd w:fill="117A65"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Module</w:t>
            </w:r>
          </w:p>
        </w:tc>
        <w:tc>
          <w:tcPr>
            <w:tcW w:type="dxa" w:w="1800"/>
            <w:tcBorders>
              <w:top w:val="single" w:color="888888" w:sz="4"/>
              <w:left w:val="single" w:color="888888" w:sz="4"/>
              <w:bottom w:val="single" w:color="888888" w:sz="4"/>
              <w:right w:val="single" w:color="888888" w:sz="4"/>
            </w:tcBorders>
            <w:shd w:fill="117A65"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Couches Leaflet</w:t>
            </w:r>
          </w:p>
        </w:tc>
        <w:tc>
          <w:tcPr>
            <w:tcW w:type="dxa" w:w="1800"/>
            <w:tcBorders>
              <w:top w:val="single" w:color="888888" w:sz="4"/>
              <w:left w:val="single" w:color="888888" w:sz="4"/>
              <w:bottom w:val="single" w:color="888888" w:sz="4"/>
              <w:right w:val="single" w:color="888888" w:sz="4"/>
            </w:tcBorders>
            <w:shd w:fill="117A65"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Donnees source (onglet)</w:t>
            </w:r>
          </w:p>
        </w:tc>
        <w:tc>
          <w:tcPr>
            <w:tcW w:type="dxa" w:w="1500"/>
            <w:tcBorders>
              <w:top w:val="single" w:color="888888" w:sz="4"/>
              <w:left w:val="single" w:color="888888" w:sz="4"/>
              <w:bottom w:val="single" w:color="888888" w:sz="4"/>
              <w:right w:val="single" w:color="888888" w:sz="4"/>
            </w:tcBorders>
            <w:shd w:fill="117A65"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Interactions</w:t>
            </w:r>
          </w:p>
        </w:tc>
        <w:tc>
          <w:tcPr>
            <w:tcW w:type="dxa" w:w="2860"/>
            <w:tcBorders>
              <w:top w:val="single" w:color="888888" w:sz="4"/>
              <w:left w:val="single" w:color="888888" w:sz="4"/>
              <w:bottom w:val="single" w:color="888888" w:sz="4"/>
              <w:right w:val="single" w:color="888888" w:sz="4"/>
            </w:tcBorders>
            <w:shd w:fill="117A65"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18"/>
                <w:szCs w:val="18"/>
              </w:rPr>
              <w:t xml:space="preserve">Analyse supportee</w:t>
            </w:r>
          </w:p>
        </w:tc>
      </w:tr>
      <w:tr>
        <w:tc>
          <w:tcPr>
            <w:tcW w:type="dxa" w:w="14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Macro Afrique</w:t>
            </w:r>
          </w:p>
        </w:tc>
        <w:tc>
          <w:tcPr>
            <w:tcW w:type="dxa" w:w="18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Choroplethes PIB, croissance, inflation</w:t>
            </w:r>
          </w:p>
        </w:tc>
        <w:tc>
          <w:tcPr>
            <w:tcW w:type="dxa" w:w="18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Macroeconomie Annuelle</w:t>
            </w:r>
          </w:p>
        </w:tc>
        <w:tc>
          <w:tcPr>
            <w:tcW w:type="dxa" w:w="15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Slider annee, filtres region</w:t>
            </w:r>
          </w:p>
        </w:tc>
        <w:tc>
          <w:tcPr>
            <w:tcW w:type="dxa" w:w="28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Convergence, cycles, crises</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Bancarisation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Heatmap densite bancaire, ATM/1k hab.</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Secteur Bancaire Annuel</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Comparaison pays, timeline</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Financial inclusion gap</w:t>
            </w:r>
          </w:p>
        </w:tc>
      </w:tr>
      <w:tr>
        <w:tc>
          <w:tcPr>
            <w:tcW w:type="dxa" w:w="14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Mobile Money</w:t>
            </w:r>
          </w:p>
        </w:tc>
        <w:tc>
          <w:tcPr>
            <w:tcW w:type="dxa" w:w="18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Bulles operateurs, flux transactions</w:t>
            </w:r>
          </w:p>
        </w:tc>
        <w:tc>
          <w:tcPr>
            <w:tcW w:type="dxa" w:w="18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Fintech &amp; Mobile Money</w:t>
            </w:r>
          </w:p>
        </w:tc>
        <w:tc>
          <w:tcPr>
            <w:tcW w:type="dxa" w:w="15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Filtre operateur, periode</w:t>
            </w:r>
          </w:p>
        </w:tc>
        <w:tc>
          <w:tcPr>
            <w:tcW w:type="dxa" w:w="28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Diffusion innovation financiere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Marches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Symboles bourses, spreads couleurs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Marches Financiers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Pop-up details, courbes</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Risque souverain, arbitrage</w:t>
            </w:r>
          </w:p>
        </w:tc>
      </w:tr>
      <w:tr>
        <w:tc>
          <w:tcPr>
            <w:tcW w:type="dxa" w:w="14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Microfinance</w:t>
            </w:r>
          </w:p>
        </w:tc>
        <w:tc>
          <w:tcPr>
            <w:tcW w:type="dxa" w:w="18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Points IMF, densite PAR30</w:t>
            </w:r>
          </w:p>
        </w:tc>
        <w:tc>
          <w:tcPr>
            <w:tcW w:type="dxa" w:w="18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Microfinance &amp; Inclusion</w:t>
            </w:r>
          </w:p>
        </w:tc>
        <w:tc>
          <w:tcPr>
            <w:tcW w:type="dxa" w:w="15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Cluster zoom, filtres genre</w:t>
            </w:r>
          </w:p>
        </w:tc>
        <w:tc>
          <w:tcPr>
            <w:tcW w:type="dxa" w:w="28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Inclusion rurale, genre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Crises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Timeline crises, impact geographique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Crises &amp; Chocs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Filtre type crise, severite</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444444"/>
                <w:sz w:val="17"/>
                <w:szCs w:val="17"/>
              </w:rPr>
              <w:t xml:space="preserve">Resilience, contagion</w:t>
            </w:r>
          </w:p>
        </w:tc>
      </w:tr>
    </w:tbl>
    <w:p>
      <w:pPr>
        <w:spacing w:after="120" w:before="80" w:line="276"/>
        <w:jc w:val="center"/>
      </w:pPr>
      <w:r>
        <w:rPr>
          <w:rFonts w:ascii="Arial" w:cs="Arial" w:eastAsia="Arial" w:hAnsi="Arial"/>
          <w:b w:val="false"/>
          <w:bCs w:val="false"/>
          <w:i/>
          <w:iCs/>
          <w:color w:val="444444"/>
          <w:sz w:val="17"/>
          <w:szCs w:val="17"/>
        </w:rPr>
        <w:t xml:space="preserve">Tableau 12 — Modules cartographiques et architecture des couches de donnees</w:t>
      </w:r>
    </w:p>
    <w:p>
      <w:pPr>
        <w:spacing w:after="80" w:before="0"/>
      </w:pPr>
      <w:r>
        <w:rPr>
          <w:rFonts w:ascii="Arial" w:cs="Arial" w:eastAsia="Arial" w:hAnsi="Arial"/>
          <w:b w:val="false"/>
          <w:bCs w:val="false"/>
          <w:i w:val="false"/>
          <w:iCs w:val="false"/>
          <w:color w:val="000000"/>
          <w:sz w:val="20"/>
          <w:szCs w:val="20"/>
        </w:rPr>
        <w:t xml:space="preserve"/>
      </w:r>
    </w:p>
    <w:p>
      <w:pPr>
        <w:pStyle w:val="Heading2"/>
        <w:spacing w:after="140" w:before="280"/>
      </w:pPr>
      <w:r>
        <w:rPr>
          <w:rFonts w:ascii="Arial" w:cs="Arial" w:eastAsia="Arial" w:hAnsi="Arial"/>
          <w:b/>
          <w:bCs/>
          <w:color w:val="1A3A5C"/>
          <w:sz w:val="28"/>
          <w:szCs w:val="28"/>
        </w:rPr>
        <w:t xml:space="preserve">9.4 Pipeline de donnees temps reel et API Finance</w:t>
      </w:r>
    </w:p>
    <w:p>
      <w:pPr>
        <w:spacing w:after="160" w:before="0" w:line="316"/>
        <w:jc w:val="left"/>
      </w:pPr>
      <w:r>
        <w:rPr>
          <w:rFonts w:ascii="Arial" w:cs="Arial" w:eastAsia="Arial" w:hAnsi="Arial"/>
          <w:b w:val="false"/>
          <w:bCs w:val="false"/>
          <w:i w:val="false"/>
          <w:iCs w:val="false"/>
          <w:color w:val="444444"/>
          <w:sz w:val="20"/>
          <w:szCs w:val="20"/>
        </w:rPr>
        <w:t xml:space="preserve">L'API Finance Afrique expose les donnees de la base via des endpoints REST documentees (OpenAPI 3.0). Architecture des principaux endpoints :</w:t>
      </w:r>
    </w:p>
    <w:p>
      <w:pPr>
        <w:spacing w:after="10" w:before="40"/>
        <w:ind w:left="360"/>
      </w:pPr>
      <w:r>
        <w:rPr>
          <w:rFonts w:ascii="Courier New" w:cs="Courier New" w:eastAsia="Courier New" w:hAnsi="Courier New"/>
          <w:b w:val="false"/>
          <w:bCs w:val="false"/>
          <w:i w:val="false"/>
          <w:iCs w:val="false"/>
          <w:color w:val="2E6DA4"/>
          <w:sz w:val="17"/>
          <w:szCs w:val="17"/>
        </w:rPr>
        <w:t xml:space="preserve">GET  /api/v1/macro/{pays}?year={2024}&amp;indicators=pib,croissance,inflation</w:t>
      </w:r>
    </w:p>
    <w:p>
      <w:pPr>
        <w:spacing w:after="10" w:before="10"/>
        <w:ind w:left="360"/>
      </w:pPr>
      <w:r>
        <w:rPr>
          <w:rFonts w:ascii="Courier New" w:cs="Courier New" w:eastAsia="Courier New" w:hAnsi="Courier New"/>
          <w:b w:val="false"/>
          <w:bCs w:val="false"/>
          <w:i w:val="false"/>
          <w:iCs w:val="false"/>
          <w:color w:val="2E6DA4"/>
          <w:sz w:val="17"/>
          <w:szCs w:val="17"/>
        </w:rPr>
        <w:t xml:space="preserve">GET  /api/v1/banking/{region}?year_range=2000-2024&amp;metrics=npl,car,roe</w:t>
      </w:r>
    </w:p>
    <w:p>
      <w:pPr>
        <w:spacing w:after="10" w:before="10"/>
        <w:ind w:left="360"/>
      </w:pPr>
      <w:r>
        <w:rPr>
          <w:rFonts w:ascii="Courier New" w:cs="Courier New" w:eastAsia="Courier New" w:hAnsi="Courier New"/>
          <w:b w:val="false"/>
          <w:bCs w:val="false"/>
          <w:i w:val="false"/>
          <w:iCs w:val="false"/>
          <w:color w:val="2E6DA4"/>
          <w:sz w:val="17"/>
          <w:szCs w:val="17"/>
        </w:rPr>
        <w:t xml:space="preserve">GET  /api/v1/fintech/mobile-money?format=geojson&amp;year=2024</w:t>
      </w:r>
    </w:p>
    <w:p>
      <w:pPr>
        <w:spacing w:after="10" w:before="10"/>
        <w:ind w:left="360"/>
      </w:pPr>
      <w:r>
        <w:rPr>
          <w:rFonts w:ascii="Courier New" w:cs="Courier New" w:eastAsia="Courier New" w:hAnsi="Courier New"/>
          <w:b w:val="false"/>
          <w:bCs w:val="false"/>
          <w:i w:val="false"/>
          <w:iCs w:val="false"/>
          <w:color w:val="2E6DA4"/>
          <w:sz w:val="17"/>
          <w:szCs w:val="17"/>
        </w:rPr>
        <w:t xml:space="preserve">GET  /api/v1/markets/{bourse}/index?period=1Y&amp;interval=quarterly</w:t>
      </w:r>
    </w:p>
    <w:p>
      <w:pPr>
        <w:spacing w:after="40" w:before="10"/>
        <w:ind w:left="360"/>
      </w:pPr>
      <w:r>
        <w:rPr>
          <w:rFonts w:ascii="Courier New" w:cs="Courier New" w:eastAsia="Courier New" w:hAnsi="Courier New"/>
          <w:b w:val="false"/>
          <w:bCs w:val="false"/>
          <w:i w:val="false"/>
          <w:iCs w:val="false"/>
          <w:color w:val="2E6DA4"/>
          <w:sz w:val="17"/>
          <w:szCs w:val="17"/>
        </w:rPr>
        <w:t xml:space="preserve">POST /api/v1/predict/{pays}?model=prophet&amp;horizon=8&amp;target=bancarisation</w:t>
      </w:r>
    </w:p>
    <w:p>
      <w:pPr>
        <w:spacing w:after="160" w:before="0" w:line="316"/>
        <w:jc w:val="left"/>
      </w:pPr>
      <w:r>
        <w:rPr>
          <w:rFonts w:ascii="Arial" w:cs="Arial" w:eastAsia="Arial" w:hAnsi="Arial"/>
          <w:b w:val="false"/>
          <w:bCs w:val="false"/>
          <w:i w:val="false"/>
          <w:iCs w:val="false"/>
          <w:color w:val="444444"/>
          <w:sz w:val="20"/>
          <w:szCs w:val="20"/>
        </w:rPr>
        <w:t xml:space="preserve">Exemple de requete PostGIS — Pays africains avec bancarisation &gt; 50% et NPL &lt; 8% :</w:t>
      </w:r>
    </w:p>
    <w:p>
      <w:pPr>
        <w:spacing w:after="10" w:before="40"/>
        <w:ind w:left="360"/>
      </w:pPr>
      <w:r>
        <w:rPr>
          <w:rFonts w:ascii="Courier New" w:cs="Courier New" w:eastAsia="Courier New" w:hAnsi="Courier New"/>
          <w:b w:val="false"/>
          <w:bCs w:val="false"/>
          <w:i w:val="false"/>
          <w:iCs w:val="false"/>
          <w:color w:val="2E6DA4"/>
          <w:sz w:val="17"/>
          <w:szCs w:val="17"/>
        </w:rPr>
        <w:t xml:space="preserve">SELECT p.country, p.region, b.bancarisation, b.npl, ST_AsGeoJSON(p.geom) as geometry</w:t>
      </w:r>
    </w:p>
    <w:p>
      <w:pPr>
        <w:spacing w:after="10" w:before="10"/>
        <w:ind w:left="360"/>
      </w:pPr>
      <w:r>
        <w:rPr>
          <w:rFonts w:ascii="Courier New" w:cs="Courier New" w:eastAsia="Courier New" w:hAnsi="Courier New"/>
          <w:b w:val="false"/>
          <w:bCs w:val="false"/>
          <w:i w:val="false"/>
          <w:iCs w:val="false"/>
          <w:color w:val="2E6DA4"/>
          <w:sz w:val="17"/>
          <w:szCs w:val="17"/>
        </w:rPr>
        <w:t xml:space="preserve">FROM countries_profile p JOIN banking_annual b ON p.iso3 = b.iso3</w:t>
      </w:r>
    </w:p>
    <w:p>
      <w:pPr>
        <w:spacing w:after="10" w:before="10"/>
        <w:ind w:left="360"/>
      </w:pPr>
      <w:r>
        <w:rPr>
          <w:rFonts w:ascii="Courier New" w:cs="Courier New" w:eastAsia="Courier New" w:hAnsi="Courier New"/>
          <w:b w:val="false"/>
          <w:bCs w:val="false"/>
          <w:i w:val="false"/>
          <w:iCs w:val="false"/>
          <w:color w:val="2E6DA4"/>
          <w:sz w:val="17"/>
          <w:szCs w:val="17"/>
        </w:rPr>
        <w:t xml:space="preserve">WHERE b.year = 2024 AND b.bancarisation &gt; 50 AND b.npl &lt; 8</w:t>
      </w:r>
    </w:p>
    <w:p>
      <w:pPr>
        <w:spacing w:after="60" w:before="10"/>
        <w:ind w:left="360"/>
      </w:pPr>
      <w:r>
        <w:rPr>
          <w:rFonts w:ascii="Courier New" w:cs="Courier New" w:eastAsia="Courier New" w:hAnsi="Courier New"/>
          <w:b w:val="false"/>
          <w:bCs w:val="false"/>
          <w:i w:val="false"/>
          <w:iCs w:val="false"/>
          <w:color w:val="2E6DA4"/>
          <w:sz w:val="17"/>
          <w:szCs w:val="17"/>
        </w:rPr>
        <w:t xml:space="preserve">ORDER BY b.bancarisation DESC;</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8"/>
              <w:left w:val="single" w:color="1E8449" w:sz="8"/>
              <w:bottom w:val="single" w:color="1E8449" w:sz="8"/>
              <w:right w:val="single" w:color="1E8449" w:sz="8"/>
            </w:tcBorders>
            <w:shd w:fill="1E8449" w:val="clear"/>
            <w:tcMar>
              <w:top w:type="dxa" w:w="160"/>
              <w:left w:type="dxa" w:w="240"/>
              <w:bottom w:type="dxa" w:w="160"/>
              <w:right w:type="dxa" w:w="240"/>
            </w:tcMar>
          </w:tcPr>
          <w:p>
            <w:pPr>
              <w:spacing w:after="0" w:before="0"/>
              <w:jc w:val="left"/>
            </w:pPr>
            <w:r>
              <w:rPr>
                <w:rFonts w:ascii="Arial" w:cs="Arial" w:eastAsia="Arial" w:hAnsi="Arial"/>
                <w:b/>
                <w:bCs/>
                <w:i w:val="false"/>
                <w:iCs w:val="false"/>
                <w:color w:val="FFFFFF"/>
                <w:sz w:val="30"/>
                <w:szCs w:val="30"/>
              </w:rPr>
              <w:t xml:space="preserve">X  X. RECOMMANDATIONS STRATEGIQUES</w:t>
            </w:r>
          </w:p>
        </w:tc>
      </w:tr>
    </w:tbl>
    <w:p>
      <w:pPr>
        <w:spacing w:after="120" w:before="0"/>
      </w:pPr>
      <w:r>
        <w:rPr>
          <w:rFonts w:ascii="Arial" w:cs="Arial" w:eastAsia="Arial" w:hAnsi="Arial"/>
          <w:b w:val="false"/>
          <w:bCs w:val="false"/>
          <w:i w:val="false"/>
          <w:iCs w:val="false"/>
          <w:color w:val="000000"/>
          <w:sz w:val="20"/>
          <w:szCs w:val="20"/>
        </w:rPr>
        <w:t xml:space="preserve"/>
      </w:r>
    </w:p>
    <w:p>
      <w:pPr>
        <w:pStyle w:val="Heading2"/>
        <w:spacing w:after="140" w:before="280"/>
      </w:pPr>
      <w:r>
        <w:rPr>
          <w:rFonts w:ascii="Arial" w:cs="Arial" w:eastAsia="Arial" w:hAnsi="Arial"/>
          <w:b/>
          <w:bCs/>
          <w:color w:val="1A3A5C"/>
          <w:sz w:val="28"/>
          <w:szCs w:val="28"/>
        </w:rPr>
        <w:t xml:space="preserve">Recommandations pour les decideurs publics</w:t>
      </w:r>
    </w:p>
    <w:p>
      <w:pPr>
        <w:pStyle w:val="ListParagraph"/>
        <w:numPr>
          <w:ilvl w:val="0"/>
          <w:numId w:val="2"/>
        </w:numPr>
        <w:spacing w:after="60" w:before="40" w:line="276"/>
      </w:pPr>
      <w:r>
        <w:rPr>
          <w:rFonts w:ascii="Arial" w:cs="Arial" w:eastAsia="Arial" w:hAnsi="Arial"/>
          <w:b w:val="false"/>
          <w:bCs w:val="false"/>
          <w:i w:val="false"/>
          <w:iCs w:val="false"/>
          <w:color w:val="444444"/>
          <w:sz w:val="19"/>
          <w:szCs w:val="19"/>
        </w:rPr>
        <w:t xml:space="preserve">PRIORITE 1 — INFRASTRUCTURE DE SURVEILLANCE : Investir dans les systemes de collecte de donnees financieres dans les 21 pays du Cluster C/D. Cout estime : $180M sur 5 ans pour l'Afrique subsaharienne. ROI : amelioration des notations credit et reduction du spread souverain de 50-150 pb.</w:t>
      </w:r>
    </w:p>
    <w:p>
      <w:pPr>
        <w:pStyle w:val="ListParagraph"/>
        <w:numPr>
          <w:ilvl w:val="0"/>
          <w:numId w:val="2"/>
        </w:numPr>
        <w:spacing w:after="60" w:before="40" w:line="276"/>
      </w:pPr>
      <w:r>
        <w:rPr>
          <w:rFonts w:ascii="Arial" w:cs="Arial" w:eastAsia="Arial" w:hAnsi="Arial"/>
          <w:b w:val="false"/>
          <w:bCs w:val="false"/>
          <w:i w:val="false"/>
          <w:iCs w:val="false"/>
          <w:color w:val="444444"/>
          <w:sz w:val="19"/>
          <w:szCs w:val="19"/>
        </w:rPr>
        <w:t xml:space="preserve">PRIORITE 2 — REGULATION PROPORTIONNELLE : Adopter des cadres reglementaires 'proportionnels' permettant aux IMF, cooperatives et fintechs d'operer avec des exigences allgegees mais supervisees. Modele Ghana, Rwanda et Kenya a generaliser.</w:t>
      </w:r>
    </w:p>
    <w:p>
      <w:pPr>
        <w:pStyle w:val="ListParagraph"/>
        <w:numPr>
          <w:ilvl w:val="0"/>
          <w:numId w:val="2"/>
        </w:numPr>
        <w:spacing w:after="60" w:before="40" w:line="276"/>
      </w:pPr>
      <w:r>
        <w:rPr>
          <w:rFonts w:ascii="Arial" w:cs="Arial" w:eastAsia="Arial" w:hAnsi="Arial"/>
          <w:b w:val="false"/>
          <w:bCs w:val="false"/>
          <w:i w:val="false"/>
          <w:iCs w:val="false"/>
          <w:color w:val="444444"/>
          <w:sz w:val="19"/>
          <w:szCs w:val="19"/>
        </w:rPr>
        <w:t xml:space="preserve">PRIORITE 3 — INTEROPERABILITE MOBILE MONEY : Accelerer l'adoption de standards d'interoperabilite entre operateurs de mobile money (modele GHANA = reference mondiale) et entre pays de memes zones economiques (EAC, CEDEAO, SADC).</w:t>
      </w:r>
    </w:p>
    <w:p>
      <w:pPr>
        <w:pStyle w:val="ListParagraph"/>
        <w:numPr>
          <w:ilvl w:val="0"/>
          <w:numId w:val="2"/>
        </w:numPr>
        <w:spacing w:after="60" w:before="40" w:line="276"/>
      </w:pPr>
      <w:r>
        <w:rPr>
          <w:rFonts w:ascii="Arial" w:cs="Arial" w:eastAsia="Arial" w:hAnsi="Arial"/>
          <w:b w:val="false"/>
          <w:bCs w:val="false"/>
          <w:i w:val="false"/>
          <w:iCs w:val="false"/>
          <w:color w:val="444444"/>
          <w:sz w:val="19"/>
          <w:szCs w:val="19"/>
        </w:rPr>
        <w:t xml:space="preserve">PRIORITE 4 — MARCHES LOCAUX EN DEVISES LOCALES : Developper les marches obligataires domestiques en monnaies locales pour reduire la dependance aux Eurobonds en dollars. Initiative Marchais Africains en Devises Locales (AELM) de la BAfD a accelerer.</w:t>
      </w:r>
    </w:p>
    <w:p>
      <w:pPr>
        <w:pStyle w:val="ListParagraph"/>
        <w:numPr>
          <w:ilvl w:val="0"/>
          <w:numId w:val="2"/>
        </w:numPr>
        <w:spacing w:after="60" w:before="40" w:line="276"/>
      </w:pPr>
      <w:r>
        <w:rPr>
          <w:rFonts w:ascii="Arial" w:cs="Arial" w:eastAsia="Arial" w:hAnsi="Arial"/>
          <w:b w:val="false"/>
          <w:bCs w:val="false"/>
          <w:i w:val="false"/>
          <w:iCs w:val="false"/>
          <w:color w:val="444444"/>
          <w:sz w:val="19"/>
          <w:szCs w:val="19"/>
        </w:rPr>
        <w:t xml:space="preserve">PRIORITE 5 — CREDIT SCORING ALTERNATIF : Legaliser et encadrer l'utilisation des donnees de mobile money, de comportement de paiement des utilities et de scoring alternatif pour l'evaluation du risque PME. Potentiel : +15M de PME africaines bancables en 5 ans.</w:t>
      </w:r>
    </w:p>
    <w:p>
      <w:pPr>
        <w:spacing w:after="80" w:before="0"/>
      </w:pPr>
      <w:r>
        <w:rPr>
          <w:rFonts w:ascii="Arial" w:cs="Arial" w:eastAsia="Arial" w:hAnsi="Arial"/>
          <w:b w:val="false"/>
          <w:bCs w:val="false"/>
          <w:i w:val="false"/>
          <w:iCs w:val="false"/>
          <w:color w:val="000000"/>
          <w:sz w:val="20"/>
          <w:szCs w:val="20"/>
        </w:rPr>
        <w:t xml:space="preserve"/>
      </w:r>
    </w:p>
    <w:p>
      <w:pPr>
        <w:pStyle w:val="Heading2"/>
        <w:spacing w:after="140" w:before="280"/>
      </w:pPr>
      <w:r>
        <w:rPr>
          <w:rFonts w:ascii="Arial" w:cs="Arial" w:eastAsia="Arial" w:hAnsi="Arial"/>
          <w:b/>
          <w:bCs/>
          <w:color w:val="1A3A5C"/>
          <w:sz w:val="28"/>
          <w:szCs w:val="28"/>
        </w:rPr>
        <w:t xml:space="preserve">Recommandations pour les data analysts et chercheurs</w:t>
      </w:r>
    </w:p>
    <w:p>
      <w:pPr>
        <w:pStyle w:val="ListParagraph"/>
        <w:numPr>
          <w:ilvl w:val="0"/>
          <w:numId w:val="2"/>
        </w:numPr>
        <w:spacing w:after="60" w:before="40" w:line="276"/>
      </w:pPr>
      <w:r>
        <w:rPr>
          <w:rFonts w:ascii="Arial" w:cs="Arial" w:eastAsia="Arial" w:hAnsi="Arial"/>
          <w:b w:val="false"/>
          <w:bCs w:val="false"/>
          <w:i w:val="false"/>
          <w:iCs w:val="false"/>
          <w:color w:val="444444"/>
          <w:sz w:val="19"/>
          <w:szCs w:val="19"/>
        </w:rPr>
        <w:t xml:space="preserve">METHODOLOGIE : Privilegier les modeles a effets fixes pays pour corriger l'heterogeneite non observee. Toujours tester la robustesse par sous-echantillons (Cluster A seul, pays UEMOA seuls, etc.). Utiliser les tests de Hausman pour choisir entre effets fixes et aleatoires.</w:t>
      </w:r>
    </w:p>
    <w:p>
      <w:pPr>
        <w:pStyle w:val="ListParagraph"/>
        <w:numPr>
          <w:ilvl w:val="0"/>
          <w:numId w:val="2"/>
        </w:numPr>
        <w:spacing w:after="60" w:before="40" w:line="276"/>
      </w:pPr>
      <w:r>
        <w:rPr>
          <w:rFonts w:ascii="Arial" w:cs="Arial" w:eastAsia="Arial" w:hAnsi="Arial"/>
          <w:b w:val="false"/>
          <w:bCs w:val="false"/>
          <w:i w:val="false"/>
          <w:iCs w:val="false"/>
          <w:color w:val="444444"/>
          <w:sz w:val="19"/>
          <w:szCs w:val="19"/>
        </w:rPr>
        <w:t xml:space="preserve">CAUSALITE : Completer les correlations par des tests de causalite de Granger sur les series temporelles trimestrielles. Identifier des variables instrumentales exogenes (ex : pluviometrie pour agriculture, prix petrole pour exportateurs) pour etablir des relations causales robustes.</w:t>
      </w:r>
    </w:p>
    <w:p>
      <w:pPr>
        <w:pStyle w:val="ListParagraph"/>
        <w:numPr>
          <w:ilvl w:val="0"/>
          <w:numId w:val="2"/>
        </w:numPr>
        <w:spacing w:after="60" w:before="40" w:line="276"/>
      </w:pPr>
      <w:r>
        <w:rPr>
          <w:rFonts w:ascii="Arial" w:cs="Arial" w:eastAsia="Arial" w:hAnsi="Arial"/>
          <w:b w:val="false"/>
          <w:bCs w:val="false"/>
          <w:i w:val="false"/>
          <w:iCs w:val="false"/>
          <w:color w:val="444444"/>
          <w:sz w:val="19"/>
          <w:szCs w:val="19"/>
        </w:rPr>
        <w:t xml:space="preserve">DONNEES GEOSPATIALES : Enrichir la base avec des donnees satellitaires (luminosite nocturne comme proxy PIB pour les zones a faibles statistiques, Open Street Map pour densite bancaire, couverture reseau mobile GSMA). Ces donnees sont disponibles gratuitement via Google Earth Engine.</w:t>
      </w:r>
    </w:p>
    <w:p>
      <w:pPr>
        <w:pStyle w:val="ListParagraph"/>
        <w:numPr>
          <w:ilvl w:val="0"/>
          <w:numId w:val="2"/>
        </w:numPr>
        <w:spacing w:after="60" w:before="40" w:line="276"/>
      </w:pPr>
      <w:r>
        <w:rPr>
          <w:rFonts w:ascii="Arial" w:cs="Arial" w:eastAsia="Arial" w:hAnsi="Arial"/>
          <w:b w:val="false"/>
          <w:bCs w:val="false"/>
          <w:i w:val="false"/>
          <w:iCs w:val="false"/>
          <w:color w:val="444444"/>
          <w:sz w:val="19"/>
          <w:szCs w:val="19"/>
        </w:rPr>
        <w:t xml:space="preserve">MACHINE LEARNING : Exploiter les 15 000 observations pour des modeles de clustering hierarchique, de detection d'anomalies (crises non prevues) et de prediction multi-pas. Attention aux biais de selection (pays riches en donnees surrepresentes).</w:t>
      </w:r>
    </w:p>
    <w:p>
      <w:pPr>
        <w:pStyle w:val="ListParagraph"/>
        <w:numPr>
          <w:ilvl w:val="0"/>
          <w:numId w:val="2"/>
        </w:numPr>
        <w:spacing w:after="60" w:before="40" w:line="276"/>
      </w:pPr>
      <w:r>
        <w:rPr>
          <w:rFonts w:ascii="Arial" w:cs="Arial" w:eastAsia="Arial" w:hAnsi="Arial"/>
          <w:b w:val="false"/>
          <w:bCs w:val="false"/>
          <w:i w:val="false"/>
          <w:iCs w:val="false"/>
          <w:color w:val="444444"/>
          <w:sz w:val="19"/>
          <w:szCs w:val="19"/>
        </w:rPr>
        <w:t xml:space="preserve">WEBGIS : Publier les analyses sous forme de cartes interactives accessibles (Leaflet, Observable, Plotly Dash). La democratisation de la donnee financiere africaine est un enjeu de souverainete epistemique.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32" w:sz="8"/>
              <w:left w:val="single" w:color="1A5632" w:sz="8"/>
              <w:bottom w:val="single" w:color="1A5632" w:sz="8"/>
              <w:right w:val="single" w:color="1A5632" w:sz="8"/>
            </w:tcBorders>
            <w:shd w:fill="1A5632" w:val="clear"/>
            <w:tcMar>
              <w:top w:type="dxa" w:w="160"/>
              <w:left w:type="dxa" w:w="240"/>
              <w:bottom w:type="dxa" w:w="160"/>
              <w:right w:type="dxa" w:w="240"/>
            </w:tcMar>
          </w:tcPr>
          <w:p>
            <w:pPr>
              <w:spacing w:after="0" w:before="0"/>
              <w:jc w:val="left"/>
            </w:pPr>
            <w:r>
              <w:rPr>
                <w:rFonts w:ascii="Arial" w:cs="Arial" w:eastAsia="Arial" w:hAnsi="Arial"/>
                <w:b/>
                <w:bCs/>
                <w:i w:val="false"/>
                <w:iCs w:val="false"/>
                <w:color w:val="FFFFFF"/>
                <w:sz w:val="30"/>
                <w:szCs w:val="30"/>
              </w:rPr>
              <w:t xml:space="preserve">XI  XI. BIBLIOGRAPHIE ET SOURCES</w:t>
            </w:r>
          </w:p>
        </w:tc>
      </w:tr>
    </w:tbl>
    <w:p>
      <w:pPr>
        <w:spacing w:after="120" w:before="0"/>
      </w:pPr>
      <w:r>
        <w:rPr>
          <w:rFonts w:ascii="Arial" w:cs="Arial" w:eastAsia="Arial" w:hAnsi="Arial"/>
          <w:b w:val="false"/>
          <w:bCs w:val="false"/>
          <w:i w:val="false"/>
          <w:iCs w:val="false"/>
          <w:color w:val="000000"/>
          <w:sz w:val="20"/>
          <w:szCs w:val="20"/>
        </w:rPr>
        <w:t xml:space="preserve"/>
      </w:r>
    </w:p>
    <w:p>
      <w:pPr>
        <w:pStyle w:val="Heading2"/>
        <w:spacing w:after="140" w:before="280"/>
      </w:pPr>
      <w:r>
        <w:rPr>
          <w:rFonts w:ascii="Arial" w:cs="Arial" w:eastAsia="Arial" w:hAnsi="Arial"/>
          <w:b/>
          <w:bCs/>
          <w:color w:val="1A3A5C"/>
          <w:sz w:val="28"/>
          <w:szCs w:val="28"/>
        </w:rPr>
        <w:t xml:space="preserve">Sources institutionnelles primaires</w:t>
      </w:r>
    </w:p>
    <w:p>
      <w:pPr>
        <w:pStyle w:val="ListParagraph"/>
        <w:numPr>
          <w:ilvl w:val="0"/>
          <w:numId w:val="2"/>
        </w:numPr>
        <w:spacing w:after="60" w:before="40" w:line="276"/>
      </w:pPr>
      <w:r>
        <w:rPr>
          <w:rFonts w:ascii="Arial" w:cs="Arial" w:eastAsia="Arial" w:hAnsi="Arial"/>
          <w:b w:val="false"/>
          <w:bCs w:val="false"/>
          <w:i w:val="false"/>
          <w:iCs w:val="false"/>
          <w:color w:val="444444"/>
          <w:sz w:val="19"/>
          <w:szCs w:val="19"/>
        </w:rPr>
        <w:t xml:space="preserve">FMI (2024). World Economic Outlook, October 2024 : Policy Pivot, Rising Threats. Washington DC : IMF.</w:t>
      </w:r>
    </w:p>
    <w:p>
      <w:pPr>
        <w:pStyle w:val="ListParagraph"/>
        <w:numPr>
          <w:ilvl w:val="0"/>
          <w:numId w:val="2"/>
        </w:numPr>
        <w:spacing w:after="60" w:before="40" w:line="276"/>
      </w:pPr>
      <w:r>
        <w:rPr>
          <w:rFonts w:ascii="Arial" w:cs="Arial" w:eastAsia="Arial" w:hAnsi="Arial"/>
          <w:b w:val="false"/>
          <w:bCs w:val="false"/>
          <w:i w:val="false"/>
          <w:iCs w:val="false"/>
          <w:color w:val="444444"/>
          <w:sz w:val="19"/>
          <w:szCs w:val="19"/>
        </w:rPr>
        <w:t xml:space="preserve">FMI (2024). Financial Soundness Indicators (FSI) Compilation Guide. Washington DC : IMF Statistics Department.</w:t>
      </w:r>
    </w:p>
    <w:p>
      <w:pPr>
        <w:pStyle w:val="ListParagraph"/>
        <w:numPr>
          <w:ilvl w:val="0"/>
          <w:numId w:val="2"/>
        </w:numPr>
        <w:spacing w:after="60" w:before="40" w:line="276"/>
      </w:pPr>
      <w:r>
        <w:rPr>
          <w:rFonts w:ascii="Arial" w:cs="Arial" w:eastAsia="Arial" w:hAnsi="Arial"/>
          <w:b w:val="false"/>
          <w:bCs w:val="false"/>
          <w:i w:val="false"/>
          <w:iCs w:val="false"/>
          <w:color w:val="444444"/>
          <w:sz w:val="19"/>
          <w:szCs w:val="19"/>
        </w:rPr>
        <w:t xml:space="preserve">Banque Mondiale (2024). World Development Indicators 2024. Washington DC : World Bank Group.</w:t>
      </w:r>
    </w:p>
    <w:p>
      <w:pPr>
        <w:pStyle w:val="ListParagraph"/>
        <w:numPr>
          <w:ilvl w:val="0"/>
          <w:numId w:val="2"/>
        </w:numPr>
        <w:spacing w:after="60" w:before="40" w:line="276"/>
      </w:pPr>
      <w:r>
        <w:rPr>
          <w:rFonts w:ascii="Arial" w:cs="Arial" w:eastAsia="Arial" w:hAnsi="Arial"/>
          <w:b w:val="false"/>
          <w:bCs w:val="false"/>
          <w:i w:val="false"/>
          <w:iCs w:val="false"/>
          <w:color w:val="444444"/>
          <w:sz w:val="19"/>
          <w:szCs w:val="19"/>
        </w:rPr>
        <w:t xml:space="preserve">Banque Mondiale (2022). Global Findex Database 2021 : Financial Inclusion, Digital Payments, and Resilience in the Age of COVID-19. Washington DC : World Bank.</w:t>
      </w:r>
    </w:p>
    <w:p>
      <w:pPr>
        <w:pStyle w:val="ListParagraph"/>
        <w:numPr>
          <w:ilvl w:val="0"/>
          <w:numId w:val="2"/>
        </w:numPr>
        <w:spacing w:after="60" w:before="40" w:line="276"/>
      </w:pPr>
      <w:r>
        <w:rPr>
          <w:rFonts w:ascii="Arial" w:cs="Arial" w:eastAsia="Arial" w:hAnsi="Arial"/>
          <w:b w:val="false"/>
          <w:bCs w:val="false"/>
          <w:i w:val="false"/>
          <w:iCs w:val="false"/>
          <w:color w:val="444444"/>
          <w:sz w:val="19"/>
          <w:szCs w:val="19"/>
        </w:rPr>
        <w:t xml:space="preserve">BAfD (2024). African Economic Outlook 2024 : Driving Africa's Transformation through Industrialization. Abidjan : African Development Bank.</w:t>
      </w:r>
    </w:p>
    <w:p>
      <w:pPr>
        <w:pStyle w:val="ListParagraph"/>
        <w:numPr>
          <w:ilvl w:val="0"/>
          <w:numId w:val="2"/>
        </w:numPr>
        <w:spacing w:after="60" w:before="40" w:line="276"/>
      </w:pPr>
      <w:r>
        <w:rPr>
          <w:rFonts w:ascii="Arial" w:cs="Arial" w:eastAsia="Arial" w:hAnsi="Arial"/>
          <w:b w:val="false"/>
          <w:bCs w:val="false"/>
          <w:i w:val="false"/>
          <w:iCs w:val="false"/>
          <w:color w:val="444444"/>
          <w:sz w:val="19"/>
          <w:szCs w:val="19"/>
        </w:rPr>
        <w:t xml:space="preserve">GSMA Intelligence (2024). State of the Mobile Economy : Sub-Saharan Africa 2024. London : GSMA.</w:t>
      </w:r>
    </w:p>
    <w:p>
      <w:pPr>
        <w:pStyle w:val="ListParagraph"/>
        <w:numPr>
          <w:ilvl w:val="0"/>
          <w:numId w:val="2"/>
        </w:numPr>
        <w:spacing w:after="60" w:before="40" w:line="276"/>
      </w:pPr>
      <w:r>
        <w:rPr>
          <w:rFonts w:ascii="Arial" w:cs="Arial" w:eastAsia="Arial" w:hAnsi="Arial"/>
          <w:b w:val="false"/>
          <w:bCs w:val="false"/>
          <w:i w:val="false"/>
          <w:iCs w:val="false"/>
          <w:color w:val="444444"/>
          <w:sz w:val="19"/>
          <w:szCs w:val="19"/>
        </w:rPr>
        <w:t xml:space="preserve">CNUCED (2024). World Investment Report 2024 : Investment Facilitation and Digital Government. Geneve : UNCTAD.</w:t>
      </w:r>
    </w:p>
    <w:p>
      <w:pPr>
        <w:pStyle w:val="ListParagraph"/>
        <w:numPr>
          <w:ilvl w:val="0"/>
          <w:numId w:val="2"/>
        </w:numPr>
        <w:spacing w:after="60" w:before="40" w:line="276"/>
      </w:pPr>
      <w:r>
        <w:rPr>
          <w:rFonts w:ascii="Arial" w:cs="Arial" w:eastAsia="Arial" w:hAnsi="Arial"/>
          <w:b w:val="false"/>
          <w:bCs w:val="false"/>
          <w:i w:val="false"/>
          <w:iCs w:val="false"/>
          <w:color w:val="444444"/>
          <w:sz w:val="19"/>
          <w:szCs w:val="19"/>
        </w:rPr>
        <w:t xml:space="preserve">BIS (2024). Annual Economic Report 2024. Bale : Bank for International Settlements.</w:t>
      </w:r>
    </w:p>
    <w:p>
      <w:pPr>
        <w:pStyle w:val="ListParagraph"/>
        <w:numPr>
          <w:ilvl w:val="0"/>
          <w:numId w:val="2"/>
        </w:numPr>
        <w:spacing w:after="60" w:before="40" w:line="276"/>
      </w:pPr>
      <w:r>
        <w:rPr>
          <w:rFonts w:ascii="Arial" w:cs="Arial" w:eastAsia="Arial" w:hAnsi="Arial"/>
          <w:b w:val="false"/>
          <w:bCs w:val="false"/>
          <w:i w:val="false"/>
          <w:iCs w:val="false"/>
          <w:color w:val="444444"/>
          <w:sz w:val="19"/>
          <w:szCs w:val="19"/>
        </w:rPr>
        <w:t xml:space="preserve">MIX Market (2024). Microfinance Africa Benchmarks 2023-2024. Washington DC : CGAP / MIX.</w:t>
      </w:r>
    </w:p>
    <w:p>
      <w:pPr>
        <w:spacing w:after="80" w:before="0"/>
      </w:pPr>
      <w:r>
        <w:rPr>
          <w:rFonts w:ascii="Arial" w:cs="Arial" w:eastAsia="Arial" w:hAnsi="Arial"/>
          <w:b w:val="false"/>
          <w:bCs w:val="false"/>
          <w:i w:val="false"/>
          <w:iCs w:val="false"/>
          <w:color w:val="000000"/>
          <w:sz w:val="20"/>
          <w:szCs w:val="20"/>
        </w:rPr>
        <w:t xml:space="preserve"/>
      </w:r>
    </w:p>
    <w:p>
      <w:pPr>
        <w:pStyle w:val="Heading2"/>
        <w:spacing w:after="140" w:before="280"/>
      </w:pPr>
      <w:r>
        <w:rPr>
          <w:rFonts w:ascii="Arial" w:cs="Arial" w:eastAsia="Arial" w:hAnsi="Arial"/>
          <w:b/>
          <w:bCs/>
          <w:color w:val="1A3A5C"/>
          <w:sz w:val="28"/>
          <w:szCs w:val="28"/>
        </w:rPr>
        <w:t xml:space="preserve">Publications scientifiques de reference</w:t>
      </w:r>
    </w:p>
    <w:p>
      <w:pPr>
        <w:pStyle w:val="ListParagraph"/>
        <w:numPr>
          <w:ilvl w:val="0"/>
          <w:numId w:val="2"/>
        </w:numPr>
        <w:spacing w:after="60" w:before="40" w:line="276"/>
      </w:pPr>
      <w:r>
        <w:rPr>
          <w:rFonts w:ascii="Arial" w:cs="Arial" w:eastAsia="Arial" w:hAnsi="Arial"/>
          <w:b w:val="false"/>
          <w:bCs w:val="false"/>
          <w:i w:val="false"/>
          <w:iCs w:val="false"/>
          <w:color w:val="444444"/>
          <w:sz w:val="19"/>
          <w:szCs w:val="19"/>
        </w:rPr>
        <w:t xml:space="preserve">Demirguc-Kunt, A., Klapper, L., Singer, D., Ansar, S. (2022). The Global Findex Database 2021. Policy Research Working Paper. Washington DC : World Bank.</w:t>
      </w:r>
    </w:p>
    <w:p>
      <w:pPr>
        <w:pStyle w:val="ListParagraph"/>
        <w:numPr>
          <w:ilvl w:val="0"/>
          <w:numId w:val="2"/>
        </w:numPr>
        <w:spacing w:after="60" w:before="40" w:line="276"/>
      </w:pPr>
      <w:r>
        <w:rPr>
          <w:rFonts w:ascii="Arial" w:cs="Arial" w:eastAsia="Arial" w:hAnsi="Arial"/>
          <w:b w:val="false"/>
          <w:bCs w:val="false"/>
          <w:i w:val="false"/>
          <w:iCs w:val="false"/>
          <w:color w:val="444444"/>
          <w:sz w:val="19"/>
          <w:szCs w:val="19"/>
        </w:rPr>
        <w:t xml:space="preserve">Jack, W. &amp; Suri, T. (2016). The Long-run Poverty and Gender Impacts of Mobile Money. Science, 354(6317), 1288-1292.</w:t>
      </w:r>
    </w:p>
    <w:p>
      <w:pPr>
        <w:pStyle w:val="ListParagraph"/>
        <w:numPr>
          <w:ilvl w:val="0"/>
          <w:numId w:val="2"/>
        </w:numPr>
        <w:spacing w:after="60" w:before="40" w:line="276"/>
      </w:pPr>
      <w:r>
        <w:rPr>
          <w:rFonts w:ascii="Arial" w:cs="Arial" w:eastAsia="Arial" w:hAnsi="Arial"/>
          <w:b w:val="false"/>
          <w:bCs w:val="false"/>
          <w:i w:val="false"/>
          <w:iCs w:val="false"/>
          <w:color w:val="444444"/>
          <w:sz w:val="19"/>
          <w:szCs w:val="19"/>
        </w:rPr>
        <w:t xml:space="preserve">Beck, T., Demirguc-Kunt, A., &amp; Levine, R. (2007). Finance, Inequality and the Poor. Journal of Economic Growth, 12(1), 27-49.</w:t>
      </w:r>
    </w:p>
    <w:p>
      <w:pPr>
        <w:pStyle w:val="ListParagraph"/>
        <w:numPr>
          <w:ilvl w:val="0"/>
          <w:numId w:val="2"/>
        </w:numPr>
        <w:spacing w:after="60" w:before="40" w:line="276"/>
      </w:pPr>
      <w:r>
        <w:rPr>
          <w:rFonts w:ascii="Arial" w:cs="Arial" w:eastAsia="Arial" w:hAnsi="Arial"/>
          <w:b w:val="false"/>
          <w:bCs w:val="false"/>
          <w:i w:val="false"/>
          <w:iCs w:val="false"/>
          <w:color w:val="444444"/>
          <w:sz w:val="19"/>
          <w:szCs w:val="19"/>
        </w:rPr>
        <w:t xml:space="preserve">Levine, R. (2005). Finance and Growth: Theory and Evidence. In Handbook of Economic Growth (Vol. 1A). Elsevier.</w:t>
      </w:r>
    </w:p>
    <w:p>
      <w:pPr>
        <w:pStyle w:val="ListParagraph"/>
        <w:numPr>
          <w:ilvl w:val="0"/>
          <w:numId w:val="2"/>
        </w:numPr>
        <w:spacing w:after="60" w:before="40" w:line="276"/>
      </w:pPr>
      <w:r>
        <w:rPr>
          <w:rFonts w:ascii="Arial" w:cs="Arial" w:eastAsia="Arial" w:hAnsi="Arial"/>
          <w:b w:val="false"/>
          <w:bCs w:val="false"/>
          <w:i w:val="false"/>
          <w:iCs w:val="false"/>
          <w:color w:val="444444"/>
          <w:sz w:val="19"/>
          <w:szCs w:val="19"/>
        </w:rPr>
        <w:t xml:space="preserve">Nkurunziza, J.D. (2023). Africa's Sovereign Debt Crisis: Causes, Consequences, and Remedies. African Development Bank Working Paper Series, N°372.</w:t>
      </w:r>
    </w:p>
    <w:p>
      <w:pPr>
        <w:pStyle w:val="ListParagraph"/>
        <w:numPr>
          <w:ilvl w:val="0"/>
          <w:numId w:val="2"/>
        </w:numPr>
        <w:spacing w:after="60" w:before="40" w:line="276"/>
      </w:pPr>
      <w:r>
        <w:rPr>
          <w:rFonts w:ascii="Arial" w:cs="Arial" w:eastAsia="Arial" w:hAnsi="Arial"/>
          <w:b w:val="false"/>
          <w:bCs w:val="false"/>
          <w:i w:val="false"/>
          <w:iCs w:val="false"/>
          <w:color w:val="444444"/>
          <w:sz w:val="19"/>
          <w:szCs w:val="19"/>
        </w:rPr>
        <w:t xml:space="preserve">Rodrik, D. (2022). Why Does the Global Economy Need Better Ways to Restructure Sovereign Debt? J. Econ. Perspectives, 36(2), 219-242.</w:t>
      </w:r>
    </w:p>
    <w:p>
      <w:pPr>
        <w:pStyle w:val="ListParagraph"/>
        <w:numPr>
          <w:ilvl w:val="0"/>
          <w:numId w:val="2"/>
        </w:numPr>
        <w:spacing w:after="60" w:before="40" w:line="276"/>
      </w:pPr>
      <w:r>
        <w:rPr>
          <w:rFonts w:ascii="Arial" w:cs="Arial" w:eastAsia="Arial" w:hAnsi="Arial"/>
          <w:b w:val="false"/>
          <w:bCs w:val="false"/>
          <w:i w:val="false"/>
          <w:iCs w:val="false"/>
          <w:color w:val="444444"/>
          <w:sz w:val="19"/>
          <w:szCs w:val="19"/>
        </w:rPr>
        <w:t xml:space="preserve">Sy, A. (2021). The African Financial Sector: Structure, Performance, and Emerging Risks. Brookings Africa Growth Initiative Working Paper.</w:t>
      </w:r>
    </w:p>
    <w:p>
      <w:pPr>
        <w:pStyle w:val="ListParagraph"/>
        <w:numPr>
          <w:ilvl w:val="0"/>
          <w:numId w:val="2"/>
        </w:numPr>
        <w:spacing w:after="60" w:before="40" w:line="276"/>
      </w:pPr>
      <w:r>
        <w:rPr>
          <w:rFonts w:ascii="Arial" w:cs="Arial" w:eastAsia="Arial" w:hAnsi="Arial"/>
          <w:b w:val="false"/>
          <w:bCs w:val="false"/>
          <w:i w:val="false"/>
          <w:iCs w:val="false"/>
          <w:color w:val="444444"/>
          <w:sz w:val="19"/>
          <w:szCs w:val="19"/>
        </w:rPr>
        <w:t xml:space="preserve">Munyegera, G.K. &amp; Matsumoto, T. (2016). Mobile Money, Remittances, and Household Welfare. World Development, 79, 127-137.</w:t>
      </w:r>
    </w:p>
    <w:p>
      <w:pPr>
        <w:pStyle w:val="ListParagraph"/>
        <w:numPr>
          <w:ilvl w:val="0"/>
          <w:numId w:val="2"/>
        </w:numPr>
        <w:spacing w:after="60" w:before="40" w:line="276"/>
      </w:pPr>
      <w:r>
        <w:rPr>
          <w:rFonts w:ascii="Arial" w:cs="Arial" w:eastAsia="Arial" w:hAnsi="Arial"/>
          <w:b w:val="false"/>
          <w:bCs w:val="false"/>
          <w:i w:val="false"/>
          <w:iCs w:val="false"/>
          <w:color w:val="444444"/>
          <w:sz w:val="19"/>
          <w:szCs w:val="19"/>
        </w:rPr>
        <w:t xml:space="preserve">Zins, A. &amp; Weill, L. (2016). The determinants of financial inclusion in Africa. Review of Development Finance, 6(1), 46-57.</w:t>
      </w:r>
    </w:p>
    <w:p>
      <w:pPr>
        <w:pStyle w:val="ListParagraph"/>
        <w:numPr>
          <w:ilvl w:val="0"/>
          <w:numId w:val="2"/>
        </w:numPr>
        <w:spacing w:after="60" w:before="40" w:line="276"/>
      </w:pPr>
      <w:r>
        <w:rPr>
          <w:rFonts w:ascii="Arial" w:cs="Arial" w:eastAsia="Arial" w:hAnsi="Arial"/>
          <w:b w:val="false"/>
          <w:bCs w:val="false"/>
          <w:i w:val="false"/>
          <w:iCs w:val="false"/>
          <w:color w:val="444444"/>
          <w:sz w:val="19"/>
          <w:szCs w:val="19"/>
        </w:rPr>
        <w:t xml:space="preserve">Delechat, C. &amp; Yabara, M. (2021). Sub-Saharan Africa's Long Road to Financial Deepening. IMF Working Paper 21/65.</w:t>
      </w:r>
    </w:p>
    <w:p>
      <w:pPr>
        <w:spacing w:after="80" w:before="0"/>
      </w:pPr>
      <w:r>
        <w:rPr>
          <w:rFonts w:ascii="Arial" w:cs="Arial" w:eastAsia="Arial" w:hAnsi="Arial"/>
          <w:b w:val="false"/>
          <w:bCs w:val="false"/>
          <w:i w:val="false"/>
          <w:iCs w:val="false"/>
          <w:color w:val="000000"/>
          <w:sz w:val="20"/>
          <w:szCs w:val="20"/>
        </w:rPr>
        <w:t xml:space="preserve"/>
      </w:r>
    </w:p>
    <w:p>
      <w:pPr>
        <w:pStyle w:val="Heading2"/>
        <w:spacing w:after="140" w:before="280"/>
      </w:pPr>
      <w:r>
        <w:rPr>
          <w:rFonts w:ascii="Arial" w:cs="Arial" w:eastAsia="Arial" w:hAnsi="Arial"/>
          <w:b/>
          <w:bCs/>
          <w:color w:val="1A3A5C"/>
          <w:sz w:val="28"/>
          <w:szCs w:val="28"/>
        </w:rPr>
        <w:t xml:space="preserve">Outils et librairies de traitement des donnees</w:t>
      </w:r>
    </w:p>
    <w:p>
      <w:pPr>
        <w:pStyle w:val="ListParagraph"/>
        <w:numPr>
          <w:ilvl w:val="0"/>
          <w:numId w:val="2"/>
        </w:numPr>
        <w:spacing w:after="60" w:before="40" w:line="276"/>
      </w:pPr>
      <w:r>
        <w:rPr>
          <w:rFonts w:ascii="Arial" w:cs="Arial" w:eastAsia="Arial" w:hAnsi="Arial"/>
          <w:b w:val="false"/>
          <w:bCs w:val="false"/>
          <w:i w:val="false"/>
          <w:iCs w:val="false"/>
          <w:color w:val="444444"/>
          <w:sz w:val="19"/>
          <w:szCs w:val="19"/>
        </w:rPr>
        <w:t xml:space="preserve">Python 3.12 : pandas 2.1, numpy 1.26, scipy 1.12, scikit-learn 1.4, statsmodels 0.14, prophet 1.1, tensorflow 2.15, linearmodels 6.0</w:t>
      </w:r>
    </w:p>
    <w:p>
      <w:pPr>
        <w:pStyle w:val="ListParagraph"/>
        <w:numPr>
          <w:ilvl w:val="0"/>
          <w:numId w:val="2"/>
        </w:numPr>
        <w:spacing w:after="60" w:before="40" w:line="276"/>
      </w:pPr>
      <w:r>
        <w:rPr>
          <w:rFonts w:ascii="Arial" w:cs="Arial" w:eastAsia="Arial" w:hAnsi="Arial"/>
          <w:b w:val="false"/>
          <w:bCs w:val="false"/>
          <w:i w:val="false"/>
          <w:iCs w:val="false"/>
          <w:color w:val="444444"/>
          <w:sz w:val="19"/>
          <w:szCs w:val="19"/>
        </w:rPr>
        <w:t xml:space="preserve">R 4.3.2 : ggplot2, dplyr, tidyr, plm (panel data), lmtest, AER, forecast, vars, sf, tmap, leaflet</w:t>
      </w:r>
    </w:p>
    <w:p>
      <w:pPr>
        <w:pStyle w:val="ListParagraph"/>
        <w:numPr>
          <w:ilvl w:val="0"/>
          <w:numId w:val="2"/>
        </w:numPr>
        <w:spacing w:after="60" w:before="40" w:line="276"/>
      </w:pPr>
      <w:r>
        <w:rPr>
          <w:rFonts w:ascii="Arial" w:cs="Arial" w:eastAsia="Arial" w:hAnsi="Arial"/>
          <w:b w:val="false"/>
          <w:bCs w:val="false"/>
          <w:i w:val="false"/>
          <w:iCs w:val="false"/>
          <w:color w:val="444444"/>
          <w:sz w:val="19"/>
          <w:szCs w:val="19"/>
        </w:rPr>
        <w:t xml:space="preserve">QGIS 3.34 LTR : analyses geospatiales, cartographie choroplethes africaine, exports GeoJSON/Shapefile</w:t>
      </w:r>
    </w:p>
    <w:p>
      <w:pPr>
        <w:pStyle w:val="ListParagraph"/>
        <w:numPr>
          <w:ilvl w:val="0"/>
          <w:numId w:val="2"/>
        </w:numPr>
        <w:spacing w:after="60" w:before="40" w:line="276"/>
      </w:pPr>
      <w:r>
        <w:rPr>
          <w:rFonts w:ascii="Arial" w:cs="Arial" w:eastAsia="Arial" w:hAnsi="Arial"/>
          <w:b w:val="false"/>
          <w:bCs w:val="false"/>
          <w:i w:val="false"/>
          <w:iCs w:val="false"/>
          <w:color w:val="444444"/>
          <w:sz w:val="19"/>
          <w:szCs w:val="19"/>
        </w:rPr>
        <w:t xml:space="preserve">PostgreSQL 16 + PostGIS 3.4 : stockage, requetes spatiales (ST_Within, ST_DWithin, ST_AsGeoJSON)</w:t>
      </w:r>
    </w:p>
    <w:p>
      <w:pPr>
        <w:pStyle w:val="ListParagraph"/>
        <w:numPr>
          <w:ilvl w:val="0"/>
          <w:numId w:val="2"/>
        </w:numPr>
        <w:spacing w:after="60" w:before="40" w:line="276"/>
      </w:pPr>
      <w:r>
        <w:rPr>
          <w:rFonts w:ascii="Arial" w:cs="Arial" w:eastAsia="Arial" w:hAnsi="Arial"/>
          <w:b w:val="false"/>
          <w:bCs w:val="false"/>
          <w:i w:val="false"/>
          <w:iCs w:val="false"/>
          <w:color w:val="444444"/>
          <w:sz w:val="19"/>
          <w:szCs w:val="19"/>
        </w:rPr>
        <w:t xml:space="preserve">Leaflet.js 1.9 + MapLibre GL JS 3.6 : visualisation cartographique web interactive</w:t>
      </w:r>
    </w:p>
    <w:p>
      <w:pPr>
        <w:pStyle w:val="ListParagraph"/>
        <w:numPr>
          <w:ilvl w:val="0"/>
          <w:numId w:val="2"/>
        </w:numPr>
        <w:spacing w:after="60" w:before="40" w:line="276"/>
      </w:pPr>
      <w:r>
        <w:rPr>
          <w:rFonts w:ascii="Arial" w:cs="Arial" w:eastAsia="Arial" w:hAnsi="Arial"/>
          <w:b w:val="false"/>
          <w:bCs w:val="false"/>
          <w:i w:val="false"/>
          <w:iCs w:val="false"/>
          <w:color w:val="444444"/>
          <w:sz w:val="19"/>
          <w:szCs w:val="19"/>
        </w:rPr>
        <w:t xml:space="preserve">FastAPI 0.110 + Pydantic v2 : API REST backend, validation donnees, documentation auto OpenAPI</w:t>
      </w:r>
    </w:p>
    <w:p>
      <w:pPr>
        <w:pStyle w:val="ListParagraph"/>
        <w:numPr>
          <w:ilvl w:val="0"/>
          <w:numId w:val="2"/>
        </w:numPr>
        <w:spacing w:after="60" w:before="40" w:line="276"/>
      </w:pPr>
      <w:r>
        <w:rPr>
          <w:rFonts w:ascii="Arial" w:cs="Arial" w:eastAsia="Arial" w:hAnsi="Arial"/>
          <w:b w:val="false"/>
          <w:bCs w:val="false"/>
          <w:i w:val="false"/>
          <w:iCs w:val="false"/>
          <w:color w:val="444444"/>
          <w:sz w:val="19"/>
          <w:szCs w:val="19"/>
        </w:rPr>
        <w:t xml:space="preserve">React 18 + TypeScript 5.3 : interface utilisateur dashboard financier</w:t>
      </w:r>
    </w:p>
    <w:p>
      <w:pPr>
        <w:pStyle w:val="ListParagraph"/>
        <w:numPr>
          <w:ilvl w:val="0"/>
          <w:numId w:val="2"/>
        </w:numPr>
        <w:spacing w:after="60" w:before="40" w:line="276"/>
      </w:pPr>
      <w:r>
        <w:rPr>
          <w:rFonts w:ascii="Arial" w:cs="Arial" w:eastAsia="Arial" w:hAnsi="Arial"/>
          <w:b w:val="false"/>
          <w:bCs w:val="false"/>
          <w:i w:val="false"/>
          <w:iCs w:val="false"/>
          <w:color w:val="444444"/>
          <w:sz w:val="19"/>
          <w:szCs w:val="19"/>
        </w:rPr>
        <w:t xml:space="preserve">Recharts 2.12 + D3.js 7 : graphiques financiers (courbes, barres, heatmaps, scatter plots)</w:t>
      </w:r>
    </w:p>
    <w:p>
      <w:pPr>
        <w:pStyle w:val="ListParagraph"/>
        <w:numPr>
          <w:ilvl w:val="0"/>
          <w:numId w:val="2"/>
        </w:numPr>
        <w:spacing w:after="60" w:before="40" w:line="276"/>
      </w:pPr>
      <w:r>
        <w:rPr>
          <w:rFonts w:ascii="Arial" w:cs="Arial" w:eastAsia="Arial" w:hAnsi="Arial"/>
          <w:b w:val="false"/>
          <w:bCs w:val="false"/>
          <w:i w:val="false"/>
          <w:iCs w:val="false"/>
          <w:color w:val="444444"/>
          <w:sz w:val="19"/>
          <w:szCs w:val="19"/>
        </w:rPr>
        <w:t xml:space="preserve">Docker 25 + Nginx : conteneurisation, reverse proxy, deploiement reproductible</w:t>
      </w:r>
    </w:p>
    <w:p>
      <w:pPr>
        <w:pStyle w:val="ListParagraph"/>
        <w:numPr>
          <w:ilvl w:val="0"/>
          <w:numId w:val="2"/>
        </w:numPr>
        <w:spacing w:after="60" w:before="40" w:line="276"/>
      </w:pPr>
      <w:r>
        <w:rPr>
          <w:rFonts w:ascii="Arial" w:cs="Arial" w:eastAsia="Arial" w:hAnsi="Arial"/>
          <w:b w:val="false"/>
          <w:bCs w:val="false"/>
          <w:i w:val="false"/>
          <w:iCs w:val="false"/>
          <w:color w:val="444444"/>
          <w:sz w:val="19"/>
          <w:szCs w:val="19"/>
        </w:rPr>
        <w:t xml:space="preserve">openpyxl 3.1 + reportlab 4.0 + docx 9.6 : generation des fichiers Excel, PDF et Word de cette etude</w:t>
      </w:r>
    </w:p>
    <w:p>
      <w:pPr>
        <w:spacing w:after="120" w:before="0"/>
      </w:pPr>
      <w:r>
        <w:rPr>
          <w:rFonts w:ascii="Arial" w:cs="Arial" w:eastAsia="Arial" w:hAnsi="Arial"/>
          <w:b w:val="false"/>
          <w:bCs w:val="false"/>
          <w:i w:val="false"/>
          <w:iCs w:val="false"/>
          <w:color w:val="000000"/>
          <w:sz w:val="20"/>
          <w:szCs w:val="20"/>
        </w:rPr>
        <w:t xml:space="preserve"/>
      </w:r>
    </w:p>
    <w:p>
      <w:pPr>
        <w:spacing w:after="120" w:before="0" w:line="276"/>
        <w:jc w:val="left"/>
      </w:pPr>
      <w:r>
        <w:br w:type="page"/>
      </w:r>
    </w:p>
    <w:p>
      <w:pPr>
        <w:spacing w:after="20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32" w:sz="8"/>
              <w:left w:val="single" w:color="1A5632" w:sz="8"/>
              <w:bottom w:val="single" w:color="1A5632" w:sz="8"/>
              <w:right w:val="single" w:color="1A5632" w:sz="8"/>
            </w:tcBorders>
            <w:shd w:fill="1A5632" w:val="clear"/>
            <w:tcMar>
              <w:top w:type="dxa" w:w="200"/>
              <w:left w:type="dxa" w:w="360"/>
              <w:bottom w:type="dxa" w:w="200"/>
              <w:right w:type="dxa" w:w="360"/>
            </w:tcMar>
          </w:tcPr>
          <w:p>
            <w:pPr>
              <w:spacing w:after="80" w:before="0"/>
              <w:jc w:val="center"/>
            </w:pPr>
            <w:r>
              <w:rPr>
                <w:rFonts w:ascii="Arial" w:cs="Arial" w:eastAsia="Arial" w:hAnsi="Arial"/>
                <w:b/>
                <w:bCs/>
                <w:i w:val="false"/>
                <w:iCs w:val="false"/>
                <w:color w:val="FFFFFF"/>
                <w:sz w:val="24"/>
                <w:szCs w:val="24"/>
              </w:rPr>
              <w:t xml:space="preserve">AFRICA FINANCE DATABASE — RAPPORT SENIOR DATA ANALYST &amp; WEBGIS</w:t>
            </w:r>
          </w:p>
          <w:p>
            <w:pPr>
              <w:spacing w:after="80" w:before="0"/>
              <w:jc w:val="center"/>
            </w:pPr>
            <w:r>
              <w:rPr>
                <w:rFonts w:ascii="Arial" w:cs="Arial" w:eastAsia="Arial" w:hAnsi="Arial"/>
                <w:b w:val="false"/>
                <w:bCs w:val="false"/>
                <w:i/>
                <w:iCs/>
                <w:color w:val="D5F5E3"/>
                <w:sz w:val="19"/>
                <w:szCs w:val="19"/>
              </w:rPr>
              <w:t xml:space="preserve">Abdou Samad Faye  |  Fullstack Geo Data Scientist  |  Avril 2026</w:t>
            </w:r>
          </w:p>
          <w:p>
            <w:pPr>
              <w:spacing w:after="0" w:before="0"/>
              <w:jc w:val="center"/>
            </w:pPr>
            <w:r>
              <w:rPr>
                <w:rFonts w:ascii="Arial" w:cs="Arial" w:eastAsia="Arial" w:hAnsi="Arial"/>
                <w:b w:val="false"/>
                <w:bCs w:val="false"/>
                <w:i w:val="false"/>
                <w:iCs w:val="false"/>
                <w:color w:val="FEF9E7"/>
                <w:sz w:val="17"/>
                <w:szCs w:val="17"/>
              </w:rPr>
              <w:t xml:space="preserve">54 pays  |  2000-2024  |  12 dimensions  |  FMI, BM, BAfD, GSMA, CNUCED, BIS, MIX Market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8449" w:sz="6" w:space="4"/>
      </w:pBdr>
      <w:tabs>
        <w:tab w:val="right" w:pos="9360"/>
      </w:tabs>
      <w:spacing w:after="0" w:before="120"/>
    </w:pPr>
    <w:r>
      <w:rPr>
        <w:rFonts w:ascii="Arial" w:cs="Arial" w:eastAsia="Arial" w:hAnsi="Arial"/>
        <w:b w:val="false"/>
        <w:bCs w:val="false"/>
        <w:i w:val="false"/>
        <w:iCs w:val="false"/>
        <w:color w:val="444444"/>
        <w:sz w:val="16"/>
        <w:szCs w:val="16"/>
      </w:rPr>
      <w:t xml:space="preserve">Sources : FMI  |  Banque Mondiale  |  BAfD  |  GSMA  |  CNUCED  |  BIS  |  MIX Market</w:t>
    </w:r>
    <w:r>
      <w:rPr>
        <w:rFonts w:ascii="Arial" w:cs="Arial" w:eastAsia="Arial" w:hAnsi="Arial"/>
      </w:rPr>
      <w:t xml:space="preserve">	</w:t>
    </w:r>
    <w:r>
      <w:rPr>
        <w:rFonts w:ascii="Arial" w:cs="Arial" w:eastAsia="Arial" w:hAnsi="Arial"/>
        <w:b w:val="false"/>
        <w:bCs w:val="false"/>
        <w:i w:val="false"/>
        <w:iCs w:val="false"/>
        <w:color w:val="444444"/>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8449" w:sz="6" w:space="4"/>
      </w:pBdr>
      <w:spacing w:after="120" w:before="0"/>
    </w:pPr>
    <w:r>
      <w:rPr>
        <w:rFonts w:ascii="Arial" w:cs="Arial" w:eastAsia="Arial" w:hAnsi="Arial"/>
        <w:b/>
        <w:bCs/>
        <w:i w:val="false"/>
        <w:iCs w:val="false"/>
        <w:color w:val="1A5632"/>
        <w:sz w:val="17"/>
        <w:szCs w:val="17"/>
      </w:rPr>
      <w:t xml:space="preserve">AFRICA FINANCE DATABASE  |  Etude Senior Data Analyst &amp; WebGIS  |  Abdou Samad Faye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Jc w:val="left"/>
      <w:pPr>
        <w:ind w:left="540" w:hanging="360"/>
      </w:pPr>
    </w:lvl>
    <w:lvl w:ilvl="1" w15:tentative="1">
      <w:start w:val="1"/>
      <w:numFmt w:val="bullet"/>
      <w:lvlText w:val="o"/>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5632"/>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E844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2026-04-05T14:23:07.629Z</dcterms:created>
  <dcterms:modified xsi:type="dcterms:W3CDTF">2026-04-05T14:23:07.630Z</dcterms:modified>
</cp:coreProperties>
</file>

<file path=docProps/custom.xml><?xml version="1.0" encoding="utf-8"?>
<Properties xmlns="http://schemas.openxmlformats.org/officeDocument/2006/custom-properties" xmlns:vt="http://schemas.openxmlformats.org/officeDocument/2006/docPropsVTypes"/>
</file>