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spacing w:after="200"/>
      </w:pPr>
      <w:r>
        <w:t xml:space="preserve">AURA</w:t>
      </w:r>
    </w:p>
    <w:p>
      <w:pPr>
        <w:spacing w:after="400"/>
      </w:pPr>
      <w:r>
        <w:rPr>
          <w:i/>
          <w:iCs/>
          <w:color w:val="595959"/>
          <w:sz w:val="24"/>
          <w:szCs w:val="24"/>
        </w:rPr>
        <w:t xml:space="preserve">System Architecture Document (SAD) v1.1</w:t>
      </w:r>
    </w:p>
    <w:p>
      <w:pPr>
        <w:spacing w:after="80"/>
      </w:pPr>
      <w:r>
        <w:rPr>
          <w:b/>
          <w:bCs/>
          <w:sz w:val="20"/>
          <w:szCs w:val="20"/>
        </w:rPr>
        <w:t xml:space="preserve">Companion to: </w:t>
      </w:r>
      <w:r>
        <w:rPr>
          <w:sz w:val="20"/>
          <w:szCs w:val="20"/>
        </w:rPr>
        <w:t xml:space="preserve">AURA_SRS_v1.0.docx (content now at v1.1)</w:t>
      </w:r>
    </w:p>
    <w:p>
      <w:pPr>
        <w:spacing w:after="80"/>
      </w:pPr>
      <w:r>
        <w:rPr>
          <w:b/>
          <w:bCs/>
          <w:sz w:val="20"/>
          <w:szCs w:val="20"/>
        </w:rPr>
        <w:t xml:space="preserve">Date: </w:t>
      </w:r>
      <w:r>
        <w:rPr>
          <w:sz w:val="20"/>
          <w:szCs w:val="20"/>
        </w:rPr>
        <w:t xml:space="preserve">2026-09-19</w:t>
      </w:r>
    </w:p>
    <w:p>
      <w:pPr>
        <w:spacing w:after="80"/>
      </w:pPr>
      <w:r>
        <w:rPr>
          <w:b/>
          <w:bCs/>
          <w:sz w:val="20"/>
          <w:szCs w:val="20"/>
        </w:rPr>
        <w:t xml:space="preserve">Status: </w:t>
      </w:r>
      <w:r>
        <w:rPr>
          <w:sz w:val="20"/>
          <w:szCs w:val="20"/>
        </w:rPr>
        <w:t xml:space="preserve">Living document. v1.0 (2026-09-18) was written retroactively against the current codebase. v1.1 adds the architecture that landed in a focused follow-up push: the MQTT command channel and actuator state (§4, §6), the biomass→CO2/O2 derivation pipeline (§5, §6), the notification subsystem (§4), and the onboarding/pairing navigator gate (§4). Update it alongside the code, not after the fact.</w:t>
      </w:r>
    </w:p>
    <w:p>
      <w:r>
        <w:br w:type="page"/>
      </w:r>
    </w:p>
    <w:p>
      <w:pPr>
        <w:sectPr>
          <w:pgSz w:w="11907" w:h="16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rPr>
          <w:sz w:val="22"/>
          <w:szCs w:val="22"/>
        </w:rPr>
        <w:t xml:space="preserve">Describes how AURA's backend and frontend are put together, why the key structural decisions were made, and where the architecture deliberately stops short of the client's full product vision (cross-referenced against AURA_SRS_v1.0.docx §9).</w:t>
      </w:r>
    </w:p>
    <w:p>
      <w:pPr>
        <w:pStyle w:val="Heading2"/>
        <w:spacing w:after="120" w:before="280"/>
      </w:pPr>
      <w:r>
        <w:t xml:space="preserve">1.2 Goals driving the architecture</w:t>
      </w:r>
    </w:p>
    <w:p>
      <w:pPr>
        <w:pStyle w:val="ListParagraph"/>
        <w:numPr>
          <w:ilvl w:val="0"/>
          <w:numId w:val="1"/>
        </w:numPr>
        <w:spacing w:after="80"/>
      </w:pPr>
      <w:r>
        <w:rPr>
          <w:b/>
          <w:bCs/>
          <w:i w:val="false"/>
          <w:iCs w:val="false"/>
          <w:sz w:val="22"/>
          <w:szCs w:val="22"/>
        </w:rPr>
        <w:t xml:space="preserve">Don't block on hardware. </w:t>
      </w:r>
      <w:r>
        <w:rPr>
          <w:sz w:val="22"/>
          <w:szCs w:val="22"/>
        </w:rPr>
        <w:t xml:space="preserve">The ESP32 firmware doesn't exist yet in confirmed form, so ingestion, thresholds, and even the biomass metric are all built against explicitly documented assumptions (see §9) that are cheap to revise once real hardware lands.</w:t>
      </w:r>
    </w:p>
    <w:p>
      <w:pPr>
        <w:pStyle w:val="ListParagraph"/>
        <w:numPr>
          <w:ilvl w:val="0"/>
          <w:numId w:val="1"/>
        </w:numPr>
        <w:spacing w:after="80"/>
      </w:pPr>
      <w:r>
        <w:rPr>
          <w:b/>
          <w:bCs/>
          <w:i w:val="false"/>
          <w:iCs w:val="false"/>
          <w:sz w:val="22"/>
          <w:szCs w:val="22"/>
        </w:rPr>
        <w:t xml:space="preserve">One-device-owns-one-user is fine for now. </w:t>
      </w:r>
      <w:r>
        <w:rPr>
          <w:sz w:val="22"/>
          <w:szCs w:val="22"/>
        </w:rPr>
        <w:t xml:space="preserve">The client's near-term goal is a working demo/pilot, not a multi-tenant SaaS — the data model reflects that (see SRS §7).</w:t>
      </w:r>
    </w:p>
    <w:p>
      <w:pPr>
        <w:pStyle w:val="ListParagraph"/>
        <w:numPr>
          <w:ilvl w:val="0"/>
          <w:numId w:val="1"/>
        </w:numPr>
        <w:spacing w:after="80"/>
      </w:pPr>
      <w:r>
        <w:rPr>
          <w:b/>
          <w:bCs/>
          <w:i w:val="false"/>
          <w:iCs w:val="false"/>
          <w:sz w:val="22"/>
          <w:szCs w:val="22"/>
        </w:rPr>
        <w:t xml:space="preserve">Realtime without coupling ingestion to delivery. </w:t>
      </w:r>
      <w:r>
        <w:rPr>
          <w:sz w:val="22"/>
          <w:szCs w:val="22"/>
        </w:rPr>
        <w:t xml:space="preserve">The MQTT ingestion path never needs to know whether anyone is watching; it just writes data and emits an event.</w:t>
      </w:r>
    </w:p>
    <w:p>
      <w:pPr>
        <w:pStyle w:val="ListParagraph"/>
        <w:numPr>
          <w:ilvl w:val="0"/>
          <w:numId w:val="1"/>
        </w:numPr>
        <w:spacing w:after="80"/>
      </w:pPr>
      <w:r>
        <w:rPr>
          <w:b/>
          <w:bCs/>
          <w:i w:val="false"/>
          <w:iCs w:val="false"/>
          <w:sz w:val="22"/>
          <w:szCs w:val="22"/>
        </w:rPr>
        <w:t xml:space="preserve">Cheap to demo without hardware. </w:t>
      </w:r>
      <w:r>
        <w:rPr>
          <w:sz w:val="22"/>
          <w:szCs w:val="22"/>
        </w:rPr>
        <w:t xml:space="preserve">simulate-esp32.ts publishes realistic fake telemetry over the same MQTT path real hardware would use, so the whole stack is demoable and testable without a physical bioreactor.</w:t>
      </w:r>
    </w:p>
    <w:p>
      <w:pPr>
        <w:pStyle w:val="Heading1"/>
        <w:spacing w:after="160" w:before="360"/>
      </w:pPr>
      <w:r>
        <w:t xml:space="preserve">2. Architectural Overview</w:t>
      </w:r>
    </w:p>
    <w:p>
      <w:pPr>
        <w:shd w:fill="F2F2F2" w:val="clear"/>
        <w:spacing w:after="200" w:before="80"/>
        <w:ind w:left="200" w:right="200"/>
      </w:pPr>
      <w:r>
        <w:rPr>
          <w:rFonts w:ascii="Consolas" w:cs="Consolas" w:eastAsia="Consolas" w:hAnsi="Consolas"/>
          <w:sz w:val="18"/>
          <w:szCs w:val="18"/>
        </w:rPr>
        <w:t xml:space="preserve">[ESP32 hardware / simulator]</w:t>
      </w:r>
      <w:r>
        <w:br/>
        <w:t xml:space="preserve"/>
      </w:r>
      <w:r>
        <w:rPr>
          <w:rFonts w:ascii="Consolas" w:cs="Consolas" w:eastAsia="Consolas" w:hAnsi="Consolas"/>
          <w:sz w:val="18"/>
          <w:szCs w:val="18"/>
        </w:rPr>
        <w:t xml:space="preserve">        | MQTT: aura/{deviceCode}/telemetry</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[EMQX broker] -- subscribe --&gt; [NestJS backend]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MQTT: aura/{deviceCode}/command</w:t>
      </w:r>
      <w:r>
        <w:br/>
        <w:t xml:space="preserve"/>
      </w:r>
      <w:r>
        <w:rPr>
          <w:rFonts w:ascii="Consolas" w:cs="Consolas" w:eastAsia="Consolas" w:hAnsi="Consolas"/>
          <w:sz w:val="18"/>
          <w:szCs w:val="18"/>
        </w:rPr>
        <w:t xml:space="preserve">        | (separate connection, backend --&gt; device)</w:t>
      </w:r>
      <w:r>
        <w:br/>
        <w:t xml:space="preserve"/>
      </w:r>
      <w:r>
        <w:rPr>
          <w:rFonts w:ascii="Consolas" w:cs="Consolas" w:eastAsia="Consolas" w:hAnsi="Consolas"/>
          <w:sz w:val="18"/>
          <w:szCs w:val="18"/>
        </w:rPr>
        <w:t xml:space="preserve">   MqttCommandPublisherService &lt;--- DevicesService.updateActuatorState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Inside the backend:</w:t>
      </w:r>
      <w:r>
        <w:br/>
        <w:t xml:space="preserve"/>
      </w:r>
      <w:r>
        <w:rPr>
          <w:rFonts w:ascii="Consolas" w:cs="Consolas" w:eastAsia="Consolas" w:hAnsi="Consolas"/>
          <w:sz w:val="18"/>
          <w:szCs w:val="18"/>
        </w:rPr>
        <w:t xml:space="preserve">  MqttIngestionService</w:t>
      </w:r>
      <w:r>
        <w:br/>
        <w:t xml:space="preserve"/>
      </w:r>
      <w:r>
        <w:rPr>
          <w:rFonts w:ascii="Consolas" w:cs="Consolas" w:eastAsia="Consolas" w:hAnsi="Consolas"/>
          <w:sz w:val="18"/>
          <w:szCs w:val="18"/>
        </w:rPr>
        <w:t xml:space="preserve">    --validate(zod)--&gt; withImpactMetrics() (RGB-&gt;biomass-&gt;CO2/O2, §5/§6)</w:t>
      </w:r>
      <w:r>
        <w:br/>
        <w:t xml:space="preserve"/>
      </w:r>
      <w:r>
        <w:rPr>
          <w:rFonts w:ascii="Consolas" w:cs="Consolas" w:eastAsia="Consolas" w:hAnsi="Consolas"/>
          <w:sz w:val="18"/>
          <w:szCs w:val="18"/>
        </w:rPr>
        <w:t xml:space="preserve">    --insert--&gt; sensor_readings (Timescale hypertable)</w:t>
      </w:r>
      <w:r>
        <w:br/>
        <w:t xml:space="preserve"/>
      </w:r>
      <w:r>
        <w:rPr>
          <w:rFonts w:ascii="Consolas" w:cs="Consolas" w:eastAsia="Consolas" w:hAnsi="Consolas"/>
          <w:sz w:val="18"/>
          <w:szCs w:val="18"/>
        </w:rPr>
        <w:t xml:space="preserve">    --update--&gt; device.status / lastSeenAt</w:t>
      </w:r>
      <w:r>
        <w:br/>
        <w:t xml:space="preserve"/>
      </w:r>
      <w:r>
        <w:rPr>
          <w:rFonts w:ascii="Consolas" w:cs="Consolas" w:eastAsia="Consolas" w:hAnsi="Consolas"/>
          <w:sz w:val="18"/>
          <w:szCs w:val="18"/>
        </w:rPr>
        <w:t xml:space="preserve">    --cache--&gt; Redis (latest value per metric)</w:t>
      </w:r>
      <w:r>
        <w:br/>
        <w:t xml:space="preserve"/>
      </w:r>
      <w:r>
        <w:rPr>
          <w:rFonts w:ascii="Consolas" w:cs="Consolas" w:eastAsia="Consolas" w:hAnsi="Consolas"/>
          <w:sz w:val="18"/>
          <w:szCs w:val="18"/>
        </w:rPr>
        <w:t xml:space="preserve">    --emit--&gt; ReadingCreatedEvent (in-process, EventEmitter2)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                 v</w:t>
      </w:r>
      <w:r>
        <w:br/>
        <w:t xml:space="preserve"/>
      </w:r>
      <w:r>
        <w:rPr>
          <w:rFonts w:ascii="Consolas" w:cs="Consolas" w:eastAsia="Consolas" w:hAnsi="Consolas"/>
          <w:sz w:val="18"/>
          <w:szCs w:val="18"/>
        </w:rPr>
        <w:t xml:space="preserve">  AlertsService      SensorsGateway</w:t>
      </w:r>
      <w:r>
        <w:br/>
        <w:t xml:space="preserve"/>
      </w:r>
      <w:r>
        <w:rPr>
          <w:rFonts w:ascii="Consolas" w:cs="Consolas" w:eastAsia="Consolas" w:hAnsi="Consolas"/>
          <w:sz w:val="18"/>
          <w:szCs w:val="18"/>
        </w:rPr>
        <w:t xml:space="preserve">  (threshold eval,   (Socket.io /realtime,</w:t>
      </w:r>
      <w:r>
        <w:br/>
        <w:t xml:space="preserve"/>
      </w:r>
      <w:r>
        <w:rPr>
          <w:rFonts w:ascii="Consolas" w:cs="Consolas" w:eastAsia="Consolas" w:hAnsi="Consolas"/>
          <w:sz w:val="18"/>
          <w:szCs w:val="18"/>
        </w:rPr>
        <w:t xml:space="preserve">   writes alert_      emits 'reading' to</w:t>
      </w:r>
      <w:r>
        <w:br/>
        <w:t xml:space="preserve"/>
      </w:r>
      <w:r>
        <w:rPr>
          <w:rFonts w:ascii="Consolas" w:cs="Consolas" w:eastAsia="Consolas" w:hAnsi="Consolas"/>
          <w:sz w:val="18"/>
          <w:szCs w:val="18"/>
        </w:rPr>
        <w:t xml:space="preserve">   events, then       device's room)</w:t>
      </w:r>
      <w:r>
        <w:br/>
        <w:t xml:space="preserve"/>
      </w:r>
      <w:r>
        <w:rPr>
          <w:rFonts w:ascii="Consolas" w:cs="Consolas" w:eastAsia="Consolas" w:hAnsi="Consolas"/>
          <w:sz w:val="18"/>
          <w:szCs w:val="18"/>
        </w:rPr>
        <w:t xml:space="preserve">   NotificationsService</w:t>
      </w:r>
      <w:r>
        <w:br/>
        <w:t xml:space="preserve"/>
      </w:r>
      <w:r>
        <w:rPr>
          <w:rFonts w:ascii="Consolas" w:cs="Consolas" w:eastAsia="Consolas" w:hAnsi="Consolas"/>
          <w:sz w:val="18"/>
          <w:szCs w:val="18"/>
        </w:rPr>
        <w:t xml:space="preserve">   --Expo push API--&gt; device owner's phone,</w:t>
      </w:r>
      <w:r>
        <w:br/>
        <w:t xml:space="preserve"/>
      </w:r>
      <w:r>
        <w:rPr>
          <w:rFonts w:ascii="Consolas" w:cs="Consolas" w:eastAsia="Consolas" w:hAnsi="Consolas"/>
          <w:sz w:val="18"/>
          <w:szCs w:val="18"/>
        </w:rPr>
        <w:t xml:space="preserve">   cooldown-gated via Redis)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REST controllers: auth, devices, sensors, alerts,</w:t>
      </w:r>
      <w:r>
        <w:br/>
        <w:t xml:space="preserve"/>
      </w:r>
      <w:r>
        <w:rPr>
          <w:rFonts w:ascii="Consolas" w:cs="Consolas" w:eastAsia="Consolas" w:hAnsi="Consolas"/>
          <w:sz w:val="18"/>
          <w:szCs w:val="18"/>
        </w:rPr>
        <w:t xml:space="preserve">                    maintenance, push-tokens, health</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REST (JWT) + Socket.io (JWT handshake)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[Expo / React Native app -- Login/Signup -&gt; Device</w:t>
      </w:r>
      <w:r>
        <w:br/>
        <w:t xml:space="preserve"/>
      </w:r>
      <w:r>
        <w:rPr>
          <w:rFonts w:ascii="Consolas" w:cs="Consolas" w:eastAsia="Consolas" w:hAnsi="Consolas"/>
          <w:sz w:val="18"/>
          <w:szCs w:val="18"/>
        </w:rPr>
        <w:t xml:space="preserve"> Pairing (gate) -&gt; 5 main tabs, login-gated]</w:t>
      </w:r>
    </w:p>
    <w:p>
      <w:pPr>
        <w:spacing w:after="160"/>
      </w:pPr>
      <w:r>
        <w:rPr>
          <w:sz w:val="22"/>
          <w:szCs w:val="22"/>
        </w:rPr>
        <w:t xml:space="preserve">Two storage systems, each doing one job:</w:t>
      </w:r>
    </w:p>
    <w:p>
      <w:pPr>
        <w:pStyle w:val="ListParagraph"/>
        <w:numPr>
          <w:ilvl w:val="0"/>
          <w:numId w:val="1"/>
        </w:numPr>
        <w:spacing w:after="80"/>
      </w:pPr>
      <w:r>
        <w:rPr>
          <w:b/>
          <w:bCs/>
          <w:i w:val="false"/>
          <w:iCs w:val="false"/>
          <w:sz w:val="22"/>
          <w:szCs w:val="22"/>
        </w:rPr>
        <w:t xml:space="preserve">PostgreSQL + TimescaleDB: </w:t>
      </w:r>
      <w:r>
        <w:rPr>
          <w:sz w:val="22"/>
          <w:szCs w:val="22"/>
        </w:rPr>
        <w:t xml:space="preserve">system of record for everything (users, devices, readings, alerts, maintenance logs, push tokens). The hypertable + continuous aggregates exist specifically so the 1h/1d/1w granularity toggle doesn't scan raw rows.</w:t>
      </w:r>
    </w:p>
    <w:p>
      <w:pPr>
        <w:pStyle w:val="ListParagraph"/>
        <w:numPr>
          <w:ilvl w:val="0"/>
          <w:numId w:val="1"/>
        </w:numPr>
        <w:spacing w:after="80"/>
      </w:pPr>
      <w:r>
        <w:rPr>
          <w:b/>
          <w:bCs/>
          <w:i w:val="false"/>
          <w:iCs w:val="false"/>
          <w:sz w:val="22"/>
          <w:szCs w:val="22"/>
        </w:rPr>
        <w:t xml:space="preserve">Redis: </w:t>
      </w:r>
      <w:r>
        <w:rPr>
          <w:sz w:val="22"/>
          <w:szCs w:val="22"/>
        </w:rPr>
        <w:t xml:space="preserve">not a system of record — a cache of "latest value per metric per device" (for the current-readings endpoint), a device heartbeat TTL (for online/offline), and (new) a per-(device, metric) notification cooldown key. Losing Redis loses "what’s the value right now" and temporarily re-opens the notification-spam window it guards against, never historical data.</w:t>
      </w:r>
    </w:p>
    <w:p>
      <w:pPr>
        <w:spacing w:after="160"/>
      </w:pPr>
      <w:r>
        <w:rPr>
          <w:sz w:val="22"/>
          <w:szCs w:val="22"/>
        </w:rPr>
        <w:t xml:space="preserve">MQTT is now bidirectional at the transport level but not at the connection level: MqttCommandPublisherService holds its own separate MQTT client connection rather than sharing MqttIngestionService’s, specifically to avoid a circular NestJS module dependency between the devices module (which needs to publish commands) and the mqtt module (which owns ingestion). See §4.4.</w:t>
      </w:r>
    </w:p>
    <w:p>
      <w:pPr>
        <w:pStyle w:val="Heading1"/>
        <w:spacing w:after="160" w:before="360"/>
      </w:pPr>
      <w:r>
        <w:t xml:space="preserve">3. Technology Stack</w:t>
      </w:r>
    </w:p>
    <w:tbl>
      <w:tblPr>
        <w:tblW w:type="dxa" w:w="8999"/>
        <w:tblBorders>
          <w:top w:val="single" w:color="auto" w:sz="4"/>
          <w:left w:val="single" w:color="auto" w:sz="4"/>
          <w:bottom w:val="single" w:color="auto" w:sz="4"/>
          <w:right w:val="single" w:color="auto" w:sz="4"/>
          <w:insideH w:val="single" w:color="auto" w:sz="4"/>
          <w:insideV w:val="single" w:color="auto" w:sz="4"/>
        </w:tblBorders>
      </w:tblPr>
      <w:tblGrid>
        <w:gridCol w:w="1607"/>
        <w:gridCol w:w="2571"/>
        <w:gridCol w:w="4821"/>
      </w:tblGrid>
      <w:tr>
        <w:trPr>
          <w:tblHeader/>
        </w:trPr>
        <w:tc>
          <w:tcPr>
            <w:tcW w:type="dxa" w:w="1607"/>
            <w:shd w:fill="1F3864" w:val="clear"/>
            <w:tcMar>
              <w:top w:type="dxa" w:w="60"/>
              <w:left w:type="dxa" w:w="100"/>
              <w:bottom w:type="dxa" w:w="60"/>
              <w:right w:type="dxa" w:w="100"/>
            </w:tcMar>
            <w:vAlign w:val="center"/>
          </w:tcPr>
          <w:p>
            <w:r>
              <w:rPr>
                <w:b/>
                <w:bCs/>
                <w:color w:val="FFFFFF"/>
                <w:sz w:val="19"/>
                <w:szCs w:val="19"/>
              </w:rPr>
              <w:t xml:space="preserve">Layer</w:t>
            </w:r>
          </w:p>
        </w:tc>
        <w:tc>
          <w:tcPr>
            <w:tcW w:type="dxa" w:w="2571"/>
            <w:shd w:fill="1F3864" w:val="clear"/>
            <w:tcMar>
              <w:top w:type="dxa" w:w="60"/>
              <w:left w:type="dxa" w:w="100"/>
              <w:bottom w:type="dxa" w:w="60"/>
              <w:right w:type="dxa" w:w="100"/>
            </w:tcMar>
            <w:vAlign w:val="center"/>
          </w:tcPr>
          <w:p>
            <w:r>
              <w:rPr>
                <w:b/>
                <w:bCs/>
                <w:color w:val="FFFFFF"/>
                <w:sz w:val="19"/>
                <w:szCs w:val="19"/>
              </w:rPr>
              <w:t xml:space="preserve">Choice</w:t>
            </w:r>
          </w:p>
        </w:tc>
        <w:tc>
          <w:tcPr>
            <w:tcW w:type="dxa" w:w="4821"/>
            <w:shd w:fill="1F3864" w:val="clear"/>
            <w:tcMar>
              <w:top w:type="dxa" w:w="60"/>
              <w:left w:type="dxa" w:w="100"/>
              <w:bottom w:type="dxa" w:w="60"/>
              <w:right w:type="dxa" w:w="100"/>
            </w:tcMar>
            <w:vAlign w:val="center"/>
          </w:tcPr>
          <w:p>
            <w:r>
              <w:rPr>
                <w:b/>
                <w:bCs/>
                <w:color w:val="FFFFFF"/>
                <w:sz w:val="19"/>
                <w:szCs w:val="19"/>
              </w:rPr>
              <w:t xml:space="preserve">Notes</w:t>
            </w:r>
          </w:p>
        </w:tc>
      </w:tr>
      <w:tr>
        <w:tc>
          <w:tcPr>
            <w:tcW w:type="dxa" w:w="1607"/>
            <w:tcMar>
              <w:top w:type="dxa" w:w="60"/>
              <w:left w:type="dxa" w:w="100"/>
              <w:bottom w:type="dxa" w:w="60"/>
              <w:right w:type="dxa" w:w="100"/>
            </w:tcMar>
            <w:vAlign w:val="center"/>
          </w:tcPr>
          <w:p>
            <w:r>
              <w:rPr>
                <w:b w:val="false"/>
                <w:bCs w:val="false"/>
                <w:sz w:val="19"/>
                <w:szCs w:val="19"/>
              </w:rPr>
              <w:t xml:space="preserve">Backend framework</w:t>
            </w:r>
          </w:p>
        </w:tc>
        <w:tc>
          <w:tcPr>
            <w:tcW w:type="dxa" w:w="2571"/>
            <w:tcMar>
              <w:top w:type="dxa" w:w="60"/>
              <w:left w:type="dxa" w:w="100"/>
              <w:bottom w:type="dxa" w:w="60"/>
              <w:right w:type="dxa" w:w="100"/>
            </w:tcMar>
            <w:vAlign w:val="center"/>
          </w:tcPr>
          <w:p>
            <w:r>
              <w:rPr>
                <w:b w:val="false"/>
                <w:bCs w:val="false"/>
                <w:sz w:val="19"/>
                <w:szCs w:val="19"/>
              </w:rPr>
              <w:t xml:space="preserve">NestJS 10 (TypeScript)</w:t>
            </w:r>
          </w:p>
        </w:tc>
        <w:tc>
          <w:tcPr>
            <w:tcW w:type="dxa" w:w="4821"/>
            <w:tcMar>
              <w:top w:type="dxa" w:w="60"/>
              <w:left w:type="dxa" w:w="100"/>
              <w:bottom w:type="dxa" w:w="60"/>
              <w:right w:type="dxa" w:w="100"/>
            </w:tcMar>
            <w:vAlign w:val="center"/>
          </w:tcPr>
          <w:p>
            <w:r>
              <w:rPr>
                <w:b w:val="false"/>
                <w:bCs w:val="false"/>
                <w:sz w:val="19"/>
                <w:szCs w:val="19"/>
              </w:rPr>
              <w:t xml:space="preserve">Modular, DI-based; matches the feature-module layout in §4.1</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ORM</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TypeORM 0.3</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Entities + hand-written migrations (no synchronize)</w:t>
            </w:r>
          </w:p>
        </w:tc>
      </w:tr>
      <w:tr>
        <w:tc>
          <w:tcPr>
            <w:tcW w:type="dxa" w:w="1607"/>
            <w:tcMar>
              <w:top w:type="dxa" w:w="60"/>
              <w:left w:type="dxa" w:w="100"/>
              <w:bottom w:type="dxa" w:w="60"/>
              <w:right w:type="dxa" w:w="100"/>
            </w:tcMar>
            <w:vAlign w:val="center"/>
          </w:tcPr>
          <w:p>
            <w:r>
              <w:rPr>
                <w:b w:val="false"/>
                <w:bCs w:val="false"/>
                <w:sz w:val="19"/>
                <w:szCs w:val="19"/>
              </w:rPr>
              <w:t xml:space="preserve">Primary datastore</w:t>
            </w:r>
          </w:p>
        </w:tc>
        <w:tc>
          <w:tcPr>
            <w:tcW w:type="dxa" w:w="2571"/>
            <w:tcMar>
              <w:top w:type="dxa" w:w="60"/>
              <w:left w:type="dxa" w:w="100"/>
              <w:bottom w:type="dxa" w:w="60"/>
              <w:right w:type="dxa" w:w="100"/>
            </w:tcMar>
            <w:vAlign w:val="center"/>
          </w:tcPr>
          <w:p>
            <w:r>
              <w:rPr>
                <w:b w:val="false"/>
                <w:bCs w:val="false"/>
                <w:sz w:val="19"/>
                <w:szCs w:val="19"/>
              </w:rPr>
              <w:t xml:space="preserve">PostgreSQL 16 + TimescaleDB</w:t>
            </w:r>
          </w:p>
        </w:tc>
        <w:tc>
          <w:tcPr>
            <w:tcW w:type="dxa" w:w="4821"/>
            <w:tcMar>
              <w:top w:type="dxa" w:w="60"/>
              <w:left w:type="dxa" w:w="100"/>
              <w:bottom w:type="dxa" w:w="60"/>
              <w:right w:type="dxa" w:w="100"/>
            </w:tcMar>
            <w:vAlign w:val="center"/>
          </w:tcPr>
          <w:p>
            <w:r>
              <w:rPr>
                <w:b w:val="false"/>
                <w:bCs w:val="false"/>
                <w:sz w:val="19"/>
                <w:szCs w:val="19"/>
              </w:rPr>
              <w:t xml:space="preserve">Hypertable for sensor_readings, continuous aggregates for granularity</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Cache</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Redis 7 (ioredis)</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Latest-value cache + heartbeat TTL only</w:t>
            </w:r>
          </w:p>
        </w:tc>
      </w:tr>
      <w:tr>
        <w:tc>
          <w:tcPr>
            <w:tcW w:type="dxa" w:w="1607"/>
            <w:tcMar>
              <w:top w:type="dxa" w:w="60"/>
              <w:left w:type="dxa" w:w="100"/>
              <w:bottom w:type="dxa" w:w="60"/>
              <w:right w:type="dxa" w:w="100"/>
            </w:tcMar>
            <w:vAlign w:val="center"/>
          </w:tcPr>
          <w:p>
            <w:r>
              <w:rPr>
                <w:b w:val="false"/>
                <w:bCs w:val="false"/>
                <w:sz w:val="19"/>
                <w:szCs w:val="19"/>
              </w:rPr>
              <w:t xml:space="preserve">MQTT broker</w:t>
            </w:r>
          </w:p>
        </w:tc>
        <w:tc>
          <w:tcPr>
            <w:tcW w:type="dxa" w:w="2571"/>
            <w:tcMar>
              <w:top w:type="dxa" w:w="60"/>
              <w:left w:type="dxa" w:w="100"/>
              <w:bottom w:type="dxa" w:w="60"/>
              <w:right w:type="dxa" w:w="100"/>
            </w:tcMar>
            <w:vAlign w:val="center"/>
          </w:tcPr>
          <w:p>
            <w:r>
              <w:rPr>
                <w:b w:val="false"/>
                <w:bCs w:val="false"/>
                <w:sz w:val="19"/>
                <w:szCs w:val="19"/>
              </w:rPr>
              <w:t xml:space="preserve">EMQX 5.7</w:t>
            </w:r>
          </w:p>
        </w:tc>
        <w:tc>
          <w:tcPr>
            <w:tcW w:type="dxa" w:w="4821"/>
            <w:tcMar>
              <w:top w:type="dxa" w:w="60"/>
              <w:left w:type="dxa" w:w="100"/>
              <w:bottom w:type="dxa" w:w="60"/>
              <w:right w:type="dxa" w:w="100"/>
            </w:tcMar>
            <w:vAlign w:val="center"/>
          </w:tcPr>
          <w:p>
            <w:r>
              <w:rPr>
                <w:b w:val="false"/>
                <w:bCs w:val="false"/>
                <w:sz w:val="19"/>
                <w:szCs w:val="19"/>
              </w:rPr>
              <w:t xml:space="preserve">Local dev via docker-compose.yml (project name aura); bidirectional as of v1.1 — a separate publisher connection handles the new command topic (§4.4), ingestion still owns its own connection</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Realtime transport</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Socket.io 4 (@nestjs/platform-socket.io)</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Namespaced /realtime, JWT-authed at connection time</w:t>
            </w:r>
          </w:p>
        </w:tc>
      </w:tr>
      <w:tr>
        <w:tc>
          <w:tcPr>
            <w:tcW w:type="dxa" w:w="1607"/>
            <w:tcMar>
              <w:top w:type="dxa" w:w="60"/>
              <w:left w:type="dxa" w:w="100"/>
              <w:bottom w:type="dxa" w:w="60"/>
              <w:right w:type="dxa" w:w="100"/>
            </w:tcMar>
            <w:vAlign w:val="center"/>
          </w:tcPr>
          <w:p>
            <w:r>
              <w:rPr>
                <w:b w:val="false"/>
                <w:bCs w:val="false"/>
                <w:sz w:val="19"/>
                <w:szCs w:val="19"/>
              </w:rPr>
              <w:t xml:space="preserve">Push notifications</w:t>
            </w:r>
          </w:p>
        </w:tc>
        <w:tc>
          <w:tcPr>
            <w:tcW w:type="dxa" w:w="2571"/>
            <w:tcMar>
              <w:top w:type="dxa" w:w="60"/>
              <w:left w:type="dxa" w:w="100"/>
              <w:bottom w:type="dxa" w:w="60"/>
              <w:right w:type="dxa" w:w="100"/>
            </w:tcMar>
            <w:vAlign w:val="center"/>
          </w:tcPr>
          <w:p>
            <w:r>
              <w:rPr>
                <w:b w:val="false"/>
                <w:bCs w:val="false"/>
                <w:sz w:val="19"/>
                <w:szCs w:val="19"/>
              </w:rPr>
              <w:t xml:space="preserve">Expo's push service (exp.host/--/api/v2/push/send)</w:t>
            </w:r>
          </w:p>
        </w:tc>
        <w:tc>
          <w:tcPr>
            <w:tcW w:type="dxa" w:w="4821"/>
            <w:tcMar>
              <w:top w:type="dxa" w:w="60"/>
              <w:left w:type="dxa" w:w="100"/>
              <w:bottom w:type="dxa" w:w="60"/>
              <w:right w:type="dxa" w:w="100"/>
            </w:tcMar>
            <w:vAlign w:val="center"/>
          </w:tcPr>
          <w:p>
            <w:r>
              <w:rPr>
                <w:b w:val="false"/>
                <w:bCs w:val="false"/>
                <w:sz w:val="19"/>
                <w:szCs w:val="19"/>
              </w:rPr>
              <w:t xml:space="preserve">No direct Firebase/FCM/APNs integration needed — Expo's relay handles platform delivery; see §4.4</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Auth</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@nestjs/jwt + passport-jwt + bcrypt</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Access/refresh pair, tokenVersion invalidation</w:t>
            </w:r>
          </w:p>
        </w:tc>
      </w:tr>
      <w:tr>
        <w:tc>
          <w:tcPr>
            <w:tcW w:type="dxa" w:w="1607"/>
            <w:tcMar>
              <w:top w:type="dxa" w:w="60"/>
              <w:left w:type="dxa" w:w="100"/>
              <w:bottom w:type="dxa" w:w="60"/>
              <w:right w:type="dxa" w:w="100"/>
            </w:tcMar>
            <w:vAlign w:val="center"/>
          </w:tcPr>
          <w:p>
            <w:r>
              <w:rPr>
                <w:b w:val="false"/>
                <w:bCs w:val="false"/>
                <w:sz w:val="19"/>
                <w:szCs w:val="19"/>
              </w:rPr>
              <w:t xml:space="preserve">Validation</w:t>
            </w:r>
          </w:p>
        </w:tc>
        <w:tc>
          <w:tcPr>
            <w:tcW w:type="dxa" w:w="2571"/>
            <w:tcMar>
              <w:top w:type="dxa" w:w="60"/>
              <w:left w:type="dxa" w:w="100"/>
              <w:bottom w:type="dxa" w:w="60"/>
              <w:right w:type="dxa" w:w="100"/>
            </w:tcMar>
            <w:vAlign w:val="center"/>
          </w:tcPr>
          <w:p>
            <w:r>
              <w:rPr>
                <w:b w:val="false"/>
                <w:bCs w:val="false"/>
                <w:sz w:val="19"/>
                <w:szCs w:val="19"/>
              </w:rPr>
              <w:t xml:space="preserve">zod (MQTT/env) + class-validator (REST DTOs)</w:t>
            </w:r>
          </w:p>
        </w:tc>
        <w:tc>
          <w:tcPr>
            <w:tcW w:type="dxa" w:w="4821"/>
            <w:tcMar>
              <w:top w:type="dxa" w:w="60"/>
              <w:left w:type="dxa" w:w="100"/>
              <w:bottom w:type="dxa" w:w="60"/>
              <w:right w:type="dxa" w:w="100"/>
            </w:tcMar>
            <w:vAlign w:val="center"/>
          </w:tcPr>
          <w:p>
            <w:r>
              <w:rPr>
                <w:b w:val="false"/>
                <w:bCs w:val="false"/>
                <w:sz w:val="19"/>
                <w:szCs w:val="19"/>
              </w:rPr>
              <w:t xml:space="preserve">Two different validators for two different input surfaces — see §4.2</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Frontend framework</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Expo SDK 57 (React Native, React 19), TypeScript</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Managed workflow, no native modules requiring a custom dev client; bumped from SDK 54 (2026-09-18) to match Expo Go’s forced-latest-SDK behavior on physical devices</w:t>
            </w:r>
          </w:p>
        </w:tc>
      </w:tr>
      <w:tr>
        <w:tc>
          <w:tcPr>
            <w:tcW w:type="dxa" w:w="1607"/>
            <w:tcMar>
              <w:top w:type="dxa" w:w="60"/>
              <w:left w:type="dxa" w:w="100"/>
              <w:bottom w:type="dxa" w:w="60"/>
              <w:right w:type="dxa" w:w="100"/>
            </w:tcMar>
            <w:vAlign w:val="center"/>
          </w:tcPr>
          <w:p>
            <w:r>
              <w:rPr>
                <w:b w:val="false"/>
                <w:bCs w:val="false"/>
                <w:sz w:val="19"/>
                <w:szCs w:val="19"/>
              </w:rPr>
              <w:t xml:space="preserve">Navigation</w:t>
            </w:r>
          </w:p>
        </w:tc>
        <w:tc>
          <w:tcPr>
            <w:tcW w:type="dxa" w:w="2571"/>
            <w:tcMar>
              <w:top w:type="dxa" w:w="60"/>
              <w:left w:type="dxa" w:w="100"/>
              <w:bottom w:type="dxa" w:w="60"/>
              <w:right w:type="dxa" w:w="100"/>
            </w:tcMar>
            <w:vAlign w:val="center"/>
          </w:tcPr>
          <w:p>
            <w:r>
              <w:rPr>
                <w:b w:val="false"/>
                <w:bCs w:val="false"/>
                <w:sz w:val="19"/>
                <w:szCs w:val="19"/>
              </w:rPr>
              <w:t xml:space="preserve">React Navigation 7 (native-stack + bottom-tabs)</w:t>
            </w:r>
          </w:p>
        </w:tc>
        <w:tc>
          <w:tcPr>
            <w:tcW w:type="dxa" w:w="4821"/>
            <w:tcMar>
              <w:top w:type="dxa" w:w="60"/>
              <w:left w:type="dxa" w:w="100"/>
              <w:bottom w:type="dxa" w:w="60"/>
              <w:right w:type="dxa" w:w="100"/>
            </w:tcMar>
            <w:vAlign w:val="center"/>
          </w:tcPr>
          <w:p>
            <w:r>
              <w:rPr>
                <w:b w:val="false"/>
                <w:bCs w:val="false"/>
                <w:sz w:val="19"/>
                <w:szCs w:val="19"/>
              </w:rPr>
              <w:t xml:space="preserve">Login/Signup stack -&gt; Device Pairing gate -&gt; Main tabs, a 3-way branch on session + device state (§4.5)</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Client state</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Zustand</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Only authStore and deviceStore — everything else is screen-local useState</w:t>
            </w:r>
          </w:p>
        </w:tc>
      </w:tr>
      <w:tr>
        <w:tc>
          <w:tcPr>
            <w:tcW w:type="dxa" w:w="1607"/>
            <w:tcMar>
              <w:top w:type="dxa" w:w="60"/>
              <w:left w:type="dxa" w:w="100"/>
              <w:bottom w:type="dxa" w:w="60"/>
              <w:right w:type="dxa" w:w="100"/>
            </w:tcMar>
            <w:vAlign w:val="center"/>
          </w:tcPr>
          <w:p>
            <w:r>
              <w:rPr>
                <w:b w:val="false"/>
                <w:bCs w:val="false"/>
                <w:sz w:val="19"/>
                <w:szCs w:val="19"/>
              </w:rPr>
              <w:t xml:space="preserve">Realtime client</w:t>
            </w:r>
          </w:p>
        </w:tc>
        <w:tc>
          <w:tcPr>
            <w:tcW w:type="dxa" w:w="2571"/>
            <w:tcMar>
              <w:top w:type="dxa" w:w="60"/>
              <w:left w:type="dxa" w:w="100"/>
              <w:bottom w:type="dxa" w:w="60"/>
              <w:right w:type="dxa" w:w="100"/>
            </w:tcMar>
            <w:vAlign w:val="center"/>
          </w:tcPr>
          <w:p>
            <w:r>
              <w:rPr>
                <w:b w:val="false"/>
                <w:bCs w:val="false"/>
                <w:sz w:val="19"/>
                <w:szCs w:val="19"/>
              </w:rPr>
              <w:t xml:space="preserve">socket.io-client</w:t>
            </w:r>
          </w:p>
        </w:tc>
        <w:tc>
          <w:tcPr>
            <w:tcW w:type="dxa" w:w="4821"/>
            <w:tcMar>
              <w:top w:type="dxa" w:w="60"/>
              <w:left w:type="dxa" w:w="100"/>
              <w:bottom w:type="dxa" w:w="60"/>
              <w:right w:type="dxa" w:w="100"/>
            </w:tcMar>
            <w:vAlign w:val="center"/>
          </w:tcPr>
          <w:p>
            <w:r>
              <w:rPr>
                <w:b w:val="false"/>
                <w:bCs w:val="false"/>
                <w:sz w:val="19"/>
                <w:szCs w:val="19"/>
              </w:rPr>
              <w:t xml:space="preserve">One hook (useRealtimeReadings) wraps connect/subscribe/teardown</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Charts</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Hand-rolled SVG (react-native-svg)</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Not a charting library — scrubber/multi-series logic is custom, see §4.3</w:t>
            </w:r>
          </w:p>
        </w:tc>
      </w:tr>
      <w:tr>
        <w:tc>
          <w:tcPr>
            <w:tcW w:type="dxa" w:w="1607"/>
            <w:tcMar>
              <w:top w:type="dxa" w:w="60"/>
              <w:left w:type="dxa" w:w="100"/>
              <w:bottom w:type="dxa" w:w="60"/>
              <w:right w:type="dxa" w:w="100"/>
            </w:tcMar>
            <w:vAlign w:val="center"/>
          </w:tcPr>
          <w:p>
            <w:r>
              <w:rPr>
                <w:b w:val="false"/>
                <w:bCs w:val="false"/>
                <w:sz w:val="19"/>
                <w:szCs w:val="19"/>
              </w:rPr>
              <w:t xml:space="preserve">Secure storage</w:t>
            </w:r>
          </w:p>
        </w:tc>
        <w:tc>
          <w:tcPr>
            <w:tcW w:type="dxa" w:w="2571"/>
            <w:tcMar>
              <w:top w:type="dxa" w:w="60"/>
              <w:left w:type="dxa" w:w="100"/>
              <w:bottom w:type="dxa" w:w="60"/>
              <w:right w:type="dxa" w:w="100"/>
            </w:tcMar>
            <w:vAlign w:val="center"/>
          </w:tcPr>
          <w:p>
            <w:r>
              <w:rPr>
                <w:b w:val="false"/>
                <w:bCs w:val="false"/>
                <w:sz w:val="19"/>
                <w:szCs w:val="19"/>
              </w:rPr>
              <w:t xml:space="preserve">expo-secure-store</w:t>
            </w:r>
          </w:p>
        </w:tc>
        <w:tc>
          <w:tcPr>
            <w:tcW w:type="dxa" w:w="4821"/>
            <w:tcMar>
              <w:top w:type="dxa" w:w="60"/>
              <w:left w:type="dxa" w:w="100"/>
              <w:bottom w:type="dxa" w:w="60"/>
              <w:right w:type="dxa" w:w="100"/>
            </w:tcMar>
            <w:vAlign w:val="center"/>
          </w:tcPr>
          <w:p>
            <w:r>
              <w:rPr>
                <w:b w:val="false"/>
                <w:bCs w:val="false"/>
                <w:sz w:val="19"/>
                <w:szCs w:val="19"/>
              </w:rPr>
              <w:t xml:space="preserve">Access/refresh tokens only</w:t>
            </w:r>
          </w:p>
        </w:tc>
      </w:tr>
      <w:tr>
        <w:tc>
          <w:tcPr>
            <w:tcW w:type="dxa" w:w="1607"/>
            <w:shd w:fill="F2F2F2" w:val="clear"/>
            <w:tcMar>
              <w:top w:type="dxa" w:w="60"/>
              <w:left w:type="dxa" w:w="100"/>
              <w:bottom w:type="dxa" w:w="60"/>
              <w:right w:type="dxa" w:w="100"/>
            </w:tcMar>
            <w:vAlign w:val="center"/>
          </w:tcPr>
          <w:p>
            <w:r>
              <w:rPr>
                <w:b w:val="false"/>
                <w:bCs w:val="false"/>
                <w:sz w:val="19"/>
                <w:szCs w:val="19"/>
              </w:rPr>
              <w:t xml:space="preserve">Fonts</w:t>
            </w:r>
          </w:p>
        </w:tc>
        <w:tc>
          <w:tcPr>
            <w:tcW w:type="dxa" w:w="2571"/>
            <w:shd w:fill="F2F2F2" w:val="clear"/>
            <w:tcMar>
              <w:top w:type="dxa" w:w="60"/>
              <w:left w:type="dxa" w:w="100"/>
              <w:bottom w:type="dxa" w:w="60"/>
              <w:right w:type="dxa" w:w="100"/>
            </w:tcMar>
            <w:vAlign w:val="center"/>
          </w:tcPr>
          <w:p>
            <w:r>
              <w:rPr>
                <w:b w:val="false"/>
                <w:bCs w:val="false"/>
                <w:sz w:val="19"/>
                <w:szCs w:val="19"/>
              </w:rPr>
              <w:t xml:space="preserve">Inter + JetBrains Mono (Google Fonts packages)</w:t>
            </w:r>
          </w:p>
        </w:tc>
        <w:tc>
          <w:tcPr>
            <w:tcW w:type="dxa" w:w="4821"/>
            <w:shd w:fill="F2F2F2" w:val="clear"/>
            <w:tcMar>
              <w:top w:type="dxa" w:w="60"/>
              <w:left w:type="dxa" w:w="100"/>
              <w:bottom w:type="dxa" w:w="60"/>
              <w:right w:type="dxa" w:w="100"/>
            </w:tcMar>
            <w:vAlign w:val="center"/>
          </w:tcPr>
          <w:p>
            <w:r>
              <w:rPr>
                <w:b w:val="false"/>
                <w:bCs w:val="false"/>
                <w:sz w:val="19"/>
                <w:szCs w:val="19"/>
              </w:rPr>
              <w:t xml:space="preserve">Display/body vs. data/mono pairing</w:t>
            </w:r>
          </w:p>
        </w:tc>
      </w:tr>
    </w:tbl>
    <w:p>
      <w:pPr>
        <w:spacing w:after="120"/>
      </w:pPr>
    </w:p>
    <w:p>
      <w:pPr>
        <w:pStyle w:val="Heading1"/>
        <w:spacing w:after="160" w:before="360"/>
      </w:pPr>
      <w:r>
        <w:t xml:space="preserve">4. Component Architecture</w:t>
      </w:r>
    </w:p>
    <w:p>
      <w:pPr>
        <w:pStyle w:val="Heading2"/>
        <w:spacing w:after="120" w:before="280"/>
      </w:pPr>
      <w:r>
        <w:t xml:space="preserve">4.1 Backend module layout</w:t>
      </w:r>
    </w:p>
    <w:p>
      <w:pPr>
        <w:spacing w:after="160"/>
      </w:pPr>
      <w:r>
        <w:rPr>
          <w:sz w:val="22"/>
          <w:szCs w:val="22"/>
        </w:rPr>
        <w:t xml:space="preserve">Every feature module follows the same shape: *.module.ts (DI wiring), *.controller.ts (thin — auth guard + ownership check + delegate), *.service.ts (actual logic), dto/ (request validation). There is no separate service/repository split beyond that — TypeORM repositories are injected directly into services. This matches ATG808’s "Route → Controller → Model, no service layer for most resources" philosophy, adapted to Nest’s DI idiom.</w:t>
      </w:r>
    </w:p>
    <w:p>
      <w:pPr>
        <w:spacing w:after="160"/>
      </w:pPr>
      <w:r>
        <w:rPr>
          <w:sz w:val="22"/>
          <w:szCs w:val="22"/>
        </w:rPr>
        <w:t xml:space="preserve">Modules: auth, devices, mqtt, sensors, alerts, maintenance, notifications, plus common (health check, Redis wrapper, the shared ReadingCreatedEvent type) and config (env validation). app.module.ts wires all of them plus the root TypeORM connection.</w:t>
      </w:r>
    </w:p>
    <w:p>
      <w:pPr>
        <w:spacing w:after="120"/>
      </w:pPr>
    </w:p>
    <w:p>
      <w:pPr>
        <w:spacing w:after="160"/>
      </w:pPr>
      <w:r>
        <w:rPr>
          <w:b/>
          <w:bCs/>
          <w:i w:val="false"/>
          <w:iCs w:val="false"/>
          <w:sz w:val="22"/>
          <w:szCs w:val="22"/>
        </w:rPr>
        <w:t xml:space="preserve">Cross-module coupling is deliberately event-based, not a direct call graph. </w:t>
      </w:r>
      <w:r>
        <w:rPr>
          <w:sz w:val="22"/>
          <w:szCs w:val="22"/>
        </w:rPr>
        <w:t xml:space="preserve">MqttIngestionService writes a reading and emits READING_CREATED_EVENT via Nest’s EventEmitter2 (in-process pub/sub, not a queue). AlertsService and SensorsGateway both listen independently. Neither the ingestion service nor the event itself knows or cares who’s listening — adding a third consumer (e.g. a future push-notification service) means adding a new @OnEvent listener, not touching ingestion code.</w:t>
      </w:r>
    </w:p>
    <w:p>
      <w:pPr>
        <w:spacing w:after="160"/>
      </w:pPr>
      <w:r>
        <w:rPr>
          <w:b/>
          <w:bCs/>
          <w:i w:val="false"/>
          <w:iCs w:val="false"/>
          <w:sz w:val="22"/>
          <w:szCs w:val="22"/>
        </w:rPr>
        <w:t xml:space="preserve">Device ownership is centralized, not duplicated. </w:t>
      </w:r>
      <w:r>
        <w:rPr>
          <w:sz w:val="22"/>
          <w:szCs w:val="22"/>
        </w:rPr>
        <w:t xml:space="preserve">DevicesService.getOwned(userId, deviceId) is the single ownership check every other module’s controller calls before doing anything device-scoped (sensors, alerts, maintenance). This avoids the failure mode of one endpoint forgetting the check — see NFR-3.2 in the SRS.</w:t>
      </w:r>
    </w:p>
    <w:p>
      <w:pPr>
        <w:pStyle w:val="Heading2"/>
        <w:spacing w:after="120" w:before="280"/>
      </w:pPr>
      <w:r>
        <w:t xml:space="preserve">4.2 Two validation layers, two libraries</w:t>
      </w:r>
    </w:p>
    <w:p>
      <w:pPr>
        <w:pStyle w:val="ListParagraph"/>
        <w:numPr>
          <w:ilvl w:val="0"/>
          <w:numId w:val="1"/>
        </w:numPr>
        <w:spacing w:after="80"/>
      </w:pPr>
      <w:r>
        <w:rPr>
          <w:sz w:val="22"/>
          <w:szCs w:val="22"/>
        </w:rPr>
        <w:t xml:space="preserve">REST request bodies use class-validator DTOs (Nest’s idiomatic choice), enforced globally by a ValidationPipe with whitelist: true, forbidNonWhitelisted: true — an unexpected field in a request body is rejected, not silently dropped.</w:t>
      </w:r>
    </w:p>
    <w:p>
      <w:pPr>
        <w:pStyle w:val="ListParagraph"/>
        <w:numPr>
          <w:ilvl w:val="0"/>
          <w:numId w:val="1"/>
        </w:numPr>
        <w:spacing w:after="80"/>
      </w:pPr>
      <w:r>
        <w:rPr>
          <w:sz w:val="22"/>
          <w:szCs w:val="22"/>
        </w:rPr>
        <w:t xml:space="preserve">MQTT payloads and environment config use zod instead. Neither comes from a Nest-controlled request lifecycle (MQTT messages arrive via the mqtt package’s own event emitter; env vars are read at bootstrap), so class-validator’s decorator-on-a-class pattern doesn’t fit as naturally — zod’s safeParse gives a plain synchronous validate-or-error-list call that’s easy to use in both contexts. This is a considered choice, not inconsistency: two different input surfaces, two validators each fit to how that surface actually calls into the code.</w:t>
      </w:r>
    </w:p>
    <w:p>
      <w:pPr>
        <w:pStyle w:val="Heading2"/>
        <w:spacing w:after="120" w:before="280"/>
      </w:pPr>
      <w:r>
        <w:t xml:space="preserve">4.3 Frontend chart implementation</w:t>
      </w:r>
    </w:p>
    <w:p>
      <w:pPr>
        <w:spacing w:after="160"/>
      </w:pPr>
      <w:r>
        <w:rPr>
          <w:sz w:val="22"/>
          <w:szCs w:val="22"/>
        </w:rPr>
        <w:t xml:space="preserve">EnvironmentScreen.tsx and DashboardScreen.tsx implement line charts, a multi-series overview chart, and a touch-scrubber entirely with react-native-svg primitives and a hand-written PanResponder, rather than a charting library (the client’s spec explicitly suggested "Recharts / Chart.js" — a web-oriented suggestion that doesn’t transfer directly to React Native). Rationale, as documented in-code: full control over the scrubber interaction (drag to see exact value + timestamp) and the radial gauge style used on the Internal screen, both bespoke to this design, would fight a generic charting library more than they’d benefit from one. This is a legitimate trade-off, not a shortcut — but it does mean any new chart type is more implementation work than reaching for a library method.</w:t>
      </w:r>
    </w:p>
    <w:p>
      <w:pPr>
        <w:pStyle w:val="Heading2"/>
        <w:spacing w:after="120" w:before="280"/>
      </w:pPr>
      <w:r>
        <w:t xml:space="preserve">4.4 Frontend screen structure</w:t>
      </w:r>
    </w:p>
    <w:p>
      <w:pPr>
        <w:spacing w:after="160"/>
      </w:pPr>
      <w:r>
        <w:rPr>
          <w:sz w:val="22"/>
          <w:szCs w:val="22"/>
        </w:rPr>
        <w:t xml:space="preserve">Every data screen follows the same pattern: a Zustand-selected device → useRealtimeReadings(deviceId) for live updates → one or more readingsApi/alertsApi/maintenanceApi calls on mount for anything realtime doesn’t cover (history buckets, alert lists, maintenance summaries) → local useState merges realtime events into the displayed state. There is no screen-level data-fetching abstraction beyond this repeated-by-hand pattern — acceptable at 4 data screens, worth revisiting if a 5th or 6th data screen is added with the same shape.</w:t>
      </w:r>
    </w:p>
    <w:p>
      <w:pPr>
        <w:pStyle w:val="Heading2"/>
        <w:spacing w:after="120" w:before="280"/>
      </w:pPr>
      <w:r>
        <w:t xml:space="preserve">4.5 Actuator command channel (new)</w:t>
      </w:r>
    </w:p>
    <w:p>
      <w:pPr>
        <w:spacing w:after="160"/>
      </w:pPr>
      <w:r>
        <w:rPr>
          <w:sz w:val="22"/>
          <w:szCs w:val="22"/>
        </w:rPr>
        <w:t xml:space="preserve">MQTT ingestion is, and remains, strictly one-directional (device → backend) — see §2 and SRS §3.13’s framing that this was new architecture, not a wire-up of something that already half-existed. MqttCommandPublisherService opens its own MQTT client connection (deliberately separate from MqttIngestionService’s) and exposes a single publishCommand(deviceCode, command) method, publishing the device’s full desired actuator state to aura/{deviceCode}/command.</w:t>
      </w:r>
    </w:p>
    <w:p>
      <w:pPr>
        <w:pStyle w:val="ListParagraph"/>
        <w:numPr>
          <w:ilvl w:val="0"/>
          <w:numId w:val="1"/>
        </w:numPr>
        <w:spacing w:after="80"/>
      </w:pPr>
      <w:r>
        <w:rPr>
          <w:b/>
          <w:bCs/>
          <w:i w:val="false"/>
          <w:iCs w:val="false"/>
          <w:sz w:val="22"/>
          <w:szCs w:val="22"/>
        </w:rPr>
        <w:t xml:space="preserve">Why a separate connection, not a shared one: </w:t>
      </w:r>
      <w:r>
        <w:rPr>
          <w:sz w:val="22"/>
          <w:szCs w:val="22"/>
        </w:rPr>
        <w:t xml:space="preserve">MqttCommandPublisherModule is imported by DevicesModule (so DevicesService can call it from the actuator-update endpoint), while ingestion lives in MqttModule. Sharing one connection/service between the two would require MqttModule to depend on DevicesModule (or vice versa) in a way that creates a circular module dependency. Two independent connections avoids the cycle at the cost of one extra MQTT client — a fine trade for a low-frequency command path.</w:t>
      </w:r>
    </w:p>
    <w:p>
      <w:pPr>
        <w:pStyle w:val="ListParagraph"/>
        <w:numPr>
          <w:ilvl w:val="0"/>
          <w:numId w:val="1"/>
        </w:numPr>
        <w:spacing w:after="80"/>
      </w:pPr>
      <w:r>
        <w:rPr>
          <w:b/>
          <w:bCs/>
          <w:i w:val="false"/>
          <w:iCs w:val="false"/>
          <w:sz w:val="22"/>
          <w:szCs w:val="22"/>
        </w:rPr>
        <w:t xml:space="preserve">Full-state, not diff, on the wire: </w:t>
      </w:r>
      <w:r>
        <w:rPr>
          <w:sz w:val="22"/>
          <w:szCs w:val="22"/>
        </w:rPr>
        <w:t xml:space="preserve">DevicesService.updateActuatorState(userId, deviceId, dto) merges the partial PATCH body onto the device row’s current stored actuator fields (lightOn, lightColorMode, lightColorHex, lightIntensityPercent, bubblingSpeed), persists the merged row, then publishes the complete merged state — never just the fields that changed. This means firmware never has to reconstruct "what should the other actuators stay at" from a partial message.</w:t>
      </w:r>
    </w:p>
    <w:p>
      <w:pPr>
        <w:pStyle w:val="ListParagraph"/>
        <w:numPr>
          <w:ilvl w:val="0"/>
          <w:numId w:val="1"/>
        </w:numPr>
        <w:spacing w:after="80"/>
      </w:pPr>
      <w:r>
        <w:rPr>
          <w:sz w:val="22"/>
          <w:szCs w:val="22"/>
        </w:rPr>
        <w:t xml:space="preserve">Goes through the same DevicesService.getOwned ownership check as every other device-scoped write (§4.1) before touching anything.</w:t>
      </w:r>
    </w:p>
    <w:p>
      <w:pPr>
        <w:pStyle w:val="Heading2"/>
        <w:spacing w:after="120" w:before="280"/>
      </w:pPr>
      <w:r>
        <w:t xml:space="preserve">4.6 Notification subsystem (new)</w:t>
      </w:r>
    </w:p>
    <w:p>
      <w:pPr>
        <w:spacing w:after="160"/>
      </w:pPr>
      <w:r>
        <w:rPr>
          <w:sz w:val="22"/>
          <w:szCs w:val="22"/>
        </w:rPr>
        <w:t xml:space="preserve">NotificationsModule (NotificationsService, NotificationsController, PushToken entity) is a thin wrapper around Expo’s push relay API — no direct FCM/APNs integration, per §2/§3. POST /push-tokens (frontend: registerPushNotifications.ts, called once per "reached Main" transition) upserts a token against the authenticated user; a token belongs to an app installation, not to any particular device, since one user may own multiple devices.</w:t>
      </w:r>
    </w:p>
    <w:p>
      <w:pPr>
        <w:spacing w:after="160"/>
      </w:pPr>
      <w:r>
        <w:rPr>
          <w:sz w:val="22"/>
          <w:szCs w:val="22"/>
        </w:rPr>
        <w:t xml:space="preserve">AlertsModule imports NotificationsModule (not the reverse) — AlertsService.notifyOwner is the only caller of NotificationsService.sendToUser today. sendToUser itself never throws (errors from Expo’s API, including a rejected/invalid token, are caught and logged), matching the "never crash the pipeline" rule in SRS NFR-2.1/CLAUDE.md — a bad or stale push token must never be able to break alert evaluation for that device or any other.</w:t>
      </w:r>
    </w:p>
    <w:p>
      <w:pPr>
        <w:pBdr>
          <w:left w:val="single" w:color="BF8F00" w:sz="12" w:space="8"/>
        </w:pBdr>
        <w:spacing w:after="160"/>
        <w:ind w:left="360"/>
      </w:pPr>
      <w:r>
        <w:rPr>
          <w:i/>
          <w:iCs/>
          <w:color w:val="BF8F00"/>
          <w:sz w:val="20"/>
          <w:szCs w:val="20"/>
        </w:rPr>
      </w:r>
    </w:p>
    <w:p>
      <w:pPr>
        <w:pStyle w:val="Heading2"/>
        <w:spacing w:after="120" w:before="280"/>
      </w:pPr>
      <w:r>
        <w:t xml:space="preserve">4.7 Onboarding / device-pairing navigator gate (new)</w:t>
      </w:r>
    </w:p>
    <w:p>
      <w:pPr>
        <w:spacing w:after="160"/>
      </w:pPr>
      <w:r>
        <w:rPr>
          <w:sz w:val="22"/>
          <w:szCs w:val="22"/>
        </w:rPr>
        <w:t xml:space="preserve">RootNavigator.tsx is a 3-way branch, not the 2-way (Login vs. Main) branch described in v1.0: no session → Login/Signup stack (SignupScreen.tsx added alongside LoginScreen.tsx); a session with zero paired devices → DevicePairingScreen.tsx, which replaces Main entirely rather than being reachable from within it; a session with ≥1 device → Main.</w:t>
      </w:r>
    </w:p>
    <w:p>
      <w:pPr>
        <w:pStyle w:val="ListParagraph"/>
        <w:numPr>
          <w:ilvl w:val="0"/>
          <w:numId w:val="1"/>
        </w:numPr>
        <w:spacing w:after="80"/>
      </w:pPr>
      <w:r>
        <w:rPr>
          <w:b/>
          <w:bCs/>
          <w:i w:val="false"/>
          <w:iCs w:val="false"/>
          <w:sz w:val="22"/>
          <w:szCs w:val="22"/>
        </w:rPr>
        <w:t xml:space="preserve">Why a hard gate, not a dismissible one: </w:t>
      </w:r>
      <w:r>
        <w:rPr>
          <w:sz w:val="22"/>
          <w:szCs w:val="22"/>
        </w:rPr>
        <w:t xml:space="preserve">there is still no unpair UI anywhere in the app (SRS §3.2), so nothing can ever drive devices.length from ≥1 back to 0 during a session. A dismissible pairing screen would just recreate the dead-end this gate exists to close — dismiss it, land on tabs that all say "No device paired yet," no way back.</w:t>
      </w:r>
    </w:p>
    <w:p>
      <w:pPr>
        <w:pStyle w:val="ListParagraph"/>
        <w:numPr>
          <w:ilvl w:val="0"/>
          <w:numId w:val="1"/>
        </w:numPr>
        <w:spacing w:after="80"/>
      </w:pPr>
      <w:r>
        <w:rPr>
          <w:b/>
          <w:bCs/>
          <w:i w:val="false"/>
          <w:iCs w:val="false"/>
          <w:sz w:val="22"/>
          <w:szCs w:val="22"/>
        </w:rPr>
        <w:t xml:space="preserve">Keyed off Boolean(accessToken), not the token string: </w:t>
      </w:r>
      <w:r>
        <w:rPr>
          <w:sz w:val="22"/>
          <w:szCs w:val="22"/>
        </w:rPr>
        <w:t xml:space="preserve">api/client.ts’s silent 401-refresh calls setTokens() and rewrites accessToken mid-session on ordinary token rotation. Keying the device-check effect off the string itself would re-fire it (and flash a spinner or the pairing screen over Main) on every silent refresh — keying off presence/absence of a token avoids that.</w:t>
      </w:r>
    </w:p>
    <w:p>
      <w:pPr>
        <w:pStyle w:val="ListParagraph"/>
        <w:numPr>
          <w:ilvl w:val="0"/>
          <w:numId w:val="1"/>
        </w:numPr>
        <w:spacing w:after="80"/>
      </w:pPr>
      <w:r>
        <w:rPr>
          <w:sz w:val="22"/>
          <w:szCs w:val="22"/>
        </w:rPr>
        <w:t xml:space="preserve">The device-check effect only marks itself "succeeded" after a successful fetchDevices() call, rendering the existing ErrorState component with a retry on failure — a network blip during the check can’t silently route a session to the wrong branch on stale/absent data.</w:t>
      </w:r>
    </w:p>
    <w:p>
      <w:pPr>
        <w:pStyle w:val="Heading1"/>
        <w:spacing w:after="160" w:before="360"/>
      </w:pPr>
      <w:r>
        <w:t xml:space="preserve">5. Data Architecture</w:t>
      </w:r>
    </w:p>
    <w:p>
      <w:pPr>
        <w:pStyle w:val="Heading2"/>
        <w:spacing w:after="120" w:before="280"/>
      </w:pPr>
      <w:r>
        <w:t xml:space="preserve">5.1 Why sensor_readings is narrow, not wide</w:t>
      </w:r>
    </w:p>
    <w:p>
      <w:pPr>
        <w:spacing w:after="160"/>
      </w:pPr>
      <w:r>
        <w:rPr>
          <w:sz w:val="22"/>
          <w:szCs w:val="22"/>
        </w:rPr>
        <w:t xml:space="preserve">SensorReading is (id, deviceId, metricType, value, unit, recordedAt) — one row per metric per timestamp, not one row per device-timestamp with a column per sensor. This means:</w:t>
      </w:r>
    </w:p>
    <w:p>
      <w:pPr>
        <w:pStyle w:val="ListParagraph"/>
        <w:numPr>
          <w:ilvl w:val="0"/>
          <w:numId w:val="1"/>
        </w:numPr>
        <w:spacing w:after="80"/>
      </w:pPr>
      <w:r>
        <w:rPr>
          <w:sz w:val="22"/>
          <w:szCs w:val="22"/>
        </w:rPr>
        <w:t xml:space="preserve">Adding a new sensor (e.g. a future dissolved-oxygen sensor from the client’s "sensor priority" table) is a data change (new MetricType enum value + one migration to add it to the Postgres enum type), not a schema redesign or a new nullable column on an ever-widening table.</w:t>
      </w:r>
    </w:p>
    <w:p>
      <w:pPr>
        <w:pStyle w:val="ListParagraph"/>
        <w:numPr>
          <w:ilvl w:val="0"/>
          <w:numId w:val="1"/>
        </w:numPr>
        <w:spacing w:after="80"/>
      </w:pPr>
      <w:r>
        <w:rPr>
          <w:sz w:val="22"/>
          <w:szCs w:val="22"/>
        </w:rPr>
        <w:t xml:space="preserve">Every query, alert evaluation, and continuous aggregate is written once, generically, against (deviceId, metricType, recordedAt) rather than needing per-column variants.</w:t>
      </w:r>
    </w:p>
    <w:p>
      <w:pPr>
        <w:pStyle w:val="ListParagraph"/>
        <w:numPr>
          <w:ilvl w:val="0"/>
          <w:numId w:val="1"/>
        </w:numPr>
        <w:spacing w:after="80"/>
      </w:pPr>
      <w:r>
        <w:rPr>
          <w:sz w:val="22"/>
          <w:szCs w:val="22"/>
        </w:rPr>
        <w:t xml:space="preserve">The tradeoff: a "give me everything for this device at this timestamp" query requires a pivot rather than being a single-row read. Not a problem here since every current read path (history-by-metric, current-value-by-device) already wants the narrow shape.</w:t>
      </w:r>
    </w:p>
    <w:p>
      <w:pPr>
        <w:pStyle w:val="Heading2"/>
        <w:spacing w:after="120" w:before="280"/>
      </w:pPr>
      <w:r>
        <w:t xml:space="preserve">5.2 TimescaleDB hypertable + continuous aggregates</w:t>
      </w:r>
    </w:p>
    <w:p>
      <w:pPr>
        <w:spacing w:after="160"/>
      </w:pPr>
      <w:r>
        <w:rPr>
          <w:sz w:val="22"/>
          <w:szCs w:val="22"/>
        </w:rPr>
        <w:t xml:space="preserve">Migration 002_sensor_readings_hypertable.ts converts sensor_readings into a hypertable and creates three continuous aggregates (sensor_readings_1h/1d/1w) that SensorsService queries directly by name (from a fixed whitelist, never user input — see the SQL-injection note in sensors.service.ts). This exists specifically to back the client spec’s "Time-Granularity Toggle: 1 Hour | 1 Day | 1 Week" requirement without the app ever running an on-the-fly GROUP BY time_bucket(...) over raw data.</w:t>
      </w:r>
    </w:p>
    <w:p>
      <w:pPr>
        <w:pBdr>
          <w:left w:val="single" w:color="BF8F00" w:sz="12" w:space="8"/>
        </w:pBdr>
        <w:spacing w:after="160"/>
        <w:ind w:left="360"/>
      </w:pPr>
      <w:r>
        <w:rPr>
          <w:i/>
          <w:iCs/>
          <w:color w:val="BF8F00"/>
          <w:sz w:val="20"/>
          <w:szCs w:val="20"/>
        </w:rPr>
      </w:r>
    </w:p>
    <w:p>
      <w:pPr>
        <w:pStyle w:val="Heading2"/>
        <w:spacing w:after="120" w:before="280"/>
      </w:pPr>
      <w:r>
        <w:t xml:space="preserve">5.3 Enum-based metric/severity/type fields</w:t>
      </w:r>
    </w:p>
    <w:p>
      <w:pPr>
        <w:spacing w:after="160"/>
      </w:pPr>
      <w:r>
        <w:rPr>
          <w:sz w:val="22"/>
          <w:szCs w:val="22"/>
        </w:rPr>
        <w:t xml:space="preserve">MetricType, AlertSeverity, DeviceStatus, and MaintenanceType are all Postgres enum columns. Adding a new metric (as biomass was, in migration 005, and co2_absorbed/o2_released were, in migration 007) is ALTER TYPE ... ADD VALUE — cheap going forward, but Postgres has no DROP VALUE, so removing one cleanly requires a full type-rebuild migration. Each such migration’s down() is deliberately a no-op with a comment explaining this, rather than attempting a risky automatic rollback.</w:t>
      </w:r>
    </w:p>
    <w:p>
      <w:pPr>
        <w:pStyle w:val="Heading2"/>
        <w:spacing w:after="120" w:before="280"/>
      </w:pPr>
      <w:r>
        <w:t xml:space="preserve">5.4 Threshold override pattern — now used, not just built</w:t>
      </w:r>
    </w:p>
    <w:p>
      <w:pPr>
        <w:spacing w:after="160"/>
      </w:pPr>
      <w:r>
        <w:rPr>
          <w:sz w:val="22"/>
          <w:szCs w:val="22"/>
        </w:rPr>
        <w:t xml:space="preserve">AlertThreshold (device+metric → custom green/amber band) was built with a per-device override path from day one; as of this version something actually writes to it — AlertsService.upsertThreshold/deleteThreshold, called from AlertThresholdsScreen.tsx (SRS §3.10, FR-10.5). validateBand enforces the same "amber surrounds green" invariant the frontend form checks, since this table is read on every single alert evaluation — a bad band saved once would misclassify every future reading for that metric, not just fail one form submission.</w:t>
      </w:r>
    </w:p>
    <w:p>
      <w:pPr>
        <w:spacing w:after="160"/>
      </w:pPr>
      <w:r>
        <w:rPr>
          <w:sz w:val="22"/>
          <w:szCs w:val="22"/>
        </w:rPr>
        <w:t xml:space="preserve">Maintenance intervals remain hardcoded per-type globally (default-intervals.ts) with no per-device override table — a real asymmetry with alert thresholds, unaddressed in this version. If per-device interval customization becomes a real need, MAINTENANCE_INTERVALS.md already names the alert-threshold pattern to copy.</w:t>
      </w:r>
    </w:p>
    <w:p>
      <w:pPr>
        <w:pStyle w:val="Heading2"/>
        <w:spacing w:after="120" w:before="280"/>
      </w:pPr>
      <w:r>
        <w:t xml:space="preserve">5.5 Device actuator state, tank volume, and push tokens (new)</w:t>
      </w:r>
    </w:p>
    <w:p>
      <w:pPr>
        <w:spacing w:after="160"/>
      </w:pPr>
      <w:r>
        <w:rPr>
          <w:sz w:val="22"/>
          <w:szCs w:val="22"/>
        </w:rPr>
        <w:t xml:space="preserve">Migration 006 adds tankVolumeLiters (default 10) to Device. Migration 009 adds the actuator-state columns to Device directly (lightOn, lightColorMode, lightColorHex, lightIntensityPercent, bubblingSpeed) rather than a separate table — actuator state is 1:1 with a device and always read/written as a full unit (§4.5), so a join brings no benefit here. lightColorHex is string | null; TypeORM’s decorator needs an explicit type: 'varchar' on this column, since a bare string | null union reflects to TypeORM as Object and throws DataTypeNotSupportedError against Postgres otherwise — hit twice in this codebase’s history, both times on a nullable string column missing an explicit type.</w:t>
      </w:r>
    </w:p>
    <w:p>
      <w:pPr>
        <w:spacing w:after="160"/>
      </w:pPr>
      <w:r>
        <w:rPr>
          <w:sz w:val="22"/>
          <w:szCs w:val="22"/>
        </w:rPr>
        <w:t xml:space="preserve">Migration 008 adds a push_tokens table (PushToken entity): userId + the Expo push token string, upserted (not duplicated) on re-registration of the same token under the same user. Scoped to the user, not the device, since a token belongs to an app installation that may see multiple devices, not to any one piece of hardware.</w:t>
      </w:r>
    </w:p>
    <w:p>
      <w:pPr>
        <w:spacing w:after="160"/>
      </w:pPr>
      <w:r>
        <w:rPr>
          <w:sz w:val="22"/>
          <w:szCs w:val="22"/>
        </w:rPr>
        <w:t xml:space="preserve">Migration 007 adds co2_absorbed and o2_released as MetricType enum values (§5.3) so the derived Impact Widget figures (SRS §6.1) can be stored and queried through the existing narrow sensor_readings shape (§5.1) rather than a bespoke table.</w:t>
      </w:r>
    </w:p>
    <w:p>
      <w:pPr>
        <w:pStyle w:val="Heading1"/>
        <w:spacing w:after="160" w:before="360"/>
      </w:pPr>
      <w:r>
        <w:t xml:space="preserve">6. Data Flow: Telemetry Ingestion (the critical path)</w:t>
      </w:r>
    </w:p>
    <w:p>
      <w:pPr>
        <w:pStyle w:val="ListParagraph"/>
        <w:numPr>
          <w:ilvl w:val="0"/>
          <w:numId w:val="2"/>
        </w:numPr>
        <w:spacing w:after="80"/>
      </w:pPr>
      <w:r>
        <w:rPr>
          <w:sz w:val="22"/>
          <w:szCs w:val="22"/>
        </w:rPr>
        <w:t xml:space="preserve">Device publishes JSON to aura/{deviceCode}/telemetry.</w:t>
      </w:r>
    </w:p>
    <w:p>
      <w:pPr>
        <w:pStyle w:val="ListParagraph"/>
        <w:numPr>
          <w:ilvl w:val="0"/>
          <w:numId w:val="2"/>
        </w:numPr>
        <w:spacing w:after="80"/>
      </w:pPr>
      <w:r>
        <w:rPr>
          <w:sz w:val="22"/>
          <w:szCs w:val="22"/>
        </w:rPr>
        <w:t xml:space="preserve">MqttIngestionService.handleMessage parses JSON defensively (bad JSON → log + drop, never throw into the MQTT client’s event loop).</w:t>
      </w:r>
    </w:p>
    <w:p>
      <w:pPr>
        <w:pStyle w:val="ListParagraph"/>
        <w:numPr>
          <w:ilvl w:val="0"/>
          <w:numId w:val="2"/>
        </w:numPr>
        <w:spacing w:after="80"/>
      </w:pPr>
      <w:r>
        <w:rPr>
          <w:sz w:val="22"/>
          <w:szCs w:val="22"/>
        </w:rPr>
        <w:t xml:space="preserve">TelemetryPayloadSchema.safeParse (zod) validates shape; a schema-invalid message is dropped with a logged reason per failed field.</w:t>
      </w:r>
    </w:p>
    <w:p>
      <w:pPr>
        <w:pStyle w:val="ListParagraph"/>
        <w:numPr>
          <w:ilvl w:val="0"/>
          <w:numId w:val="2"/>
        </w:numPr>
        <w:spacing w:after="80"/>
      </w:pPr>
      <w:r>
        <w:rPr>
          <w:sz w:val="22"/>
          <w:szCs w:val="22"/>
        </w:rPr>
        <w:t xml:space="preserve">extractValidReadings flattens the nested readings object to (metricType, value) pairs and drops anything outside a hardcoded physical sane-range per metric (e.g. CO2 must be 0–10,000 ppm) — this exists specifically so "a stuck or faulty sensor can’t poison the graphs or trigger false alerts."</w:t>
      </w:r>
    </w:p>
    <w:p>
      <w:pPr>
        <w:pStyle w:val="ListParagraph"/>
        <w:numPr>
          <w:ilvl w:val="0"/>
          <w:numId w:val="2"/>
        </w:numPr>
        <w:spacing w:after="80"/>
      </w:pPr>
      <w:r>
        <w:rPr>
          <w:sz w:val="22"/>
          <w:szCs w:val="22"/>
        </w:rPr>
        <w:t xml:space="preserve">withImpactMetrics (new): if the valid readings include RGB, biomass-calculation.ts derives hue → OD680 → biomass (g/L) → CO2 absorbed / O2 released (SRS §6.1) and adds/overwrites those metric values before insert; a reading with no RGB skips this step and keeps any device-sent biomass value as-is.</w:t>
      </w:r>
    </w:p>
    <w:p>
      <w:pPr>
        <w:pStyle w:val="ListParagraph"/>
        <w:numPr>
          <w:ilvl w:val="0"/>
          <w:numId w:val="2"/>
        </w:numPr>
        <w:spacing w:after="80"/>
      </w:pPr>
      <w:r>
        <w:rPr>
          <w:sz w:val="22"/>
          <w:szCs w:val="22"/>
        </w:rPr>
        <w:t xml:space="preserve">DevicesService.findOrCreateByCode resolves (or silently creates, unclaimed) the device row.</w:t>
      </w:r>
    </w:p>
    <w:p>
      <w:pPr>
        <w:pStyle w:val="ListParagraph"/>
        <w:numPr>
          <w:ilvl w:val="0"/>
          <w:numId w:val="2"/>
        </w:numPr>
        <w:spacing w:after="80"/>
      </w:pPr>
      <w:r>
        <w:rPr>
          <w:sz w:val="22"/>
          <w:szCs w:val="22"/>
        </w:rPr>
        <w:t xml:space="preserve">Valid (and now impact-augmented) readings are bulk-inserted into sensor_readings.</w:t>
      </w:r>
    </w:p>
    <w:p>
      <w:pPr>
        <w:pStyle w:val="ListParagraph"/>
        <w:numPr>
          <w:ilvl w:val="0"/>
          <w:numId w:val="2"/>
        </w:numPr>
        <w:spacing w:after="80"/>
      </w:pPr>
      <w:r>
        <w:rPr>
          <w:sz w:val="22"/>
          <w:szCs w:val="22"/>
        </w:rPr>
        <w:t xml:space="preserve">The device’s status/lastSeenAt are updated; latest values are cached in Redis with a 120s heartbeat TTL.</w:t>
      </w:r>
    </w:p>
    <w:p>
      <w:pPr>
        <w:pStyle w:val="ListParagraph"/>
        <w:numPr>
          <w:ilvl w:val="0"/>
          <w:numId w:val="2"/>
        </w:numPr>
        <w:spacing w:after="80"/>
      </w:pPr>
      <w:r>
        <w:rPr>
          <w:sz w:val="22"/>
          <w:szCs w:val="22"/>
        </w:rPr>
        <w:t xml:space="preserve">A ReadingCreatedEvent is emitted in-process.</w:t>
      </w:r>
    </w:p>
    <w:p>
      <w:pPr>
        <w:pStyle w:val="ListParagraph"/>
        <w:numPr>
          <w:ilvl w:val="0"/>
          <w:numId w:val="2"/>
        </w:numPr>
        <w:spacing w:after="80"/>
      </w:pPr>
      <w:r>
        <w:rPr>
          <w:sz w:val="22"/>
          <w:szCs w:val="22"/>
        </w:rPr>
        <w:t xml:space="preserve">AlertsService (listening) evaluates each reading against its threshold band (default or per-device override, §5.4) and writes an alert_events row only on a severity transition; on a transition into amber/red, it also calls notifyOwner (§6.2).</w:t>
      </w:r>
    </w:p>
    <w:p>
      <w:pPr>
        <w:pStyle w:val="ListParagraph"/>
        <w:numPr>
          <w:ilvl w:val="0"/>
          <w:numId w:val="2"/>
        </w:numPr>
        <w:spacing w:after="80"/>
      </w:pPr>
      <w:r>
        <w:rPr>
          <w:sz w:val="22"/>
          <w:szCs w:val="22"/>
        </w:rPr>
        <w:t xml:space="preserve">SensorsGateway (listening) emits a reading Socket.io event into that device’s room, reaching any connected app currently subscribed.</w:t>
      </w:r>
    </w:p>
    <w:p>
      <w:pPr>
        <w:spacing w:after="120"/>
      </w:pPr>
    </w:p>
    <w:p>
      <w:pPr>
        <w:spacing w:after="160"/>
      </w:pPr>
      <w:r>
        <w:rPr>
          <w:sz w:val="22"/>
          <w:szCs w:val="22"/>
        </w:rPr>
        <w:t xml:space="preserve">Every step from 2–5 is designed to fail closed per-message (drop and log) rather than letting one bad payload take down ingestion for every other device — see SRS NFR-2.1. The impact-metric derivation in step 5 follows the same rule: a metric evaluation throwing must never block the rest of that message or any other device.</w:t>
      </w:r>
    </w:p>
    <w:p>
      <w:pPr>
        <w:pStyle w:val="Heading2"/>
        <w:spacing w:after="120" w:before="280"/>
      </w:pPr>
      <w:r>
        <w:t xml:space="preserve">6.2 Data Flow: Alert Notification Cooldown (new)</w:t>
      </w:r>
    </w:p>
    <w:p>
      <w:pPr>
        <w:spacing w:after="160"/>
      </w:pPr>
      <w:r>
        <w:rPr>
          <w:sz w:val="22"/>
          <w:szCs w:val="22"/>
        </w:rPr>
        <w:t xml:space="preserve">Reached from step 10 above, only on a genuine severity transition into amber/red (never on green, never on a repeat of the same severity — that’s the transition-only rule itself, unrelated to the cooldown):</w:t>
      </w:r>
    </w:p>
    <w:p>
      <w:pPr>
        <w:pStyle w:val="ListParagraph"/>
        <w:numPr>
          <w:ilvl w:val="0"/>
          <w:numId w:val="2"/>
        </w:numPr>
        <w:spacing w:after="80"/>
      </w:pPr>
      <w:r>
        <w:rPr>
          <w:sz w:val="22"/>
          <w:szCs w:val="22"/>
        </w:rPr>
        <w:t xml:space="preserve">notifyOwner checks Redis key device:{deviceId}:notified:{metricType}. If present, log a debug line and return — no push is sent, but the alert_events row from step 10 was already written unconditionally, so in-app alert history is unaffected.</w:t>
      </w:r>
    </w:p>
    <w:p>
      <w:pPr>
        <w:pStyle w:val="ListParagraph"/>
        <w:numPr>
          <w:ilvl w:val="0"/>
          <w:numId w:val="2"/>
        </w:numPr>
        <w:spacing w:after="80"/>
      </w:pPr>
      <w:r>
        <w:rPr>
          <w:sz w:val="22"/>
          <w:szCs w:val="22"/>
        </w:rPr>
        <w:t xml:space="preserve">If absent, look up the device’s owner (no owner = unclaimed device = silent no-op, not an error) and call NotificationsService.sendToUser with a message built from the device label, metric, value, and severity.</w:t>
      </w:r>
    </w:p>
    <w:p>
      <w:pPr>
        <w:pStyle w:val="ListParagraph"/>
        <w:numPr>
          <w:ilvl w:val="0"/>
          <w:numId w:val="2"/>
        </w:numPr>
        <w:spacing w:after="80"/>
      </w:pPr>
      <w:r>
        <w:rPr>
          <w:sz w:val="22"/>
          <w:szCs w:val="22"/>
        </w:rPr>
        <w:t xml:space="preserve">On success (or on a caught failure — sendToUser never throws), set the cooldown key with a 30-minute TTL (NOTIFICATION_COOLDOWN_SECONDS) so the same device+metric can’t re-notify until it expires.</w:t>
      </w:r>
    </w:p>
    <w:p>
      <w:pPr>
        <w:spacing w:after="120"/>
      </w:pPr>
    </w:p>
    <w:p>
      <w:pPr>
        <w:pBdr>
          <w:left w:val="single" w:color="BF8F00" w:sz="12" w:space="8"/>
        </w:pBdr>
        <w:spacing w:after="160"/>
        <w:ind w:left="360"/>
      </w:pPr>
      <w:r>
        <w:rPr>
          <w:i/>
          <w:iCs/>
          <w:color w:val="BF8F00"/>
          <w:sz w:val="20"/>
          <w:szCs w:val="20"/>
        </w:rPr>
      </w:r>
    </w:p>
    <w:p>
      <w:pPr>
        <w:pStyle w:val="Heading2"/>
        <w:spacing w:after="120" w:before="280"/>
      </w:pPr>
      <w:r>
        <w:t xml:space="preserve">6.3 Data Flow: Actuator Command (new)</w:t>
      </w:r>
    </w:p>
    <w:p>
      <w:pPr>
        <w:pStyle w:val="ListParagraph"/>
        <w:numPr>
          <w:ilvl w:val="0"/>
          <w:numId w:val="2"/>
        </w:numPr>
        <w:spacing w:after="80"/>
      </w:pPr>
      <w:r>
        <w:rPr>
          <w:sz w:val="22"/>
          <w:szCs w:val="22"/>
        </w:rPr>
        <w:t xml:space="preserve">App sends PATCH /devices/:id/actuators with a partial body (any subset of lightOn/lightColorMode/lightColorHex/lightIntensityPercent/bubblingSpeed).</w:t>
      </w:r>
    </w:p>
    <w:p>
      <w:pPr>
        <w:pStyle w:val="ListParagraph"/>
        <w:numPr>
          <w:ilvl w:val="0"/>
          <w:numId w:val="2"/>
        </w:numPr>
        <w:spacing w:after="80"/>
      </w:pPr>
      <w:r>
        <w:rPr>
          <w:sz w:val="22"/>
          <w:szCs w:val="22"/>
        </w:rPr>
        <w:t xml:space="preserve">DevicesController delegates to DevicesService.updateActuatorState after the standard getOwned ownership check.</w:t>
      </w:r>
    </w:p>
    <w:p>
      <w:pPr>
        <w:pStyle w:val="ListParagraph"/>
        <w:numPr>
          <w:ilvl w:val="0"/>
          <w:numId w:val="2"/>
        </w:numPr>
        <w:spacing w:after="80"/>
      </w:pPr>
      <w:r>
        <w:rPr>
          <w:sz w:val="22"/>
          <w:szCs w:val="22"/>
        </w:rPr>
        <w:t xml:space="preserve">updateActuatorState merges the partial body onto the device row’s current actuator fields in memory, saves the full merged row to Postgres, then calls MqttCommandPublisherService.publishCommand(deviceCode, fullMergedState).</w:t>
      </w:r>
    </w:p>
    <w:p>
      <w:pPr>
        <w:pStyle w:val="ListParagraph"/>
        <w:numPr>
          <w:ilvl w:val="0"/>
          <w:numId w:val="2"/>
        </w:numPr>
        <w:spacing w:after="80"/>
      </w:pPr>
      <w:r>
        <w:rPr>
          <w:sz w:val="22"/>
          <w:szCs w:val="22"/>
        </w:rPr>
        <w:t xml:space="preserve">MqttCommandPublisherService publishes the full state as JSON to aura/{deviceCode}/command over its own MQTT connection (§4.5) — the device is never sent a diff, only a complete desired state.</w:t>
      </w:r>
    </w:p>
    <w:p>
      <w:pPr>
        <w:pStyle w:val="ListParagraph"/>
        <w:numPr>
          <w:ilvl w:val="0"/>
          <w:numId w:val="2"/>
        </w:numPr>
        <w:spacing w:after="80"/>
      </w:pPr>
      <w:r>
        <w:rPr>
          <w:sz w:val="22"/>
          <w:szCs w:val="22"/>
        </w:rPr>
        <w:t xml:space="preserve">The updated Device row is returned to the app, which updates its local store (deviceStore.updateDeviceLocally) immediately rather than waiting for a realtime echo — there is no command-acknowledgement path from the device back to the app today.</w:t>
      </w:r>
    </w:p>
    <w:p>
      <w:pPr>
        <w:pStyle w:val="Heading1"/>
        <w:spacing w:after="160" w:before="360"/>
      </w:pPr>
      <w:r>
        <w:t xml:space="preserve">7. Design System Architecture (frontend)</w:t>
      </w:r>
    </w:p>
    <w:p>
      <w:pPr>
        <w:spacing w:after="160"/>
      </w:pPr>
      <w:r>
        <w:rPr>
          <w:sz w:val="22"/>
          <w:szCs w:val="22"/>
        </w:rPr>
        <w:t xml:space="preserve">theme/tokens.ts defines a raw palette (hex values, one round trip removed from an AI-generated "Stitch" design tool export — the in-code comments document exactly which Tailwind config token maps to which app-level color role, and why, e.g. why secondary maps to the design’s "tertiary/violet" rather than its own literal "secondary/pink"). ThemeColors is the semantic layer every component actually consumes (primary, surfaceLow, redContainer, etc.) — components never reference palette.* directly.</w:t>
      </w:r>
    </w:p>
    <w:p>
      <w:pPr>
        <w:spacing w:after="160"/>
      </w:pPr>
      <w:r>
        <w:rPr>
          <w:sz w:val="22"/>
          <w:szCs w:val="22"/>
        </w:rPr>
        <w:t xml:space="preserve">Two design passes are recorded directly in comments (not in git history — see §10): a first "Bio-Green/Cyber-Blue" pass matching the client spec’s literal color-naming, and a second "Deep Sea Biotech" (cyan/violet/magenta) pass that superseded it after a newer Stitch export.</w:t>
      </w:r>
    </w:p>
    <w:p>
      <w:pPr>
        <w:pBdr>
          <w:left w:val="single" w:color="BF8F00" w:sz="12" w:space="8"/>
        </w:pBdr>
        <w:spacing w:after="160"/>
        <w:ind w:left="360"/>
      </w:pPr>
      <w:r>
        <w:rPr>
          <w:i/>
          <w:iCs/>
          <w:color w:val="BF8F00"/>
          <w:sz w:val="20"/>
          <w:szCs w:val="20"/>
        </w:rPr>
      </w:r>
    </w:p>
    <w:p>
      <w:pPr>
        <w:pStyle w:val="Heading1"/>
        <w:spacing w:after="160" w:before="360"/>
      </w:pPr>
      <w:r>
        <w:t xml:space="preserve">8. API Surface</w:t>
      </w:r>
    </w:p>
    <w:p>
      <w:pPr>
        <w:pStyle w:val="Heading2"/>
        <w:spacing w:after="120" w:before="280"/>
      </w:pPr>
      <w:r>
        <w:t xml:space="preserve">8.1 REST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3300"/>
      </w:tblGrid>
      <w:tr>
        <w:trPr>
          <w:tblHeader/>
        </w:trPr>
        <w:tc>
          <w:tcPr>
            <w:tcW w:type="dxa" w:w="900"/>
            <w:shd w:fill="1F3864" w:val="clear"/>
            <w:tcMar>
              <w:top w:type="dxa" w:w="60"/>
              <w:left w:type="dxa" w:w="100"/>
              <w:bottom w:type="dxa" w:w="60"/>
              <w:right w:type="dxa" w:w="100"/>
            </w:tcMar>
            <w:vAlign w:val="center"/>
          </w:tcPr>
          <w:p>
            <w:r>
              <w:rPr>
                <w:b/>
                <w:bCs/>
                <w:color w:val="FFFFFF"/>
                <w:sz w:val="19"/>
                <w:szCs w:val="19"/>
              </w:rPr>
              <w:t xml:space="preserve">Method</w:t>
            </w:r>
          </w:p>
        </w:tc>
        <w:tc>
          <w:tcPr>
            <w:tcW w:type="dxa" w:w="3300"/>
            <w:shd w:fill="1F3864" w:val="clear"/>
            <w:tcMar>
              <w:top w:type="dxa" w:w="60"/>
              <w:left w:type="dxa" w:w="100"/>
              <w:bottom w:type="dxa" w:w="60"/>
              <w:right w:type="dxa" w:w="100"/>
            </w:tcMar>
            <w:vAlign w:val="center"/>
          </w:tcPr>
          <w:p>
            <w:r>
              <w:rPr>
                <w:b/>
                <w:bCs/>
                <w:color w:val="FFFFFF"/>
                <w:sz w:val="19"/>
                <w:szCs w:val="19"/>
              </w:rPr>
              <w:t xml:space="preserve">Path</w:t>
            </w:r>
          </w:p>
        </w:tc>
        <w:tc>
          <w:tcPr>
            <w:tcW w:type="dxa" w:w="1500"/>
            <w:shd w:fill="1F3864" w:val="clear"/>
            <w:tcMar>
              <w:top w:type="dxa" w:w="60"/>
              <w:left w:type="dxa" w:w="100"/>
              <w:bottom w:type="dxa" w:w="60"/>
              <w:right w:type="dxa" w:w="100"/>
            </w:tcMar>
            <w:vAlign w:val="center"/>
          </w:tcPr>
          <w:p>
            <w:r>
              <w:rPr>
                <w:b/>
                <w:bCs/>
                <w:color w:val="FFFFFF"/>
                <w:sz w:val="19"/>
                <w:szCs w:val="19"/>
              </w:rPr>
              <w:t xml:space="preserve">Auth</w:t>
            </w:r>
          </w:p>
        </w:tc>
        <w:tc>
          <w:tcPr>
            <w:tcW w:type="dxa" w:w="3300"/>
            <w:shd w:fill="1F3864" w:val="clear"/>
            <w:tcMar>
              <w:top w:type="dxa" w:w="60"/>
              <w:left w:type="dxa" w:w="100"/>
              <w:bottom w:type="dxa" w:w="60"/>
              <w:right w:type="dxa" w:w="100"/>
            </w:tcMar>
            <w:vAlign w:val="center"/>
          </w:tcPr>
          <w:p>
            <w:r>
              <w:rPr>
                <w:b/>
                <w:bCs/>
                <w:color w:val="FFFFFF"/>
                <w:sz w:val="19"/>
                <w:szCs w:val="19"/>
              </w:rPr>
              <w:t xml:space="preserve">Purpose</w:t>
            </w:r>
          </w:p>
        </w:tc>
      </w:tr>
      <w:tr>
        <w:tc>
          <w:tcPr>
            <w:tcW w:type="dxa" w:w="900"/>
            <w:tcMar>
              <w:top w:type="dxa" w:w="60"/>
              <w:left w:type="dxa" w:w="100"/>
              <w:bottom w:type="dxa" w:w="60"/>
              <w:right w:type="dxa" w:w="100"/>
            </w:tcMar>
            <w:vAlign w:val="center"/>
          </w:tcPr>
          <w:p>
            <w:r>
              <w:rPr>
                <w:b w:val="false"/>
                <w:bCs w:val="false"/>
                <w:sz w:val="19"/>
                <w:szCs w:val="19"/>
              </w:rPr>
              <w:t xml:space="preserve">POST</w:t>
            </w:r>
          </w:p>
        </w:tc>
        <w:tc>
          <w:tcPr>
            <w:tcW w:type="dxa" w:w="3300"/>
            <w:tcMar>
              <w:top w:type="dxa" w:w="60"/>
              <w:left w:type="dxa" w:w="100"/>
              <w:bottom w:type="dxa" w:w="60"/>
              <w:right w:type="dxa" w:w="100"/>
            </w:tcMar>
            <w:vAlign w:val="center"/>
          </w:tcPr>
          <w:p>
            <w:r>
              <w:rPr>
                <w:b w:val="false"/>
                <w:bCs w:val="false"/>
                <w:sz w:val="19"/>
                <w:szCs w:val="19"/>
              </w:rPr>
              <w:t xml:space="preserve">/auth/signup</w:t>
            </w:r>
          </w:p>
        </w:tc>
        <w:tc>
          <w:tcPr>
            <w:tcW w:type="dxa" w:w="1500"/>
            <w:tcMar>
              <w:top w:type="dxa" w:w="60"/>
              <w:left w:type="dxa" w:w="100"/>
              <w:bottom w:type="dxa" w:w="60"/>
              <w:right w:type="dxa" w:w="100"/>
            </w:tcMar>
            <w:vAlign w:val="center"/>
          </w:tcPr>
          <w:p>
            <w:r>
              <w:rPr>
                <w:b w:val="false"/>
                <w:bCs w:val="false"/>
                <w:sz w:val="19"/>
                <w:szCs w:val="19"/>
              </w:rPr>
              <w:t xml:space="preserve">none</w:t>
            </w:r>
          </w:p>
        </w:tc>
        <w:tc>
          <w:tcPr>
            <w:tcW w:type="dxa" w:w="3300"/>
            <w:tcMar>
              <w:top w:type="dxa" w:w="60"/>
              <w:left w:type="dxa" w:w="100"/>
              <w:bottom w:type="dxa" w:w="60"/>
              <w:right w:type="dxa" w:w="100"/>
            </w:tcMar>
            <w:vAlign w:val="center"/>
          </w:tcPr>
          <w:p>
            <w:r>
              <w:rPr>
                <w:b w:val="false"/>
                <w:bCs w:val="false"/>
                <w:sz w:val="19"/>
                <w:szCs w:val="19"/>
              </w:rPr>
              <w:t xml:space="preserve">Create account</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POST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/auth/login</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none</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Get access+refresh tokens</w:t>
            </w:r>
          </w:p>
        </w:tc>
      </w:tr>
      <w:tr>
        <w:tc>
          <w:tcPr>
            <w:tcW w:type="dxa" w:w="900"/>
            <w:tcMar>
              <w:top w:type="dxa" w:w="60"/>
              <w:left w:type="dxa" w:w="100"/>
              <w:bottom w:type="dxa" w:w="60"/>
              <w:right w:type="dxa" w:w="100"/>
            </w:tcMar>
            <w:vAlign w:val="center"/>
          </w:tcPr>
          <w:p>
            <w:r>
              <w:rPr>
                <w:b w:val="false"/>
                <w:bCs w:val="false"/>
                <w:sz w:val="19"/>
                <w:szCs w:val="19"/>
              </w:rPr>
              <w:t xml:space="preserve">POST</w:t>
            </w:r>
          </w:p>
        </w:tc>
        <w:tc>
          <w:tcPr>
            <w:tcW w:type="dxa" w:w="3300"/>
            <w:tcMar>
              <w:top w:type="dxa" w:w="60"/>
              <w:left w:type="dxa" w:w="100"/>
              <w:bottom w:type="dxa" w:w="60"/>
              <w:right w:type="dxa" w:w="100"/>
            </w:tcMar>
            <w:vAlign w:val="center"/>
          </w:tcPr>
          <w:p>
            <w:r>
              <w:rPr>
                <w:b w:val="false"/>
                <w:bCs w:val="false"/>
                <w:sz w:val="19"/>
                <w:szCs w:val="19"/>
              </w:rPr>
              <w:t xml:space="preserve">/auth/refresh</w:t>
            </w:r>
          </w:p>
        </w:tc>
        <w:tc>
          <w:tcPr>
            <w:tcW w:type="dxa" w:w="1500"/>
            <w:tcMar>
              <w:top w:type="dxa" w:w="60"/>
              <w:left w:type="dxa" w:w="100"/>
              <w:bottom w:type="dxa" w:w="60"/>
              <w:right w:type="dxa" w:w="100"/>
            </w:tcMar>
            <w:vAlign w:val="center"/>
          </w:tcPr>
          <w:p>
            <w:r>
              <w:rPr>
                <w:b w:val="false"/>
                <w:bCs w:val="false"/>
                <w:sz w:val="19"/>
                <w:szCs w:val="19"/>
              </w:rPr>
              <w:t xml:space="preserve">none (refresh token in body)</w:t>
            </w:r>
          </w:p>
        </w:tc>
        <w:tc>
          <w:tcPr>
            <w:tcW w:type="dxa" w:w="3300"/>
            <w:tcMar>
              <w:top w:type="dxa" w:w="60"/>
              <w:left w:type="dxa" w:w="100"/>
              <w:bottom w:type="dxa" w:w="60"/>
              <w:right w:type="dxa" w:w="100"/>
            </w:tcMar>
            <w:vAlign w:val="center"/>
          </w:tcPr>
          <w:p>
            <w:r>
              <w:rPr>
                <w:b w:val="false"/>
                <w:bCs w:val="false"/>
                <w:sz w:val="19"/>
                <w:szCs w:val="19"/>
              </w:rPr>
              <w:t xml:space="preserve">Rotate tokens</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POST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/auth/logout-all</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Bump tokenVersion, invalidate all refresh tokens</w:t>
            </w:r>
          </w:p>
        </w:tc>
      </w:tr>
      <w:tr>
        <w:tc>
          <w:tcPr>
            <w:tcW w:type="dxa" w:w="900"/>
            <w:tcMar>
              <w:top w:type="dxa" w:w="60"/>
              <w:left w:type="dxa" w:w="100"/>
              <w:bottom w:type="dxa" w:w="60"/>
              <w:right w:type="dxa" w:w="100"/>
            </w:tcMar>
            <w:vAlign w:val="center"/>
          </w:tcPr>
          <w:p>
            <w:r>
              <w:rPr>
                <w:b w:val="false"/>
                <w:bCs w:val="false"/>
                <w:sz w:val="19"/>
                <w:szCs w:val="19"/>
              </w:rPr>
              <w:t xml:space="preserve">GET</w:t>
            </w:r>
          </w:p>
        </w:tc>
        <w:tc>
          <w:tcPr>
            <w:tcW w:type="dxa" w:w="3300"/>
            <w:tcMar>
              <w:top w:type="dxa" w:w="60"/>
              <w:left w:type="dxa" w:w="100"/>
              <w:bottom w:type="dxa" w:w="60"/>
              <w:right w:type="dxa" w:w="100"/>
            </w:tcMar>
            <w:vAlign w:val="center"/>
          </w:tcPr>
          <w:p>
            <w:r>
              <w:rPr>
                <w:b w:val="false"/>
                <w:bCs w:val="false"/>
                <w:sz w:val="19"/>
                <w:szCs w:val="19"/>
              </w:rPr>
              <w:t xml:space="preserve">/devices</w:t>
            </w:r>
          </w:p>
        </w:tc>
        <w:tc>
          <w:tcPr>
            <w:tcW w:type="dxa" w:w="1500"/>
            <w:tcMar>
              <w:top w:type="dxa" w:w="60"/>
              <w:left w:type="dxa" w:w="100"/>
              <w:bottom w:type="dxa" w:w="60"/>
              <w:right w:type="dxa" w:w="100"/>
            </w:tcMar>
            <w:vAlign w:val="center"/>
          </w:tcPr>
          <w:p>
            <w:r>
              <w:rPr>
                <w:b w:val="false"/>
                <w:bCs w:val="false"/>
                <w:sz w:val="19"/>
                <w:szCs w:val="19"/>
              </w:rPr>
              <w:t xml:space="preserve">JWT</w:t>
            </w:r>
          </w:p>
        </w:tc>
        <w:tc>
          <w:tcPr>
            <w:tcW w:type="dxa" w:w="3300"/>
            <w:tcMar>
              <w:top w:type="dxa" w:w="60"/>
              <w:left w:type="dxa" w:w="100"/>
              <w:bottom w:type="dxa" w:w="60"/>
              <w:right w:type="dxa" w:w="100"/>
            </w:tcMar>
            <w:vAlign w:val="center"/>
          </w:tcPr>
          <w:p>
            <w:r>
              <w:rPr>
                <w:b w:val="false"/>
                <w:bCs w:val="false"/>
                <w:sz w:val="19"/>
                <w:szCs w:val="19"/>
              </w:rPr>
              <w:t xml:space="preserve">List caller's paired devices</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POST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/devices/pair</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Claim/create a device by code</w:t>
            </w:r>
          </w:p>
        </w:tc>
      </w:tr>
      <w:tr>
        <w:tc>
          <w:tcPr>
            <w:tcW w:type="dxa" w:w="900"/>
            <w:tcMar>
              <w:top w:type="dxa" w:w="60"/>
              <w:left w:type="dxa" w:w="100"/>
              <w:bottom w:type="dxa" w:w="60"/>
              <w:right w:type="dxa" w:w="100"/>
            </w:tcMar>
            <w:vAlign w:val="center"/>
          </w:tcPr>
          <w:p>
            <w:r>
              <w:rPr>
                <w:b w:val="false"/>
                <w:bCs w:val="false"/>
                <w:sz w:val="19"/>
                <w:szCs w:val="19"/>
              </w:rPr>
              <w:t xml:space="preserve">DELETE</w:t>
            </w:r>
          </w:p>
        </w:tc>
        <w:tc>
          <w:tcPr>
            <w:tcW w:type="dxa" w:w="3300"/>
            <w:tcMar>
              <w:top w:type="dxa" w:w="60"/>
              <w:left w:type="dxa" w:w="100"/>
              <w:bottom w:type="dxa" w:w="60"/>
              <w:right w:type="dxa" w:w="100"/>
            </w:tcMar>
            <w:vAlign w:val="center"/>
          </w:tcPr>
          <w:p>
            <w:r>
              <w:rPr>
                <w:b w:val="false"/>
                <w:bCs w:val="false"/>
                <w:sz w:val="19"/>
                <w:szCs w:val="19"/>
              </w:rPr>
              <w:t xml:space="preserve">/devices/:id/pair</w:t>
            </w:r>
          </w:p>
        </w:tc>
        <w:tc>
          <w:tcPr>
            <w:tcW w:type="dxa" w:w="1500"/>
            <w:tcMar>
              <w:top w:type="dxa" w:w="60"/>
              <w:left w:type="dxa" w:w="100"/>
              <w:bottom w:type="dxa" w:w="60"/>
              <w:right w:type="dxa" w:w="100"/>
            </w:tcMar>
            <w:vAlign w:val="center"/>
          </w:tcPr>
          <w:p>
            <w:r>
              <w:rPr>
                <w:b w:val="false"/>
                <w:bCs w:val="false"/>
                <w:sz w:val="19"/>
                <w:szCs w:val="19"/>
              </w:rPr>
              <w:t xml:space="preserve">JWT</w:t>
            </w:r>
          </w:p>
        </w:tc>
        <w:tc>
          <w:tcPr>
            <w:tcW w:type="dxa" w:w="3300"/>
            <w:tcMar>
              <w:top w:type="dxa" w:w="60"/>
              <w:left w:type="dxa" w:w="100"/>
              <w:bottom w:type="dxa" w:w="60"/>
              <w:right w:type="dxa" w:w="100"/>
            </w:tcMar>
            <w:vAlign w:val="center"/>
          </w:tcPr>
          <w:p>
            <w:r>
              <w:rPr>
                <w:b w:val="false"/>
                <w:bCs w:val="false"/>
                <w:sz w:val="19"/>
                <w:szCs w:val="19"/>
              </w:rPr>
              <w:t xml:space="preserve">Unpair</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GET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/devices/:id/readings</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 + ownership</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Bucketed history (granularity/metric/time-range query params)</w:t>
            </w:r>
          </w:p>
        </w:tc>
      </w:tr>
      <w:tr>
        <w:tc>
          <w:tcPr>
            <w:tcW w:type="dxa" w:w="900"/>
            <w:tcMar>
              <w:top w:type="dxa" w:w="60"/>
              <w:left w:type="dxa" w:w="100"/>
              <w:bottom w:type="dxa" w:w="60"/>
              <w:right w:type="dxa" w:w="100"/>
            </w:tcMar>
            <w:vAlign w:val="center"/>
          </w:tcPr>
          <w:p>
            <w:r>
              <w:rPr>
                <w:b w:val="false"/>
                <w:bCs w:val="false"/>
                <w:sz w:val="19"/>
                <w:szCs w:val="19"/>
              </w:rPr>
              <w:t xml:space="preserve">GET</w:t>
            </w:r>
          </w:p>
        </w:tc>
        <w:tc>
          <w:tcPr>
            <w:tcW w:type="dxa" w:w="3300"/>
            <w:tcMar>
              <w:top w:type="dxa" w:w="60"/>
              <w:left w:type="dxa" w:w="100"/>
              <w:bottom w:type="dxa" w:w="60"/>
              <w:right w:type="dxa" w:w="100"/>
            </w:tcMar>
            <w:vAlign w:val="center"/>
          </w:tcPr>
          <w:p>
            <w:r>
              <w:rPr>
                <w:b w:val="false"/>
                <w:bCs w:val="false"/>
                <w:sz w:val="19"/>
                <w:szCs w:val="19"/>
              </w:rPr>
              <w:t xml:space="preserve">/devices/:id/current</w:t>
            </w:r>
          </w:p>
        </w:tc>
        <w:tc>
          <w:tcPr>
            <w:tcW w:type="dxa" w:w="1500"/>
            <w:tcMar>
              <w:top w:type="dxa" w:w="60"/>
              <w:left w:type="dxa" w:w="100"/>
              <w:bottom w:type="dxa" w:w="60"/>
              <w:right w:type="dxa" w:w="100"/>
            </w:tcMar>
            <w:vAlign w:val="center"/>
          </w:tcPr>
          <w:p>
            <w:r>
              <w:rPr>
                <w:b w:val="false"/>
                <w:bCs w:val="false"/>
                <w:sz w:val="19"/>
                <w:szCs w:val="19"/>
              </w:rPr>
              <w:t xml:space="preserve">JWT + ownership</w:t>
            </w:r>
          </w:p>
        </w:tc>
        <w:tc>
          <w:tcPr>
            <w:tcW w:type="dxa" w:w="3300"/>
            <w:tcMar>
              <w:top w:type="dxa" w:w="60"/>
              <w:left w:type="dxa" w:w="100"/>
              <w:bottom w:type="dxa" w:w="60"/>
              <w:right w:type="dxa" w:w="100"/>
            </w:tcMar>
            <w:vAlign w:val="center"/>
          </w:tcPr>
          <w:p>
            <w:r>
              <w:rPr>
                <w:b w:val="false"/>
                <w:bCs w:val="false"/>
                <w:sz w:val="19"/>
                <w:szCs w:val="19"/>
              </w:rPr>
              <w:t xml:space="preserve">Latest cached value per metric + online status</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GET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/devices/:id/alerts</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 + ownership</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Active alerts (default) or ?status=all</w:t>
            </w:r>
          </w:p>
        </w:tc>
      </w:tr>
      <w:tr>
        <w:tc>
          <w:tcPr>
            <w:tcW w:type="dxa" w:w="900"/>
            <w:tcMar>
              <w:top w:type="dxa" w:w="60"/>
              <w:left w:type="dxa" w:w="100"/>
              <w:bottom w:type="dxa" w:w="60"/>
              <w:right w:type="dxa" w:w="100"/>
            </w:tcMar>
            <w:vAlign w:val="center"/>
          </w:tcPr>
          <w:p>
            <w:r>
              <w:rPr>
                <w:b w:val="false"/>
                <w:bCs w:val="false"/>
                <w:sz w:val="19"/>
                <w:szCs w:val="19"/>
              </w:rPr>
              <w:t xml:space="preserve">GET</w:t>
            </w:r>
          </w:p>
        </w:tc>
        <w:tc>
          <w:tcPr>
            <w:tcW w:type="dxa" w:w="3300"/>
            <w:tcMar>
              <w:top w:type="dxa" w:w="60"/>
              <w:left w:type="dxa" w:w="100"/>
              <w:bottom w:type="dxa" w:w="60"/>
              <w:right w:type="dxa" w:w="100"/>
            </w:tcMar>
            <w:vAlign w:val="center"/>
          </w:tcPr>
          <w:p>
            <w:r>
              <w:rPr>
                <w:b w:val="false"/>
                <w:bCs w:val="false"/>
                <w:sz w:val="19"/>
                <w:szCs w:val="19"/>
              </w:rPr>
              <w:t xml:space="preserve">/devices/:id/maintenance</w:t>
            </w:r>
          </w:p>
        </w:tc>
        <w:tc>
          <w:tcPr>
            <w:tcW w:type="dxa" w:w="1500"/>
            <w:tcMar>
              <w:top w:type="dxa" w:w="60"/>
              <w:left w:type="dxa" w:w="100"/>
              <w:bottom w:type="dxa" w:w="60"/>
              <w:right w:type="dxa" w:w="100"/>
            </w:tcMar>
            <w:vAlign w:val="center"/>
          </w:tcPr>
          <w:p>
            <w:r>
              <w:rPr>
                <w:b w:val="false"/>
                <w:bCs w:val="false"/>
                <w:sz w:val="19"/>
                <w:szCs w:val="19"/>
              </w:rPr>
              <w:t xml:space="preserve">JWT + ownership</w:t>
            </w:r>
          </w:p>
        </w:tc>
        <w:tc>
          <w:tcPr>
            <w:tcW w:type="dxa" w:w="3300"/>
            <w:tcMar>
              <w:top w:type="dxa" w:w="60"/>
              <w:left w:type="dxa" w:w="100"/>
              <w:bottom w:type="dxa" w:w="60"/>
              <w:right w:type="dxa" w:w="100"/>
            </w:tcMar>
            <w:vAlign w:val="center"/>
          </w:tcPr>
          <w:p>
            <w:r>
              <w:rPr>
                <w:b w:val="false"/>
                <w:bCs w:val="false"/>
                <w:sz w:val="19"/>
                <w:szCs w:val="19"/>
              </w:rPr>
              <w:t xml:space="preserve">Countdowns + log timeline, one round-trip</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POST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/devices/:id/maintenance</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 + ownership</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Log a maintenance action</w:t>
            </w:r>
          </w:p>
        </w:tc>
      </w:tr>
      <w:tr>
        <w:tc>
          <w:tcPr>
            <w:tcW w:type="dxa" w:w="900"/>
            <w:tcMar>
              <w:top w:type="dxa" w:w="60"/>
              <w:left w:type="dxa" w:w="100"/>
              <w:bottom w:type="dxa" w:w="60"/>
              <w:right w:type="dxa" w:w="100"/>
            </w:tcMar>
            <w:vAlign w:val="center"/>
          </w:tcPr>
          <w:p>
            <w:r>
              <w:rPr>
                <w:b w:val="false"/>
                <w:bCs w:val="false"/>
                <w:sz w:val="19"/>
                <w:szCs w:val="19"/>
              </w:rPr>
              <w:t xml:space="preserve">DELETE</w:t>
            </w:r>
          </w:p>
        </w:tc>
        <w:tc>
          <w:tcPr>
            <w:tcW w:type="dxa" w:w="3300"/>
            <w:tcMar>
              <w:top w:type="dxa" w:w="60"/>
              <w:left w:type="dxa" w:w="100"/>
              <w:bottom w:type="dxa" w:w="60"/>
              <w:right w:type="dxa" w:w="100"/>
            </w:tcMar>
            <w:vAlign w:val="center"/>
          </w:tcPr>
          <w:p>
            <w:r>
              <w:rPr>
                <w:b w:val="false"/>
                <w:bCs w:val="false"/>
                <w:sz w:val="19"/>
                <w:szCs w:val="19"/>
              </w:rPr>
              <w:t xml:space="preserve">/devices/:id/maintenance/:logId</w:t>
            </w:r>
          </w:p>
        </w:tc>
        <w:tc>
          <w:tcPr>
            <w:tcW w:type="dxa" w:w="1500"/>
            <w:tcMar>
              <w:top w:type="dxa" w:w="60"/>
              <w:left w:type="dxa" w:w="100"/>
              <w:bottom w:type="dxa" w:w="60"/>
              <w:right w:type="dxa" w:w="100"/>
            </w:tcMar>
            <w:vAlign w:val="center"/>
          </w:tcPr>
          <w:p>
            <w:r>
              <w:rPr>
                <w:b w:val="false"/>
                <w:bCs w:val="false"/>
                <w:sz w:val="19"/>
                <w:szCs w:val="19"/>
              </w:rPr>
              <w:t xml:space="preserve">JWT + ownership</w:t>
            </w:r>
          </w:p>
        </w:tc>
        <w:tc>
          <w:tcPr>
            <w:tcW w:type="dxa" w:w="3300"/>
            <w:tcMar>
              <w:top w:type="dxa" w:w="60"/>
              <w:left w:type="dxa" w:w="100"/>
              <w:bottom w:type="dxa" w:w="60"/>
              <w:right w:type="dxa" w:w="100"/>
            </w:tcMar>
            <w:vAlign w:val="center"/>
          </w:tcPr>
          <w:p>
            <w:r>
              <w:rPr>
                <w:b w:val="false"/>
                <w:bCs w:val="false"/>
                <w:sz w:val="19"/>
                <w:szCs w:val="19"/>
              </w:rPr>
              <w:t xml:space="preserve">Delete a log (re-verifies the log belongs to that device)</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PATCH</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/devices/:id/actuators</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 + ownership</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Merge-update lighting/bubbling actuator state; publishes full state to the device over MQTT (new)</w:t>
            </w:r>
          </w:p>
        </w:tc>
      </w:tr>
      <w:tr>
        <w:tc>
          <w:tcPr>
            <w:tcW w:type="dxa" w:w="900"/>
            <w:tcMar>
              <w:top w:type="dxa" w:w="60"/>
              <w:left w:type="dxa" w:w="100"/>
              <w:bottom w:type="dxa" w:w="60"/>
              <w:right w:type="dxa" w:w="100"/>
            </w:tcMar>
            <w:vAlign w:val="center"/>
          </w:tcPr>
          <w:p>
            <w:r>
              <w:rPr>
                <w:b w:val="false"/>
                <w:bCs w:val="false"/>
                <w:sz w:val="19"/>
                <w:szCs w:val="19"/>
              </w:rPr>
              <w:t xml:space="preserve">GET</w:t>
            </w:r>
          </w:p>
        </w:tc>
        <w:tc>
          <w:tcPr>
            <w:tcW w:type="dxa" w:w="3300"/>
            <w:tcMar>
              <w:top w:type="dxa" w:w="60"/>
              <w:left w:type="dxa" w:w="100"/>
              <w:bottom w:type="dxa" w:w="60"/>
              <w:right w:type="dxa" w:w="100"/>
            </w:tcMar>
            <w:vAlign w:val="center"/>
          </w:tcPr>
          <w:p>
            <w:r>
              <w:rPr>
                <w:b w:val="false"/>
                <w:bCs w:val="false"/>
                <w:sz w:val="19"/>
                <w:szCs w:val="19"/>
              </w:rPr>
              <w:t xml:space="preserve">/devices/:id/alert-thresholds</w:t>
            </w:r>
          </w:p>
        </w:tc>
        <w:tc>
          <w:tcPr>
            <w:tcW w:type="dxa" w:w="1500"/>
            <w:tcMar>
              <w:top w:type="dxa" w:w="60"/>
              <w:left w:type="dxa" w:w="100"/>
              <w:bottom w:type="dxa" w:w="60"/>
              <w:right w:type="dxa" w:w="100"/>
            </w:tcMar>
            <w:vAlign w:val="center"/>
          </w:tcPr>
          <w:p>
            <w:r>
              <w:rPr>
                <w:b w:val="false"/>
                <w:bCs w:val="false"/>
                <w:sz w:val="19"/>
                <w:szCs w:val="19"/>
              </w:rPr>
              <w:t xml:space="preserve">JWT + ownership</w:t>
            </w:r>
          </w:p>
        </w:tc>
        <w:tc>
          <w:tcPr>
            <w:tcW w:type="dxa" w:w="3300"/>
            <w:tcMar>
              <w:top w:type="dxa" w:w="60"/>
              <w:left w:type="dxa" w:w="100"/>
              <w:bottom w:type="dxa" w:w="60"/>
              <w:right w:type="dxa" w:w="100"/>
            </w:tcMar>
            <w:vAlign w:val="center"/>
          </w:tcPr>
          <w:p>
            <w:r>
              <w:rPr>
                <w:b w:val="false"/>
                <w:bCs w:val="false"/>
                <w:sz w:val="19"/>
                <w:szCs w:val="19"/>
              </w:rPr>
              <w:t xml:space="preserve">List effective threshold bands (override or default) per metric (new)</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PUT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/devices/:id/alert-thresholds/:metricType</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 + ownership</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Create/update a per-device threshold override (new)</w:t>
            </w:r>
          </w:p>
        </w:tc>
      </w:tr>
      <w:tr>
        <w:tc>
          <w:tcPr>
            <w:tcW w:type="dxa" w:w="900"/>
            <w:tcMar>
              <w:top w:type="dxa" w:w="60"/>
              <w:left w:type="dxa" w:w="100"/>
              <w:bottom w:type="dxa" w:w="60"/>
              <w:right w:type="dxa" w:w="100"/>
            </w:tcMar>
            <w:vAlign w:val="center"/>
          </w:tcPr>
          <w:p>
            <w:r>
              <w:rPr>
                <w:b w:val="false"/>
                <w:bCs w:val="false"/>
                <w:sz w:val="19"/>
                <w:szCs w:val="19"/>
              </w:rPr>
              <w:t xml:space="preserve">DELETE</w:t>
            </w:r>
          </w:p>
        </w:tc>
        <w:tc>
          <w:tcPr>
            <w:tcW w:type="dxa" w:w="3300"/>
            <w:tcMar>
              <w:top w:type="dxa" w:w="60"/>
              <w:left w:type="dxa" w:w="100"/>
              <w:bottom w:type="dxa" w:w="60"/>
              <w:right w:type="dxa" w:w="100"/>
            </w:tcMar>
            <w:vAlign w:val="center"/>
          </w:tcPr>
          <w:p>
            <w:r>
              <w:rPr>
                <w:b w:val="false"/>
                <w:bCs w:val="false"/>
                <w:sz w:val="19"/>
                <w:szCs w:val="19"/>
              </w:rPr>
              <w:t xml:space="preserve">/devices/:id/alert-thresholds/:metricType</w:t>
            </w:r>
          </w:p>
        </w:tc>
        <w:tc>
          <w:tcPr>
            <w:tcW w:type="dxa" w:w="1500"/>
            <w:tcMar>
              <w:top w:type="dxa" w:w="60"/>
              <w:left w:type="dxa" w:w="100"/>
              <w:bottom w:type="dxa" w:w="60"/>
              <w:right w:type="dxa" w:w="100"/>
            </w:tcMar>
            <w:vAlign w:val="center"/>
          </w:tcPr>
          <w:p>
            <w:r>
              <w:rPr>
                <w:b w:val="false"/>
                <w:bCs w:val="false"/>
                <w:sz w:val="19"/>
                <w:szCs w:val="19"/>
              </w:rPr>
              <w:t xml:space="preserve">JWT + ownership</w:t>
            </w:r>
          </w:p>
        </w:tc>
        <w:tc>
          <w:tcPr>
            <w:tcW w:type="dxa" w:w="3300"/>
            <w:tcMar>
              <w:top w:type="dxa" w:w="60"/>
              <w:left w:type="dxa" w:w="100"/>
              <w:bottom w:type="dxa" w:w="60"/>
              <w:right w:type="dxa" w:w="100"/>
            </w:tcMar>
            <w:vAlign w:val="center"/>
          </w:tcPr>
          <w:p>
            <w:r>
              <w:rPr>
                <w:b w:val="false"/>
                <w:bCs w:val="false"/>
                <w:sz w:val="19"/>
                <w:szCs w:val="19"/>
              </w:rPr>
              <w:t xml:space="preserve">Remove an override, reverting to the default band (new)</w:t>
            </w:r>
          </w:p>
        </w:tc>
      </w:tr>
      <w:tr>
        <w:tc>
          <w:tcPr>
            <w:tcW w:type="dxa" w:w="900"/>
            <w:shd w:fill="F2F2F2" w:val="clear"/>
            <w:tcMar>
              <w:top w:type="dxa" w:w="60"/>
              <w:left w:type="dxa" w:w="100"/>
              <w:bottom w:type="dxa" w:w="60"/>
              <w:right w:type="dxa" w:w="100"/>
            </w:tcMar>
            <w:vAlign w:val="center"/>
          </w:tcPr>
          <w:p>
            <w:r>
              <w:rPr>
                <w:b w:val="false"/>
                <w:bCs w:val="false"/>
                <w:sz w:val="19"/>
                <w:szCs w:val="19"/>
              </w:rPr>
              <w:t xml:space="preserve">POST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/push-tokens</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JWT</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Register/upsert an Expo push token for the caller (new)</w:t>
            </w:r>
          </w:p>
        </w:tc>
      </w:tr>
      <w:tr>
        <w:tc>
          <w:tcPr>
            <w:tcW w:type="dxa" w:w="900"/>
            <w:tcMar>
              <w:top w:type="dxa" w:w="60"/>
              <w:left w:type="dxa" w:w="100"/>
              <w:bottom w:type="dxa" w:w="60"/>
              <w:right w:type="dxa" w:w="100"/>
            </w:tcMar>
            <w:vAlign w:val="center"/>
          </w:tcPr>
          <w:p>
            <w:r>
              <w:rPr>
                <w:b w:val="false"/>
                <w:bCs w:val="false"/>
                <w:sz w:val="19"/>
                <w:szCs w:val="19"/>
              </w:rPr>
              <w:t xml:space="preserve">GET</w:t>
            </w:r>
          </w:p>
        </w:tc>
        <w:tc>
          <w:tcPr>
            <w:tcW w:type="dxa" w:w="3300"/>
            <w:tcMar>
              <w:top w:type="dxa" w:w="60"/>
              <w:left w:type="dxa" w:w="100"/>
              <w:bottom w:type="dxa" w:w="60"/>
              <w:right w:type="dxa" w:w="100"/>
            </w:tcMar>
            <w:vAlign w:val="center"/>
          </w:tcPr>
          <w:p>
            <w:r>
              <w:rPr>
                <w:b w:val="false"/>
                <w:bCs w:val="false"/>
                <w:sz w:val="19"/>
                <w:szCs w:val="19"/>
              </w:rPr>
              <w:t xml:space="preserve">/health</w:t>
            </w:r>
          </w:p>
        </w:tc>
        <w:tc>
          <w:tcPr>
            <w:tcW w:type="dxa" w:w="1500"/>
            <w:tcMar>
              <w:top w:type="dxa" w:w="60"/>
              <w:left w:type="dxa" w:w="100"/>
              <w:bottom w:type="dxa" w:w="60"/>
              <w:right w:type="dxa" w:w="100"/>
            </w:tcMar>
            <w:vAlign w:val="center"/>
          </w:tcPr>
          <w:p>
            <w:r>
              <w:rPr>
                <w:b w:val="false"/>
                <w:bCs w:val="false"/>
                <w:sz w:val="19"/>
                <w:szCs w:val="19"/>
              </w:rPr>
              <w:t xml:space="preserve">none</w:t>
            </w:r>
          </w:p>
        </w:tc>
        <w:tc>
          <w:tcPr>
            <w:tcW w:type="dxa" w:w="3300"/>
            <w:tcMar>
              <w:top w:type="dxa" w:w="60"/>
              <w:left w:type="dxa" w:w="100"/>
              <w:bottom w:type="dxa" w:w="60"/>
              <w:right w:type="dxa" w:w="100"/>
            </w:tcMar>
            <w:vAlign w:val="center"/>
          </w:tcPr>
          <w:p>
            <w:r>
              <w:rPr>
                <w:b w:val="false"/>
                <w:bCs w:val="false"/>
                <w:sz w:val="19"/>
                <w:szCs w:val="19"/>
              </w:rPr>
              <w:t xml:space="preserve">Liveness check</w:t>
            </w:r>
          </w:p>
        </w:tc>
      </w:tr>
    </w:tbl>
    <w:p>
      <w:pPr>
        <w:spacing w:after="120"/>
      </w:pPr>
    </w:p>
    <w:p>
      <w:pPr>
        <w:pBdr>
          <w:left w:val="single" w:color="BF8F00" w:sz="12" w:space="8"/>
        </w:pBdr>
        <w:spacing w:after="160"/>
        <w:ind w:left="360"/>
      </w:pPr>
      <w:r>
        <w:rPr>
          <w:i/>
          <w:iCs/>
          <w:color w:val="BF8F00"/>
          <w:sz w:val="20"/>
          <w:szCs w:val="20"/>
        </w:rPr>
      </w:r>
    </w:p>
    <w:p>
      <w:pPr>
        <w:pStyle w:val="Heading2"/>
        <w:spacing w:after="120" w:before="280"/>
      </w:pPr>
      <w:r>
        <w:t xml:space="preserve">8.2 Socket.io events (/realtime namespace)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86"/>
        <w:gridCol w:w="2057"/>
        <w:gridCol w:w="3857"/>
      </w:tblGrid>
      <w:tr>
        <w:trPr>
          <w:tblHeader/>
        </w:trPr>
        <w:tc>
          <w:tcPr>
            <w:tcW w:type="dxa" w:w="1800"/>
            <w:shd w:fill="1F3864" w:val="clear"/>
            <w:tcMar>
              <w:top w:type="dxa" w:w="60"/>
              <w:left w:type="dxa" w:w="100"/>
              <w:bottom w:type="dxa" w:w="60"/>
              <w:right w:type="dxa" w:w="100"/>
            </w:tcMar>
            <w:vAlign w:val="center"/>
          </w:tcPr>
          <w:p>
            <w:r>
              <w:rPr>
                <w:b/>
                <w:bCs/>
                <w:color w:val="FFFFFF"/>
                <w:sz w:val="19"/>
                <w:szCs w:val="19"/>
              </w:rPr>
              <w:t xml:space="preserve">Direction</w:t>
            </w:r>
          </w:p>
        </w:tc>
        <w:tc>
          <w:tcPr>
            <w:tcW w:type="dxa" w:w="1286"/>
            <w:shd w:fill="1F3864" w:val="clear"/>
            <w:tcMar>
              <w:top w:type="dxa" w:w="60"/>
              <w:left w:type="dxa" w:w="100"/>
              <w:bottom w:type="dxa" w:w="60"/>
              <w:right w:type="dxa" w:w="100"/>
            </w:tcMar>
            <w:vAlign w:val="center"/>
          </w:tcPr>
          <w:p>
            <w:r>
              <w:rPr>
                <w:b/>
                <w:bCs/>
                <w:color w:val="FFFFFF"/>
                <w:sz w:val="19"/>
                <w:szCs w:val="19"/>
              </w:rPr>
              <w:t xml:space="preserve">Event</w:t>
            </w:r>
          </w:p>
        </w:tc>
        <w:tc>
          <w:tcPr>
            <w:tcW w:type="dxa" w:w="2057"/>
            <w:shd w:fill="1F3864" w:val="clear"/>
            <w:tcMar>
              <w:top w:type="dxa" w:w="60"/>
              <w:left w:type="dxa" w:w="100"/>
              <w:bottom w:type="dxa" w:w="60"/>
              <w:right w:type="dxa" w:w="100"/>
            </w:tcMar>
            <w:vAlign w:val="center"/>
          </w:tcPr>
          <w:p>
            <w:r>
              <w:rPr>
                <w:b/>
                <w:bCs/>
                <w:color w:val="FFFFFF"/>
                <w:sz w:val="19"/>
                <w:szCs w:val="19"/>
              </w:rPr>
              <w:t xml:space="preserve">Payload</w:t>
            </w:r>
          </w:p>
        </w:tc>
        <w:tc>
          <w:tcPr>
            <w:tcW w:type="dxa" w:w="3857"/>
            <w:shd w:fill="1F3864" w:val="clear"/>
            <w:tcMar>
              <w:top w:type="dxa" w:w="60"/>
              <w:left w:type="dxa" w:w="100"/>
              <w:bottom w:type="dxa" w:w="60"/>
              <w:right w:type="dxa" w:w="100"/>
            </w:tcMar>
            <w:vAlign w:val="center"/>
          </w:tcPr>
          <w:p>
            <w:r>
              <w:rPr>
                <w:b/>
                <w:bCs/>
                <w:color w:val="FFFFFF"/>
                <w:sz w:val="19"/>
                <w:szCs w:val="19"/>
              </w:rPr>
              <w:t xml:space="preserve">Notes</w:t>
            </w:r>
          </w:p>
        </w:tc>
      </w:tr>
      <w:tr>
        <w:tc>
          <w:tcPr>
            <w:tcW w:type="dxa" w:w="1800"/>
            <w:tcMar>
              <w:top w:type="dxa" w:w="60"/>
              <w:left w:type="dxa" w:w="100"/>
              <w:bottom w:type="dxa" w:w="60"/>
              <w:right w:type="dxa" w:w="100"/>
            </w:tcMar>
            <w:vAlign w:val="center"/>
          </w:tcPr>
          <w:p>
            <w:r>
              <w:rPr>
                <w:b w:val="false"/>
                <w:bCs w:val="false"/>
                <w:sz w:val="19"/>
                <w:szCs w:val="19"/>
              </w:rPr>
              <w:t xml:space="preserve">Client → Server</w:t>
            </w:r>
          </w:p>
        </w:tc>
        <w:tc>
          <w:tcPr>
            <w:tcW w:type="dxa" w:w="1286"/>
            <w:tcMar>
              <w:top w:type="dxa" w:w="60"/>
              <w:left w:type="dxa" w:w="100"/>
              <w:bottom w:type="dxa" w:w="60"/>
              <w:right w:type="dxa" w:w="100"/>
            </w:tcMar>
            <w:vAlign w:val="center"/>
          </w:tcPr>
          <w:p>
            <w:r>
              <w:rPr>
                <w:b w:val="false"/>
                <w:bCs w:val="false"/>
                <w:sz w:val="19"/>
                <w:szCs w:val="19"/>
              </w:rPr>
              <w:t xml:space="preserve">subscribe</w:t>
            </w:r>
          </w:p>
        </w:tc>
        <w:tc>
          <w:tcPr>
            <w:tcW w:type="dxa" w:w="2057"/>
            <w:tcMar>
              <w:top w:type="dxa" w:w="60"/>
              <w:left w:type="dxa" w:w="100"/>
              <w:bottom w:type="dxa" w:w="60"/>
              <w:right w:type="dxa" w:w="100"/>
            </w:tcMar>
            <w:vAlign w:val="center"/>
          </w:tcPr>
          <w:p>
            <w:r>
              <w:rPr>
                <w:b w:val="false"/>
                <w:bCs w:val="false"/>
                <w:sz w:val="19"/>
                <w:szCs w:val="19"/>
              </w:rPr>
              <w:t xml:space="preserve">{ deviceId }</w:t>
            </w:r>
          </w:p>
        </w:tc>
        <w:tc>
          <w:tcPr>
            <w:tcW w:type="dxa" w:w="3857"/>
            <w:tcMar>
              <w:top w:type="dxa" w:w="60"/>
              <w:left w:type="dxa" w:w="100"/>
              <w:bottom w:type="dxa" w:w="60"/>
              <w:right w:type="dxa" w:w="100"/>
            </w:tcMar>
            <w:vAlign w:val="center"/>
          </w:tcPr>
          <w:p>
            <w:r>
              <w:rPr>
                <w:b w:val="false"/>
                <w:bCs w:val="false"/>
                <w:sz w:val="19"/>
                <w:szCs w:val="19"/>
              </w:rPr>
              <w:t xml:space="preserve">Joins device:{id} room; ownership-checked</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Client → Server</w:t>
            </w:r>
          </w:p>
        </w:tc>
        <w:tc>
          <w:tcPr>
            <w:tcW w:type="dxa" w:w="1286"/>
            <w:shd w:fill="F2F2F2" w:val="clear"/>
            <w:tcMar>
              <w:top w:type="dxa" w:w="60"/>
              <w:left w:type="dxa" w:w="100"/>
              <w:bottom w:type="dxa" w:w="60"/>
              <w:right w:type="dxa" w:w="100"/>
            </w:tcMar>
            <w:vAlign w:val="center"/>
          </w:tcPr>
          <w:p>
            <w:r>
              <w:rPr>
                <w:b w:val="false"/>
                <w:bCs w:val="false"/>
                <w:sz w:val="19"/>
                <w:szCs w:val="19"/>
              </w:rPr>
              <w:t xml:space="preserve">unsubscribe</w:t>
            </w:r>
          </w:p>
        </w:tc>
        <w:tc>
          <w:tcPr>
            <w:tcW w:type="dxa" w:w="2057"/>
            <w:shd w:fill="F2F2F2" w:val="clear"/>
            <w:tcMar>
              <w:top w:type="dxa" w:w="60"/>
              <w:left w:type="dxa" w:w="100"/>
              <w:bottom w:type="dxa" w:w="60"/>
              <w:right w:type="dxa" w:w="100"/>
            </w:tcMar>
            <w:vAlign w:val="center"/>
          </w:tcPr>
          <w:p>
            <w:r>
              <w:rPr>
                <w:b w:val="false"/>
                <w:bCs w:val="false"/>
                <w:sz w:val="19"/>
                <w:szCs w:val="19"/>
              </w:rPr>
              <w:t xml:space="preserve">{ deviceId }</w:t>
            </w:r>
          </w:p>
        </w:tc>
        <w:tc>
          <w:tcPr>
            <w:tcW w:type="dxa" w:w="3857"/>
            <w:shd w:fill="F2F2F2" w:val="clear"/>
            <w:tcMar>
              <w:top w:type="dxa" w:w="60"/>
              <w:left w:type="dxa" w:w="100"/>
              <w:bottom w:type="dxa" w:w="60"/>
              <w:right w:type="dxa" w:w="100"/>
            </w:tcMar>
            <w:vAlign w:val="center"/>
          </w:tcPr>
          <w:p>
            <w:r>
              <w:rPr>
                <w:b w:val="false"/>
                <w:bCs w:val="false"/>
                <w:sz w:val="19"/>
                <w:szCs w:val="19"/>
              </w:rPr>
              <w:t xml:space="preserve">Leaves the room</w:t>
            </w:r>
          </w:p>
        </w:tc>
      </w:tr>
      <w:tr>
        <w:tc>
          <w:tcPr>
            <w:tcW w:type="dxa" w:w="1800"/>
            <w:tcMar>
              <w:top w:type="dxa" w:w="60"/>
              <w:left w:type="dxa" w:w="100"/>
              <w:bottom w:type="dxa" w:w="60"/>
              <w:right w:type="dxa" w:w="100"/>
            </w:tcMar>
            <w:vAlign w:val="center"/>
          </w:tcPr>
          <w:p>
            <w:r>
              <w:rPr>
                <w:b w:val="false"/>
                <w:bCs w:val="false"/>
                <w:sz w:val="19"/>
                <w:szCs w:val="19"/>
              </w:rPr>
              <w:t xml:space="preserve">Server → Client</w:t>
            </w:r>
          </w:p>
        </w:tc>
        <w:tc>
          <w:tcPr>
            <w:tcW w:type="dxa" w:w="1286"/>
            <w:tcMar>
              <w:top w:type="dxa" w:w="60"/>
              <w:left w:type="dxa" w:w="100"/>
              <w:bottom w:type="dxa" w:w="60"/>
              <w:right w:type="dxa" w:w="100"/>
            </w:tcMar>
            <w:vAlign w:val="center"/>
          </w:tcPr>
          <w:p>
            <w:r>
              <w:rPr>
                <w:b w:val="false"/>
                <w:bCs w:val="false"/>
                <w:sz w:val="19"/>
                <w:szCs w:val="19"/>
              </w:rPr>
              <w:t xml:space="preserve">reading</w:t>
            </w:r>
          </w:p>
        </w:tc>
        <w:tc>
          <w:tcPr>
            <w:tcW w:type="dxa" w:w="2057"/>
            <w:tcMar>
              <w:top w:type="dxa" w:w="60"/>
              <w:left w:type="dxa" w:w="100"/>
              <w:bottom w:type="dxa" w:w="60"/>
              <w:right w:type="dxa" w:w="100"/>
            </w:tcMar>
            <w:vAlign w:val="center"/>
          </w:tcPr>
          <w:p>
            <w:r>
              <w:rPr>
                <w:b w:val="false"/>
                <w:bCs w:val="false"/>
                <w:sz w:val="19"/>
                <w:szCs w:val="19"/>
              </w:rPr>
              <w:t xml:space="preserve">ReadingCreatedEvent</w:t>
            </w:r>
          </w:p>
        </w:tc>
        <w:tc>
          <w:tcPr>
            <w:tcW w:type="dxa" w:w="3857"/>
            <w:tcMar>
              <w:top w:type="dxa" w:w="60"/>
              <w:left w:type="dxa" w:w="100"/>
              <w:bottom w:type="dxa" w:w="60"/>
              <w:right w:type="dxa" w:w="100"/>
            </w:tcMar>
            <w:vAlign w:val="center"/>
          </w:tcPr>
          <w:p>
            <w:r>
              <w:rPr>
                <w:b w:val="false"/>
                <w:bCs w:val="false"/>
                <w:sz w:val="19"/>
                <w:szCs w:val="19"/>
              </w:rPr>
              <w:t xml:space="preserve">Emitted to the room after every successful ingest</w:t>
            </w:r>
          </w:p>
        </w:tc>
      </w:tr>
    </w:tbl>
    <w:p>
      <w:pPr>
        <w:spacing w:after="120"/>
      </w:pPr>
    </w:p>
    <w:p>
      <w:pPr>
        <w:spacing w:after="160"/>
      </w:pPr>
      <w:r>
        <w:rPr>
          <w:sz w:val="22"/>
          <w:szCs w:val="22"/>
        </w:rPr>
        <w:t xml:space="preserve">Auth happens once at connection (JWT in handshake.auth.token or an Authorization header), not per-message — an invalid/missing token disconnects the socket immediately.</w:t>
      </w:r>
    </w:p>
    <w:p>
      <w:pPr>
        <w:pStyle w:val="Heading2"/>
        <w:spacing w:after="120" w:before="280"/>
      </w:pPr>
      <w:r>
        <w:t xml:space="preserve">8.3 MQTT contract</w:t>
      </w:r>
    </w:p>
    <w:p>
      <w:pPr>
        <w:spacing w:after="160"/>
      </w:pPr>
      <w:r>
        <w:rPr>
          <w:sz w:val="22"/>
          <w:szCs w:val="22"/>
        </w:rPr>
        <w:t xml:space="preserve">Telemetry: aura/{deviceCode}/telemetry, device → backend. See SRS §6.2 / backend/src/mqtt/PAYLOAD_CONTRACT.md.</w:t>
      </w:r>
    </w:p>
    <w:p>
      <w:pPr>
        <w:spacing w:after="160"/>
      </w:pPr>
      <w:r>
        <w:rPr>
          <w:sz w:val="22"/>
          <w:szCs w:val="22"/>
        </w:rPr>
        <w:t xml:space="preserve">Command (new): aura/{deviceCode}/command, backend → device — the first backend-to-device channel in this codebase. See SRS §3.13 / backend/src/mqtt/ACTUATOR_CONTROL.md. The two directions run on separate MQTT client connections (§4.5) despite sharing one broker.</w:t>
      </w:r>
    </w:p>
    <w:p>
      <w:pPr>
        <w:pStyle w:val="Heading2"/>
        <w:spacing w:after="120" w:before="280"/>
      </w:pPr>
      <w:r>
        <w:t xml:space="preserve">8.4 Cross-cutting: CORS</w:t>
      </w:r>
    </w:p>
    <w:p>
      <w:pPr>
        <w:spacing w:after="160"/>
      </w:pPr>
      <w:r>
        <w:rPr>
          <w:sz w:val="22"/>
          <w:szCs w:val="22"/>
        </w:rPr>
        <w:t xml:space="preserve">Both the REST app (app.enableCors(), no origin restriction) and the Socket.io gateway (cors: { origin: '*' }) currently accept any origin. Fine for local development against Expo Go; not evaluated for a production deployment — flagged here so it isn't mistaken for a considered decision later.</w:t>
      </w:r>
    </w:p>
    <w:p>
      <w:pPr>
        <w:pStyle w:val="Heading1"/>
        <w:spacing w:after="160" w:before="360"/>
      </w:pPr>
      <w:r>
        <w:t xml:space="preserve">9. Assumptions Register</w:t>
      </w:r>
    </w:p>
    <w:p>
      <w:pPr>
        <w:spacing w:after="160"/>
      </w:pPr>
      <w:r>
        <w:rPr>
          <w:sz w:val="22"/>
          <w:szCs w:val="22"/>
        </w:rPr>
        <w:t xml:space="preserve">Everything below is a documented assumption baked into the current architecture, collected in one place for easy review against real hardware/firmware/client input. Several v1.0 entries are resolved or superseded, noted inline rather than silently dropped:</w:t>
      </w:r>
    </w:p>
    <w:p>
      <w:pPr>
        <w:pStyle w:val="ListParagraph"/>
        <w:numPr>
          <w:ilvl w:val="0"/>
          <w:numId w:val="2"/>
        </w:numPr>
        <w:spacing w:after="80"/>
      </w:pPr>
      <w:r>
        <w:rPr>
          <w:sz w:val="22"/>
          <w:szCs w:val="22"/>
        </w:rPr>
        <w:t xml:space="preserve">MQTT telemetry payload shape (SRS §6.2) — topic structure, field names, units, whether payloads are partial-per-publish. Still unconfirmed.</w:t>
      </w:r>
    </w:p>
    <w:p>
      <w:pPr>
        <w:pStyle w:val="ListParagraph"/>
        <w:numPr>
          <w:ilvl w:val="0"/>
          <w:numId w:val="2"/>
        </w:numPr>
        <w:spacing w:after="80"/>
      </w:pPr>
      <w:r>
        <w:rPr>
          <w:sz w:val="22"/>
          <w:szCs w:val="22"/>
        </w:rPr>
        <w:t xml:space="preserve">MQTT command payload shape (new, SRS §3.13) — the actuator command topic’s message shape has only been exercised against the simulator script, never real firmware.</w:t>
      </w:r>
    </w:p>
    <w:p>
      <w:pPr>
        <w:pStyle w:val="ListParagraph"/>
        <w:numPr>
          <w:ilvl w:val="0"/>
          <w:numId w:val="2"/>
        </w:numPr>
        <w:spacing w:after="80"/>
      </w:pPr>
      <w:r>
        <w:rPr>
          <w:sz w:val="22"/>
          <w:szCs w:val="22"/>
        </w:rPr>
        <w:t xml:space="preserve">Alert threshold bands (SRS §6.3) — every metric's default green/amber/red boundaries. Still unconfirmed; per-device override is now a real, used feature (§5.4), but the DEFAULT numbers themselves haven't changed.</w:t>
      </w:r>
    </w:p>
    <w:p>
      <w:pPr>
        <w:pStyle w:val="ListParagraph"/>
        <w:numPr>
          <w:ilvl w:val="0"/>
          <w:numId w:val="2"/>
        </w:numPr>
        <w:spacing w:after="80"/>
      </w:pPr>
      <w:r>
        <w:rPr>
          <w:sz w:val="22"/>
          <w:szCs w:val="22"/>
        </w:rPr>
        <w:t xml:space="preserve">Maintenance intervals (SRS §6.4) — every type's recurrence in days, except harvest, which is now turbidity-driven with the interval as a fallback only (SRS §3.9).</w:t>
      </w:r>
    </w:p>
    <w:p>
      <w:pPr>
        <w:pStyle w:val="ListParagraph"/>
        <w:numPr>
          <w:ilvl w:val="0"/>
          <w:numId w:val="2"/>
        </w:numPr>
        <w:spacing w:after="80"/>
      </w:pPr>
      <w:r>
        <w:rPr>
          <w:sz w:val="22"/>
          <w:szCs w:val="22"/>
        </w:rPr>
        <w:t xml:space="preserve">Biomass derivation coefficients (SRS §6.1) — resolved in the sense that a formula is now implemented, but the specific coefficients were chosen from an internally inconsistent source document (more than one CO2/O2 ratio appears in it), not independently verified or client-confirmed.</w:t>
      </w:r>
    </w:p>
    <w:p>
      <w:pPr>
        <w:pStyle w:val="ListParagraph"/>
        <w:numPr>
          <w:ilvl w:val="0"/>
          <w:numId w:val="2"/>
        </w:numPr>
        <w:spacing w:after="80"/>
      </w:pPr>
      <w:r>
        <w:rPr>
          <w:sz w:val="22"/>
          <w:szCs w:val="22"/>
        </w:rPr>
        <w:t xml:space="preserve">Whether the Impact Widget should show a lifetime/harvest-aware cumulative total instead of a current-biomass snapshot (new, SRS §9.2) — an open design question, not yet an assumption baked into any code.</w:t>
      </w:r>
    </w:p>
    <w:p>
      <w:pPr>
        <w:pStyle w:val="ListParagraph"/>
        <w:numPr>
          <w:ilvl w:val="0"/>
          <w:numId w:val="2"/>
        </w:numPr>
        <w:spacing w:after="80"/>
      </w:pPr>
      <w:r>
        <w:rPr>
          <w:sz w:val="22"/>
          <w:szCs w:val="22"/>
        </w:rPr>
        <w:t xml:space="preserve">Notification cooldown of 30 minutes (PUSH_NOTIFICATIONS.md) — a placeholder value, same caution as every other threshold/interval number.</w:t>
      </w:r>
    </w:p>
    <w:p>
      <w:pPr>
        <w:pStyle w:val="ListParagraph"/>
        <w:numPr>
          <w:ilvl w:val="0"/>
          <w:numId w:val="2"/>
        </w:numPr>
        <w:spacing w:after="80"/>
      </w:pPr>
      <w:r>
        <w:rPr>
          <w:sz w:val="22"/>
          <w:szCs w:val="22"/>
        </w:rPr>
        <w:t xml:space="preserve">Device heartbeat TTL of 120 seconds as "offline" — not derived from a confirmed publish interval (which is itself an open firmware question).</w:t>
      </w:r>
    </w:p>
    <w:p>
      <w:pPr>
        <w:pStyle w:val="ListParagraph"/>
        <w:numPr>
          <w:ilvl w:val="0"/>
          <w:numId w:val="2"/>
        </w:numPr>
        <w:spacing w:after="80"/>
      </w:pPr>
      <w:r>
        <w:rPr>
          <w:sz w:val="22"/>
          <w:szCs w:val="22"/>
        </w:rPr>
        <w:t xml:space="preserve">Single MQTT broker, now two client connections (ingestion + command publisher) in one Node process — no discussion yet of what happens at a device count where this becomes a bottleneck (not a near-term concern at pilot scale, worth flagging before any large B2B rollout).</w:t>
      </w:r>
    </w:p>
    <w:p>
      <w:pPr>
        <w:pStyle w:val="Heading1"/>
        <w:spacing w:after="160" w:before="360"/>
      </w:pPr>
      <w:r>
        <w:t xml:space="preserve">10. Development History Note</w:t>
      </w:r>
    </w:p>
    <w:p>
      <w:pPr>
        <w:spacing w:after="160"/>
      </w:pPr>
      <w:r>
        <w:rPr>
          <w:sz w:val="22"/>
          <w:szCs w:val="22"/>
        </w:rPr>
        <w:t xml:space="preserve">There is exactly one git commit in this repository ("Initial commit: AURA backend + frontend") — no per-feature commit history exists to reconstruct a real timeline from, and that remains true as of this version (all v1.1 work is still uncommitted at time of writing). The code itself is heavily annotated with build-sequence references ("Prompt 1" through "Prompt 13," matching the backend/frontend README’s "what’s next" sections) and dated in-code notes for two follow-up passes: a client feedback revision pass ("Aug 2026" — temperature split out of a combined "Climate" card, light intensity moved from Internal to Environment, the biomass metric + its alert band added, a second design-token pass), and the 2026-09-18/09-19 push that closed most of v1.0 §9’s open items (onboarding screens, the biomass→CO2/O2 pipeline, per-device thresholds, turbidity-aware harvest, push notifications, actuator control). CHANGELOG.md reconstructs a best-effort history from these in-code markers — treat it as directionally accurate, not as an authoritative record the way real commit history would be.</w:t>
      </w:r>
    </w:p>
    <w:p>
      <w:pPr>
        <w:pStyle w:val="Heading1"/>
        <w:spacing w:after="160" w:before="360"/>
      </w:pPr>
      <w:r>
        <w:t xml:space="preserve">11. Open Architectural Questions (for the next milestone)</w:t>
      </w:r>
    </w:p>
    <w:p>
      <w:pPr>
        <w:spacing w:after="160"/>
      </w:pPr>
      <w:r>
        <w:rPr>
          <w:sz w:val="22"/>
          <w:szCs w:val="22"/>
        </w:rPr>
        <w:t xml:space="preserve">Several v1.0 questions are now resolved by a real implementation choice (noted inline); what follows is what’s actually still open.</w:t>
      </w:r>
    </w:p>
    <w:p>
      <w:pPr>
        <w:pStyle w:val="ListParagraph"/>
        <w:numPr>
          <w:ilvl w:val="0"/>
          <w:numId w:val="2"/>
        </w:numPr>
        <w:spacing w:after="80"/>
      </w:pPr>
      <w:r>
        <w:rPr>
          <w:sz w:val="22"/>
          <w:szCs w:val="22"/>
        </w:rPr>
        <w:t xml:space="preserve">RESOLVED: actuator control is now in scope and built (SRS §3.13, SAD §4.5) — an MQTT command channel exists. Still open beneath that: the command payload shape is unconfirmed against real firmware (§9).</w:t>
      </w:r>
    </w:p>
    <w:p>
      <w:pPr>
        <w:pStyle w:val="ListParagraph"/>
        <w:numPr>
          <w:ilvl w:val="0"/>
          <w:numId w:val="2"/>
        </w:numPr>
        <w:spacing w:after="80"/>
      </w:pPr>
      <w:r>
        <w:rPr>
          <w:sz w:val="22"/>
          <w:szCs w:val="22"/>
        </w:rPr>
        <w:t xml:space="preserve">RESOLVED (partially): biomass/CO2/O2 derivation now lives in this backend (SRS §6.1). Still open: whether the specific coefficients are correct (the source document is internally inconsistent), and whether the Impact Widget should become a true harvest-aware lifetime cumulative total rather than a current-biomass snapshot (SRS §9.2) — this is now the single largest open product/architecture question in this document.</w:t>
      </w:r>
    </w:p>
    <w:p>
      <w:pPr>
        <w:pStyle w:val="ListParagraph"/>
        <w:numPr>
          <w:ilvl w:val="0"/>
          <w:numId w:val="2"/>
        </w:numPr>
        <w:spacing w:after="80"/>
      </w:pPr>
      <w:r>
        <w:rPr>
          <w:sz w:val="22"/>
          <w:szCs w:val="22"/>
        </w:rPr>
        <w:t xml:space="preserve">Does the next milestone need any multi-user/organization concept (SRS §7), or does the B2C beachhead alone carry the next pilot? Unchanged from v1.0 — still the largest structural gap before any B2B pilot placement.</w:t>
      </w:r>
    </w:p>
    <w:p>
      <w:pPr>
        <w:pStyle w:val="ListParagraph"/>
        <w:numPr>
          <w:ilvl w:val="0"/>
          <w:numId w:val="2"/>
        </w:numPr>
        <w:spacing w:after="80"/>
      </w:pPr>
      <w:r>
        <w:rPr>
          <w:sz w:val="22"/>
          <w:szCs w:val="22"/>
        </w:rPr>
        <w:t xml:space="preserve">Is TimescaleDB’s continuous-aggregate refresh policy (created in migration 002) tuned for the eventual real publish interval, once that’s confirmed by firmware? A policy tuned for a demo-scale interval may need revisiting for whatever the real hardware turns out to publish at.</w:t>
      </w:r>
    </w:p>
    <w:p>
      <w:pPr>
        <w:pStyle w:val="ListParagraph"/>
        <w:numPr>
          <w:ilvl w:val="0"/>
          <w:numId w:val="2"/>
        </w:numPr>
        <w:spacing w:after="80"/>
      </w:pPr>
      <w:r>
        <w:rPr>
          <w:sz w:val="22"/>
          <w:szCs w:val="22"/>
        </w:rPr>
        <w:t xml:space="preserve">Should the notification cooldown key (Redis, 30 min TTL) survive a Redis restart/eviction, or is "briefly re-notifying after an infra event" an acceptable edge case? Currently unaddressed — a cleared Redis simply re-opens the cooldown window early, which is a minor version of the same spam problem the cooldown exists to prevent.</w:t>
      </w:r>
    </w:p>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AURA — System Architecture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4"/>
      <w:szCs w:val="44"/>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7D32"/>
      <w:sz w:val="25"/>
      <w:szCs w:val="25"/>
    </w:rPr>
  </w:style>
  <w:style w:type="paragraph" w:styleId="Heading3">
    <w:name w:val="Heading 3"/>
    <w:basedOn w:val="Normal"/>
    <w:next w:val="Normal"/>
    <w:qFormat/>
    <w:pPr>
      <w:spacing w:after="100" w:before="200"/>
    </w:pPr>
    <w:rPr>
      <w:rFonts w:ascii="Calibri" w:cs="Calibri" w:eastAsia="Calibri" w:hAnsi="Calibri"/>
      <w:b/>
      <w:bCs/>
      <w:i/>
      <w:i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System Architecture Document v1.1</dc:title>
  <dc:creator>Claude Code</dc:creator>
  <dc:description>System Architecture Document for the AURA companion dashboard (Algae Decarbon)</dc:description>
  <cp:lastModifiedBy>Un-named</cp:lastModifiedBy>
  <cp:revision>1</cp:revision>
  <dcterms:created xsi:type="dcterms:W3CDTF">2026-09-18T16:38:35.561Z</dcterms:created>
  <dcterms:modified xsi:type="dcterms:W3CDTF">2026-09-18T16:38:35.562Z</dcterms:modified>
</cp:coreProperties>
</file>

<file path=docProps/custom.xml><?xml version="1.0" encoding="utf-8"?>
<Properties xmlns="http://schemas.openxmlformats.org/officeDocument/2006/custom-properties" xmlns:vt="http://schemas.openxmlformats.org/officeDocument/2006/docPropsVTypes"/>
</file>