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spacing w:after="200"/>
      </w:pPr>
      <w:r>
        <w:t xml:space="preserve">AURA</w:t>
      </w:r>
    </w:p>
    <w:p>
      <w:pPr>
        <w:spacing w:after="400"/>
      </w:pPr>
      <w:r>
        <w:rPr>
          <w:i/>
          <w:iCs/>
          <w:color w:val="595959"/>
          <w:sz w:val="24"/>
          <w:szCs w:val="24"/>
        </w:rPr>
        <w:t xml:space="preserve">Software Requirements Specification (SRS) v1.1</w:t>
      </w:r>
    </w:p>
    <w:p>
      <w:pPr>
        <w:spacing w:after="80"/>
      </w:pPr>
      <w:r>
        <w:rPr>
          <w:b/>
          <w:bCs/>
          <w:sz w:val="20"/>
          <w:szCs w:val="20"/>
        </w:rPr>
        <w:t xml:space="preserve">Product: </w:t>
      </w:r>
      <w:r>
        <w:rPr>
          <w:sz w:val="20"/>
          <w:szCs w:val="20"/>
        </w:rPr>
        <w:t xml:space="preserve">AURA (Algae Urban Air Regenerative system) companion dashboard</w:t>
      </w:r>
    </w:p>
    <w:p>
      <w:pPr>
        <w:spacing w:after="80"/>
      </w:pPr>
      <w:r>
        <w:rPr>
          <w:b/>
          <w:bCs/>
          <w:sz w:val="20"/>
          <w:szCs w:val="20"/>
        </w:rPr>
        <w:t xml:space="preserve">Client: </w:t>
      </w:r>
      <w:r>
        <w:rPr>
          <w:sz w:val="20"/>
          <w:szCs w:val="20"/>
        </w:rPr>
        <w:t xml:space="preserve">Algae Decarbon</w:t>
      </w:r>
    </w:p>
    <w:p>
      <w:pPr>
        <w:spacing w:after="80"/>
      </w:pPr>
      <w:r>
        <w:rPr>
          <w:b/>
          <w:bCs/>
          <w:sz w:val="20"/>
          <w:szCs w:val="20"/>
        </w:rPr>
        <w:t xml:space="preserve">Author: </w:t>
      </w:r>
      <w:r>
        <w:rPr>
          <w:sz w:val="20"/>
          <w:szCs w:val="20"/>
        </w:rPr>
        <w:t xml:space="preserve">Reconstructed from the current codebase and docs/Executive Summary 3.0.docx</w:t>
      </w:r>
    </w:p>
    <w:p>
      <w:pPr>
        <w:spacing w:after="80"/>
      </w:pPr>
      <w:r>
        <w:rPr>
          <w:b/>
          <w:bCs/>
          <w:sz w:val="20"/>
          <w:szCs w:val="20"/>
        </w:rPr>
        <w:t xml:space="preserve">Date: </w:t>
      </w:r>
      <w:r>
        <w:rPr>
          <w:sz w:val="20"/>
          <w:szCs w:val="20"/>
        </w:rPr>
        <w:t xml:space="preserve">2026-09-19</w:t>
      </w:r>
    </w:p>
    <w:p>
      <w:pPr>
        <w:spacing w:after="80"/>
      </w:pPr>
      <w:r>
        <w:rPr>
          <w:b/>
          <w:bCs/>
          <w:sz w:val="20"/>
          <w:szCs w:val="20"/>
        </w:rPr>
        <w:t xml:space="preserve">Status: </w:t>
      </w:r>
      <w:r>
        <w:rPr>
          <w:sz w:val="20"/>
          <w:szCs w:val="20"/>
        </w:rPr>
        <w:t xml:space="preserve">Living document. v1.0 (2026-09-18) was written retroactively against ~2 weeks of existing development. v1.1 updates it after a focused follow-up push that closed most of v1.0’s §9 open items: device pairing/signup UI, the biomass→CO2/O2 impact pipeline, per-device alert threshold editing, turbidity-aware harvest reminders, push notifications, and actuator control (lighting/bubbling). Update it alongside the code, not after the fact.</w:t>
      </w:r>
    </w:p>
    <w:p>
      <w:r>
        <w:br w:type="page"/>
      </w:r>
    </w:p>
    <w:p>
      <w:pPr>
        <w:sectPr>
          <w:pgSz w:w="11907" w:h="16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80"/>
      </w:pPr>
      <w:r>
        <w:t xml:space="preserve">1.1 Purpose</w:t>
      </w:r>
    </w:p>
    <w:p>
      <w:pPr>
        <w:spacing w:after="160"/>
      </w:pPr>
      <w:r>
        <w:rPr>
          <w:sz w:val="22"/>
          <w:szCs w:val="22"/>
        </w:rPr>
        <w:t xml:space="preserve">This SRS defines the requirements for the software half of the AURA product: the NestJS backend and the Expo/React Native mobile app that together turn ESP32 sensor telemetry from a physical microalgae bioreactor into a live dashboard, alerting system, and maintenance tracker. It does not cover the hardware (bioreactor mechanical design, sensor selection, firmware) except where the software has a hard dependency on it (the MQTT payload contract, sensor value ranges).</w:t>
      </w:r>
    </w:p>
    <w:p>
      <w:pPr>
        <w:pStyle w:val="Heading2"/>
        <w:spacing w:after="120" w:before="280"/>
      </w:pPr>
      <w:r>
        <w:t xml:space="preserve">1.2 Scope</w:t>
      </w:r>
    </w:p>
    <w:p>
      <w:pPr>
        <w:spacing w:after="160"/>
      </w:pPr>
      <w:r>
        <w:rPr>
          <w:sz w:val="22"/>
          <w:szCs w:val="22"/>
        </w:rPr>
        <w:t xml:space="preserve">In scope:</w:t>
      </w:r>
    </w:p>
    <w:p>
      <w:pPr>
        <w:pStyle w:val="ListParagraph"/>
        <w:numPr>
          <w:ilvl w:val="0"/>
          <w:numId w:val="1"/>
        </w:numPr>
        <w:spacing w:after="80"/>
      </w:pPr>
      <w:r>
        <w:rPr>
          <w:sz w:val="22"/>
          <w:szCs w:val="22"/>
        </w:rPr>
        <w:t xml:space="preserve">User authentication, signup, and device pairing (including the mobile screens, not just the API)</w:t>
      </w:r>
    </w:p>
    <w:p>
      <w:pPr>
        <w:pStyle w:val="ListParagraph"/>
        <w:numPr>
          <w:ilvl w:val="0"/>
          <w:numId w:val="1"/>
        </w:numPr>
        <w:spacing w:after="80"/>
      </w:pPr>
      <w:r>
        <w:rPr>
          <w:sz w:val="22"/>
          <w:szCs w:val="22"/>
        </w:rPr>
        <w:t xml:space="preserve">Ingesting ESP32 telemetry over MQTT and persisting it</w:t>
      </w:r>
    </w:p>
    <w:p>
      <w:pPr>
        <w:pStyle w:val="ListParagraph"/>
        <w:numPr>
          <w:ilvl w:val="0"/>
          <w:numId w:val="1"/>
        </w:numPr>
        <w:spacing w:after="80"/>
      </w:pPr>
      <w:r>
        <w:rPr>
          <w:sz w:val="22"/>
          <w:szCs w:val="22"/>
        </w:rPr>
        <w:t xml:space="preserve">Deriving biomass and CO2 absorbed / O2 released server-side from the RGB color sensor</w:t>
      </w:r>
    </w:p>
    <w:p>
      <w:pPr>
        <w:pStyle w:val="ListParagraph"/>
        <w:numPr>
          <w:ilvl w:val="0"/>
          <w:numId w:val="1"/>
        </w:numPr>
        <w:spacing w:after="80"/>
      </w:pPr>
      <w:r>
        <w:rPr>
          <w:sz w:val="22"/>
          <w:szCs w:val="22"/>
        </w:rPr>
        <w:t xml:space="preserve">REST + realtime (Socket.io) APIs for the mobile app</w:t>
      </w:r>
    </w:p>
    <w:p>
      <w:pPr>
        <w:pStyle w:val="ListParagraph"/>
        <w:numPr>
          <w:ilvl w:val="0"/>
          <w:numId w:val="1"/>
        </w:numPr>
        <w:spacing w:after="80"/>
      </w:pPr>
      <w:r>
        <w:rPr>
          <w:sz w:val="22"/>
          <w:szCs w:val="22"/>
        </w:rPr>
        <w:t xml:space="preserve">Threshold-based alerting (green/amber/red), with per-device threshold overrides</w:t>
      </w:r>
    </w:p>
    <w:p>
      <w:pPr>
        <w:pStyle w:val="ListParagraph"/>
        <w:numPr>
          <w:ilvl w:val="0"/>
          <w:numId w:val="1"/>
        </w:numPr>
        <w:spacing w:after="80"/>
      </w:pPr>
      <w:r>
        <w:rPr>
          <w:sz w:val="22"/>
          <w:szCs w:val="22"/>
        </w:rPr>
        <w:t xml:space="preserve">Push notifications on alert transitions, with a cooldown to prevent spam from a reading oscillating near a threshold</w:t>
      </w:r>
    </w:p>
    <w:p>
      <w:pPr>
        <w:pStyle w:val="ListParagraph"/>
        <w:numPr>
          <w:ilvl w:val="0"/>
          <w:numId w:val="1"/>
        </w:numPr>
        <w:spacing w:after="80"/>
      </w:pPr>
      <w:r>
        <w:rPr>
          <w:sz w:val="22"/>
          <w:szCs w:val="22"/>
        </w:rPr>
        <w:t xml:space="preserve">Maintenance logging and due-date tracking, including turbidity-aware harvest readiness</w:t>
      </w:r>
    </w:p>
    <w:p>
      <w:pPr>
        <w:pStyle w:val="ListParagraph"/>
        <w:numPr>
          <w:ilvl w:val="0"/>
          <w:numId w:val="1"/>
        </w:numPr>
        <w:spacing w:after="80"/>
      </w:pPr>
      <w:r>
        <w:rPr>
          <w:sz w:val="22"/>
          <w:szCs w:val="22"/>
        </w:rPr>
        <w:t xml:space="preserve">Actuator control (lighting color/intensity, bubbling speed) via a backend → device MQTT command channel</w:t>
      </w:r>
    </w:p>
    <w:p>
      <w:pPr>
        <w:pStyle w:val="ListParagraph"/>
        <w:numPr>
          <w:ilvl w:val="0"/>
          <w:numId w:val="1"/>
        </w:numPr>
        <w:spacing w:after="80"/>
      </w:pPr>
      <w:r>
        <w:rPr>
          <w:sz w:val="22"/>
          <w:szCs w:val="22"/>
        </w:rPr>
        <w:t xml:space="preserve">The mobile dashboard app itself (5 screens: Dashboard, Environment, Internal, Maintenance, Profile)</w:t>
      </w:r>
    </w:p>
    <w:p>
      <w:pPr>
        <w:spacing w:after="120"/>
      </w:pPr>
    </w:p>
    <w:p>
      <w:pPr>
        <w:spacing w:after="160"/>
      </w:pPr>
      <w:r>
        <w:rPr>
          <w:sz w:val="22"/>
          <w:szCs w:val="22"/>
        </w:rPr>
        <w:t xml:space="preserve">Out of scope for this version (see §9 for what the client's spec asks for that isn't built yet):</w:t>
      </w:r>
    </w:p>
    <w:p>
      <w:pPr>
        <w:pStyle w:val="ListParagraph"/>
        <w:numPr>
          <w:ilvl w:val="0"/>
          <w:numId w:val="1"/>
        </w:numPr>
        <w:spacing w:after="80"/>
      </w:pPr>
      <w:r>
        <w:rPr>
          <w:sz w:val="22"/>
          <w:szCs w:val="22"/>
        </w:rPr>
        <w:t xml:space="preserve">ESP32 firmware</w:t>
      </w:r>
    </w:p>
    <w:p>
      <w:pPr>
        <w:pStyle w:val="ListParagraph"/>
        <w:numPr>
          <w:ilvl w:val="0"/>
          <w:numId w:val="1"/>
        </w:numPr>
        <w:spacing w:after="80"/>
      </w:pPr>
      <w:r>
        <w:rPr>
          <w:sz w:val="22"/>
          <w:szCs w:val="22"/>
        </w:rPr>
        <w:t xml:space="preserve">ESG/B2B reporting, multi-tenant/organization accounts</w:t>
      </w:r>
    </w:p>
    <w:p>
      <w:pPr>
        <w:pStyle w:val="ListParagraph"/>
        <w:numPr>
          <w:ilvl w:val="0"/>
          <w:numId w:val="1"/>
        </w:numPr>
        <w:spacing w:after="80"/>
      </w:pPr>
      <w:r>
        <w:rPr>
          <w:sz w:val="22"/>
          <w:szCs w:val="22"/>
        </w:rPr>
        <w:t xml:space="preserve">A true harvest-aware LIFETIME cumulative CO2/O2 total (the Impact Widget shows CO2/O2 tied to the CURRENT biomass level only — see §6.1)</w:t>
      </w:r>
    </w:p>
    <w:p>
      <w:pPr>
        <w:pStyle w:val="ListParagraph"/>
        <w:numPr>
          <w:ilvl w:val="0"/>
          <w:numId w:val="1"/>
        </w:numPr>
        <w:spacing w:after="80"/>
      </w:pPr>
      <w:r>
        <w:rPr>
          <w:sz w:val="22"/>
          <w:szCs w:val="22"/>
        </w:rPr>
        <w:t xml:space="preserve">The ACCU product line (the client’s separate commercial/industrial-scale sibling product) — everything here models AURA only</w:t>
      </w:r>
    </w:p>
    <w:p>
      <w:pPr>
        <w:pStyle w:val="Heading2"/>
        <w:spacing w:after="120" w:before="280"/>
      </w:pPr>
      <w:r>
        <w:t xml:space="preserve">1.3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rPr>
          <w:tblHeader/>
        </w:trPr>
        <w:tc>
          <w:tcPr>
            <w:tcW w:type="dxa" w:w="2250"/>
            <w:shd w:fill="1F3864" w:val="clear"/>
            <w:tcMar>
              <w:top w:type="dxa" w:w="60"/>
              <w:left w:type="dxa" w:w="100"/>
              <w:bottom w:type="dxa" w:w="60"/>
              <w:right w:type="dxa" w:w="100"/>
            </w:tcMar>
            <w:vAlign w:val="center"/>
          </w:tcPr>
          <w:p>
            <w:r>
              <w:rPr>
                <w:b/>
                <w:bCs/>
                <w:color w:val="FFFFFF"/>
                <w:sz w:val="19"/>
                <w:szCs w:val="19"/>
              </w:rPr>
              <w:t xml:space="preserve">Term</w:t>
            </w:r>
          </w:p>
        </w:tc>
        <w:tc>
          <w:tcPr>
            <w:tcW w:type="dxa" w:w="6750"/>
            <w:shd w:fill="1F3864" w:val="clear"/>
            <w:tcMar>
              <w:top w:type="dxa" w:w="60"/>
              <w:left w:type="dxa" w:w="100"/>
              <w:bottom w:type="dxa" w:w="60"/>
              <w:right w:type="dxa" w:w="100"/>
            </w:tcMar>
            <w:vAlign w:val="center"/>
          </w:tcPr>
          <w:p>
            <w:r>
              <w:rPr>
                <w:b/>
                <w:bCs/>
                <w:color w:val="FFFFFF"/>
                <w:sz w:val="19"/>
                <w:szCs w:val="19"/>
              </w:rPr>
              <w:t xml:space="preserve">Meaning</w:t>
            </w:r>
          </w:p>
        </w:tc>
      </w:tr>
      <w:tr>
        <w:tc>
          <w:tcPr>
            <w:tcW w:type="dxa" w:w="2250"/>
            <w:tcMar>
              <w:top w:type="dxa" w:w="60"/>
              <w:left w:type="dxa" w:w="100"/>
              <w:bottom w:type="dxa" w:w="60"/>
              <w:right w:type="dxa" w:w="100"/>
            </w:tcMar>
            <w:vAlign w:val="center"/>
          </w:tcPr>
          <w:p>
            <w:r>
              <w:rPr>
                <w:b w:val="false"/>
                <w:bCs w:val="false"/>
                <w:sz w:val="19"/>
                <w:szCs w:val="19"/>
              </w:rPr>
              <w:t xml:space="preserve">AURA</w:t>
            </w:r>
          </w:p>
        </w:tc>
        <w:tc>
          <w:tcPr>
            <w:tcW w:type="dxa" w:w="6750"/>
            <w:tcMar>
              <w:top w:type="dxa" w:w="60"/>
              <w:left w:type="dxa" w:w="100"/>
              <w:bottom w:type="dxa" w:w="60"/>
              <w:right w:type="dxa" w:w="100"/>
            </w:tcMar>
            <w:vAlign w:val="center"/>
          </w:tcPr>
          <w:p>
            <w:r>
              <w:rPr>
                <w:b w:val="false"/>
                <w:bCs w:val="false"/>
                <w:sz w:val="19"/>
                <w:szCs w:val="19"/>
              </w:rPr>
              <w:t xml:space="preserve">Algae Urban Air Regenerative system — the consumer/small-scale product this app targets</w:t>
            </w:r>
          </w:p>
        </w:tc>
      </w:tr>
      <w:tr>
        <w:tc>
          <w:tcPr>
            <w:tcW w:type="dxa" w:w="2250"/>
            <w:shd w:fill="F2F2F2" w:val="clear"/>
            <w:tcMar>
              <w:top w:type="dxa" w:w="60"/>
              <w:left w:type="dxa" w:w="100"/>
              <w:bottom w:type="dxa" w:w="60"/>
              <w:right w:type="dxa" w:w="100"/>
            </w:tcMar>
            <w:vAlign w:val="center"/>
          </w:tcPr>
          <w:p>
            <w:r>
              <w:rPr>
                <w:b w:val="false"/>
                <w:bCs w:val="false"/>
                <w:sz w:val="19"/>
                <w:szCs w:val="19"/>
              </w:rPr>
              <w:t xml:space="preserve">ACCU</w:t>
            </w:r>
          </w:p>
        </w:tc>
        <w:tc>
          <w:tcPr>
            <w:tcW w:type="dxa" w:w="6750"/>
            <w:shd w:fill="F2F2F2" w:val="clear"/>
            <w:tcMar>
              <w:top w:type="dxa" w:w="60"/>
              <w:left w:type="dxa" w:w="100"/>
              <w:bottom w:type="dxa" w:w="60"/>
              <w:right w:type="dxa" w:w="100"/>
            </w:tcMar>
            <w:vAlign w:val="center"/>
          </w:tcPr>
          <w:p>
            <w:r>
              <w:rPr>
                <w:b w:val="false"/>
                <w:bCs w:val="false"/>
                <w:sz w:val="19"/>
                <w:szCs w:val="19"/>
              </w:rPr>
              <w:t xml:space="preserve">Algae Carbon Capture and Utilisation system — the client’s commercial/industrial sibling product, not modeled in this codebase</w:t>
            </w:r>
          </w:p>
        </w:tc>
      </w:tr>
      <w:tr>
        <w:tc>
          <w:tcPr>
            <w:tcW w:type="dxa" w:w="2250"/>
            <w:tcMar>
              <w:top w:type="dxa" w:w="60"/>
              <w:left w:type="dxa" w:w="100"/>
              <w:bottom w:type="dxa" w:w="60"/>
              <w:right w:type="dxa" w:w="100"/>
            </w:tcMar>
            <w:vAlign w:val="center"/>
          </w:tcPr>
          <w:p>
            <w:r>
              <w:rPr>
                <w:b w:val="false"/>
                <w:bCs w:val="false"/>
                <w:sz w:val="19"/>
                <w:szCs w:val="19"/>
              </w:rPr>
              <w:t xml:space="preserve">Device</w:t>
            </w:r>
          </w:p>
        </w:tc>
        <w:tc>
          <w:tcPr>
            <w:tcW w:type="dxa" w:w="6750"/>
            <w:tcMar>
              <w:top w:type="dxa" w:w="60"/>
              <w:left w:type="dxa" w:w="100"/>
              <w:bottom w:type="dxa" w:w="60"/>
              <w:right w:type="dxa" w:w="100"/>
            </w:tcMar>
            <w:vAlign w:val="center"/>
          </w:tcPr>
          <w:p>
            <w:r>
              <w:rPr>
                <w:b w:val="false"/>
                <w:bCs w:val="false"/>
                <w:sz w:val="19"/>
                <w:szCs w:val="19"/>
              </w:rPr>
              <w:t xml:space="preserve">One physical AURA unit, identified by a deviceCode printed/burned into the hardware</w:t>
            </w:r>
          </w:p>
        </w:tc>
      </w:tr>
      <w:tr>
        <w:tc>
          <w:tcPr>
            <w:tcW w:type="dxa" w:w="2250"/>
            <w:shd w:fill="F2F2F2" w:val="clear"/>
            <w:tcMar>
              <w:top w:type="dxa" w:w="60"/>
              <w:left w:type="dxa" w:w="100"/>
              <w:bottom w:type="dxa" w:w="60"/>
              <w:right w:type="dxa" w:w="100"/>
            </w:tcMar>
            <w:vAlign w:val="center"/>
          </w:tcPr>
          <w:p>
            <w:r>
              <w:rPr>
                <w:b w:val="false"/>
                <w:bCs w:val="false"/>
                <w:sz w:val="19"/>
                <w:szCs w:val="19"/>
              </w:rPr>
              <w:t xml:space="preserve">Metric</w:t>
            </w:r>
          </w:p>
        </w:tc>
        <w:tc>
          <w:tcPr>
            <w:tcW w:type="dxa" w:w="6750"/>
            <w:shd w:fill="F2F2F2" w:val="clear"/>
            <w:tcMar>
              <w:top w:type="dxa" w:w="60"/>
              <w:left w:type="dxa" w:w="100"/>
              <w:bottom w:type="dxa" w:w="60"/>
              <w:right w:type="dxa" w:w="100"/>
            </w:tcMar>
            <w:vAlign w:val="center"/>
          </w:tcPr>
          <w:p>
            <w:r>
              <w:rPr>
                <w:b w:val="false"/>
                <w:bCs w:val="false"/>
                <w:sz w:val="19"/>
                <w:szCs w:val="19"/>
              </w:rPr>
              <w:t xml:space="preserve">A single sensor quantity (e.g. co2, ph, biomass) — see §6.1</w:t>
            </w:r>
          </w:p>
        </w:tc>
      </w:tr>
      <w:tr>
        <w:tc>
          <w:tcPr>
            <w:tcW w:type="dxa" w:w="2250"/>
            <w:tcMar>
              <w:top w:type="dxa" w:w="60"/>
              <w:left w:type="dxa" w:w="100"/>
              <w:bottom w:type="dxa" w:w="60"/>
              <w:right w:type="dxa" w:w="100"/>
            </w:tcMar>
            <w:vAlign w:val="center"/>
          </w:tcPr>
          <w:p>
            <w:r>
              <w:rPr>
                <w:b w:val="false"/>
                <w:bCs w:val="false"/>
                <w:sz w:val="19"/>
                <w:szCs w:val="19"/>
              </w:rPr>
              <w:t xml:space="preserve">Reading</w:t>
            </w:r>
          </w:p>
        </w:tc>
        <w:tc>
          <w:tcPr>
            <w:tcW w:type="dxa" w:w="6750"/>
            <w:tcMar>
              <w:top w:type="dxa" w:w="60"/>
              <w:left w:type="dxa" w:w="100"/>
              <w:bottom w:type="dxa" w:w="60"/>
              <w:right w:type="dxa" w:w="100"/>
            </w:tcMar>
            <w:vAlign w:val="center"/>
          </w:tcPr>
          <w:p>
            <w:r>
              <w:rPr>
                <w:b w:val="false"/>
                <w:bCs w:val="false"/>
                <w:sz w:val="19"/>
                <w:szCs w:val="19"/>
              </w:rPr>
              <w:t xml:space="preserve">One (device, metric, value, timestamp) data point</w:t>
            </w:r>
          </w:p>
        </w:tc>
      </w:tr>
      <w:tr>
        <w:tc>
          <w:tcPr>
            <w:tcW w:type="dxa" w:w="2250"/>
            <w:shd w:fill="F2F2F2" w:val="clear"/>
            <w:tcMar>
              <w:top w:type="dxa" w:w="60"/>
              <w:left w:type="dxa" w:w="100"/>
              <w:bottom w:type="dxa" w:w="60"/>
              <w:right w:type="dxa" w:w="100"/>
            </w:tcMar>
            <w:vAlign w:val="center"/>
          </w:tcPr>
          <w:p>
            <w:r>
              <w:rPr>
                <w:b w:val="false"/>
                <w:bCs w:val="false"/>
                <w:sz w:val="19"/>
                <w:szCs w:val="19"/>
              </w:rPr>
              <w:t xml:space="preserve">Photoperiod</w:t>
            </w:r>
          </w:p>
        </w:tc>
        <w:tc>
          <w:tcPr>
            <w:tcW w:type="dxa" w:w="6750"/>
            <w:shd w:fill="F2F2F2" w:val="clear"/>
            <w:tcMar>
              <w:top w:type="dxa" w:w="60"/>
              <w:left w:type="dxa" w:w="100"/>
              <w:bottom w:type="dxa" w:w="60"/>
              <w:right w:type="dxa" w:w="100"/>
            </w:tcMar>
            <w:vAlign w:val="center"/>
          </w:tcPr>
          <w:p>
            <w:r>
              <w:rPr>
                <w:b w:val="false"/>
                <w:bCs w:val="false"/>
                <w:sz w:val="19"/>
                <w:szCs w:val="19"/>
              </w:rPr>
              <w:t xml:space="preserve">The light/dark cycle the bioreactor’s LED runs on (default 12h light / 12h dark)</w:t>
            </w:r>
          </w:p>
        </w:tc>
      </w:tr>
      <w:tr>
        <w:tc>
          <w:tcPr>
            <w:tcW w:type="dxa" w:w="2250"/>
            <w:tcMar>
              <w:top w:type="dxa" w:w="60"/>
              <w:left w:type="dxa" w:w="100"/>
              <w:bottom w:type="dxa" w:w="60"/>
              <w:right w:type="dxa" w:w="100"/>
            </w:tcMar>
            <w:vAlign w:val="center"/>
          </w:tcPr>
          <w:p>
            <w:r>
              <w:rPr>
                <w:b w:val="false"/>
                <w:bCs w:val="false"/>
                <w:sz w:val="19"/>
                <w:szCs w:val="19"/>
              </w:rPr>
              <w:t xml:space="preserve">Severity band</w:t>
            </w:r>
          </w:p>
        </w:tc>
        <w:tc>
          <w:tcPr>
            <w:tcW w:type="dxa" w:w="6750"/>
            <w:tcMar>
              <w:top w:type="dxa" w:w="60"/>
              <w:left w:type="dxa" w:w="100"/>
              <w:bottom w:type="dxa" w:w="60"/>
              <w:right w:type="dxa" w:w="100"/>
            </w:tcMar>
            <w:vAlign w:val="center"/>
          </w:tcPr>
          <w:p>
            <w:r>
              <w:rPr>
                <w:b w:val="false"/>
                <w:bCs w:val="false"/>
                <w:sz w:val="19"/>
                <w:szCs w:val="19"/>
              </w:rPr>
              <w:t xml:space="preserve">green (nominal) / amber (warning) / red (critical) classification of a reading</w:t>
            </w:r>
          </w:p>
        </w:tc>
      </w:tr>
      <w:tr>
        <w:tc>
          <w:tcPr>
            <w:tcW w:type="dxa" w:w="2250"/>
            <w:shd w:fill="F2F2F2" w:val="clear"/>
            <w:tcMar>
              <w:top w:type="dxa" w:w="60"/>
              <w:left w:type="dxa" w:w="100"/>
              <w:bottom w:type="dxa" w:w="60"/>
              <w:right w:type="dxa" w:w="100"/>
            </w:tcMar>
            <w:vAlign w:val="center"/>
          </w:tcPr>
          <w:p>
            <w:r>
              <w:rPr>
                <w:b w:val="false"/>
                <w:bCs w:val="false"/>
                <w:sz w:val="19"/>
                <w:szCs w:val="19"/>
              </w:rPr>
              <w:t xml:space="preserve">Hypertable</w:t>
            </w:r>
          </w:p>
        </w:tc>
        <w:tc>
          <w:tcPr>
            <w:tcW w:type="dxa" w:w="6750"/>
            <w:shd w:fill="F2F2F2" w:val="clear"/>
            <w:tcMar>
              <w:top w:type="dxa" w:w="60"/>
              <w:left w:type="dxa" w:w="100"/>
              <w:bottom w:type="dxa" w:w="60"/>
              <w:right w:type="dxa" w:w="100"/>
            </w:tcMar>
            <w:vAlign w:val="center"/>
          </w:tcPr>
          <w:p>
            <w:r>
              <w:rPr>
                <w:b w:val="false"/>
                <w:bCs w:val="false"/>
                <w:sz w:val="19"/>
                <w:szCs w:val="19"/>
              </w:rPr>
              <w:t xml:space="preserve">TimescaleDB’s partitioned-table abstraction used for sensor_readings</w:t>
            </w:r>
          </w:p>
        </w:tc>
      </w:tr>
    </w:tbl>
    <w:p>
      <w:pPr>
        <w:spacing w:after="120"/>
      </w:pPr>
    </w:p>
    <w:p>
      <w:pPr>
        <w:pStyle w:val="Heading2"/>
        <w:spacing w:after="120" w:before="280"/>
      </w:pPr>
      <w:r>
        <w:t xml:space="preserve">1.4 References</w:t>
      </w:r>
    </w:p>
    <w:p>
      <w:pPr>
        <w:pStyle w:val="ListParagraph"/>
        <w:numPr>
          <w:ilvl w:val="0"/>
          <w:numId w:val="1"/>
        </w:numPr>
        <w:spacing w:after="80"/>
      </w:pPr>
      <w:r>
        <w:rPr>
          <w:sz w:val="22"/>
          <w:szCs w:val="22"/>
        </w:rPr>
        <w:t xml:space="preserve">docs/Executive Summary 3.0.docx</w:t>
      </w:r>
      <w:r>
        <w:rPr>
          <w:sz w:val="22"/>
          <w:szCs w:val="22"/>
        </w:rPr>
        <w:t xml:space="preserve"> — client-authored business + product + hardware spec ("Algae Decarbon" company, AURA + ACCU products). Treated as the primary source of client intent throughout this document.</w:t>
      </w:r>
    </w:p>
    <w:p>
      <w:pPr>
        <w:pStyle w:val="ListParagraph"/>
        <w:numPr>
          <w:ilvl w:val="0"/>
          <w:numId w:val="1"/>
        </w:numPr>
        <w:spacing w:after="80"/>
      </w:pPr>
      <w:r>
        <w:rPr>
          <w:sz w:val="22"/>
          <w:szCs w:val="22"/>
        </w:rPr>
        <w:t xml:space="preserve">backend/src/mqtt/PAYLOAD_CONTRACT.md</w:t>
      </w:r>
      <w:r>
        <w:rPr>
          <w:sz w:val="22"/>
          <w:szCs w:val="22"/>
        </w:rPr>
        <w:t xml:space="preserve"> — MQTT payload contract (status: assumed)</w:t>
      </w:r>
    </w:p>
    <w:p>
      <w:pPr>
        <w:pStyle w:val="ListParagraph"/>
        <w:numPr>
          <w:ilvl w:val="0"/>
          <w:numId w:val="1"/>
        </w:numPr>
        <w:spacing w:after="80"/>
      </w:pPr>
      <w:r>
        <w:rPr>
          <w:sz w:val="22"/>
          <w:szCs w:val="22"/>
        </w:rPr>
        <w:t xml:space="preserve">backend/src/alerts/ALERT_THRESHOLDS.md</w:t>
      </w:r>
      <w:r>
        <w:rPr>
          <w:sz w:val="22"/>
          <w:szCs w:val="22"/>
        </w:rPr>
        <w:t xml:space="preserve"> — alert threshold values (status: placeholder)</w:t>
      </w:r>
    </w:p>
    <w:p>
      <w:pPr>
        <w:pStyle w:val="ListParagraph"/>
        <w:numPr>
          <w:ilvl w:val="0"/>
          <w:numId w:val="1"/>
        </w:numPr>
        <w:spacing w:after="80"/>
      </w:pPr>
      <w:r>
        <w:rPr>
          <w:sz w:val="22"/>
          <w:szCs w:val="22"/>
        </w:rPr>
        <w:t xml:space="preserve">backend/src/maintenance/MAINTENANCE_INTERVALS.md</w:t>
      </w:r>
      <w:r>
        <w:rPr>
          <w:sz w:val="22"/>
          <w:szCs w:val="22"/>
        </w:rPr>
        <w:t xml:space="preserve"> — maintenance interval values (status: placeholder)</w:t>
      </w:r>
    </w:p>
    <w:p>
      <w:pPr>
        <w:pStyle w:val="ListParagraph"/>
        <w:numPr>
          <w:ilvl w:val="0"/>
          <w:numId w:val="1"/>
        </w:numPr>
        <w:spacing w:after="80"/>
      </w:pPr>
      <w:r>
        <w:rPr>
          <w:sz w:val="22"/>
          <w:szCs w:val="22"/>
        </w:rPr>
        <w:t xml:space="preserve">docs/AURA_SAD_v1.0.docx</w:t>
      </w:r>
      <w:r>
        <w:rPr>
          <w:sz w:val="22"/>
          <w:szCs w:val="22"/>
        </w:rPr>
        <w:t xml:space="preserve"> — companion architecture document</w:t>
      </w:r>
    </w:p>
    <w:p>
      <w:pPr>
        <w:pStyle w:val="Heading1"/>
        <w:spacing w:after="160" w:before="360"/>
      </w:pPr>
      <w:r>
        <w:t xml:space="preserve">2. Overall Description</w:t>
      </w:r>
    </w:p>
    <w:p>
      <w:pPr>
        <w:pStyle w:val="Heading2"/>
        <w:spacing w:after="120" w:before="280"/>
      </w:pPr>
      <w:r>
        <w:t xml:space="preserve">2.1 Product perspective</w:t>
      </w:r>
    </w:p>
    <w:p>
      <w:pPr>
        <w:spacing w:after="160"/>
      </w:pPr>
      <w:r>
        <w:rPr>
          <w:sz w:val="22"/>
          <w:szCs w:val="22"/>
        </w:rPr>
        <w:t xml:space="preserve">AURA-the-app is one link in a longer chain the client's Executive Summary describes:</w:t>
      </w:r>
    </w:p>
    <w:p>
      <w:pPr>
        <w:shd w:fill="F2F2F2" w:val="clear"/>
        <w:spacing w:after="200" w:before="80"/>
        <w:ind w:left="200" w:right="200"/>
      </w:pPr>
      <w:r>
        <w:rPr>
          <w:rFonts w:ascii="Consolas" w:cs="Consolas" w:eastAsia="Consolas" w:hAnsi="Consolas"/>
          <w:sz w:val="18"/>
          <w:szCs w:val="18"/>
        </w:rPr>
        <w:t xml:space="preserve">Physical bioreactor (glass tank, LEDs, air pump, sensors, ESP32)</w:t>
      </w:r>
      <w:r>
        <w:br/>
        <w:t xml:space="preserve"/>
      </w:r>
      <w:r>
        <w:rPr>
          <w:rFonts w:ascii="Consolas" w:cs="Consolas" w:eastAsia="Consolas" w:hAnsi="Consolas"/>
          <w:sz w:val="18"/>
          <w:szCs w:val="18"/>
        </w:rPr>
        <w:t xml:space="preserve">        |  MQTT</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This backend (NestJS) -- ingest, store, evaluate alerts, serve API</w:t>
      </w:r>
      <w:r>
        <w:br/>
        <w:t xml:space="preserve"/>
      </w:r>
      <w:r>
        <w:rPr>
          <w:rFonts w:ascii="Consolas" w:cs="Consolas" w:eastAsia="Consolas" w:hAnsi="Consolas"/>
          <w:sz w:val="18"/>
          <w:szCs w:val="18"/>
        </w:rPr>
        <w:t xml:space="preserve">        |  REST + Socket.io</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This mobile app (Expo/React Native) -- the "AURA app" from the client’s spec</w:t>
      </w:r>
    </w:p>
    <w:p>
      <w:pPr>
        <w:spacing w:after="160"/>
      </w:pPr>
      <w:r>
        <w:rPr>
          <w:sz w:val="22"/>
          <w:szCs w:val="22"/>
        </w:rPr>
        <w:t xml:space="preserve">The client's document also imagines a "connected algae network" across many units and ESG dashboards for B2B customers, plus a true lifetime-cumulative environmental-impact figure (not just the current-biomass-derived one this version implements). Those remain architecturally anticipated (see SAD §11) but not built — see §9 for what's still open.</w:t>
      </w:r>
    </w:p>
    <w:p>
      <w:pPr>
        <w:pStyle w:val="Heading2"/>
        <w:spacing w:after="120" w:before="280"/>
      </w:pPr>
      <w:r>
        <w:t xml:space="preserve">2.2 Product functions (summary)</w:t>
      </w:r>
    </w:p>
    <w:p>
      <w:pPr>
        <w:pStyle w:val="ListParagraph"/>
        <w:numPr>
          <w:ilvl w:val="0"/>
          <w:numId w:val="2"/>
        </w:numPr>
        <w:spacing w:after="80"/>
      </w:pPr>
      <w:r>
        <w:rPr>
          <w:sz w:val="22"/>
          <w:szCs w:val="22"/>
        </w:rPr>
        <w:t xml:space="preserve">Account creation (with a real signup screen, not just an API) and login (email + password)</w:t>
      </w:r>
    </w:p>
    <w:p>
      <w:pPr>
        <w:pStyle w:val="ListParagraph"/>
        <w:numPr>
          <w:ilvl w:val="0"/>
          <w:numId w:val="2"/>
        </w:numPr>
        <w:spacing w:after="80"/>
      </w:pPr>
      <w:r>
        <w:rPr>
          <w:sz w:val="22"/>
          <w:szCs w:val="22"/>
        </w:rPr>
        <w:t xml:space="preserve">Pairing a physical device to an account via its deviceCode (with a real pairing screen)</w:t>
      </w:r>
    </w:p>
    <w:p>
      <w:pPr>
        <w:pStyle w:val="ListParagraph"/>
        <w:numPr>
          <w:ilvl w:val="0"/>
          <w:numId w:val="2"/>
        </w:numPr>
        <w:spacing w:after="80"/>
      </w:pPr>
      <w:r>
        <w:rPr>
          <w:sz w:val="22"/>
          <w:szCs w:val="22"/>
        </w:rPr>
        <w:t xml:space="preserve">Ingesting telemetry from the device over MQTT, continuously</w:t>
      </w:r>
    </w:p>
    <w:p>
      <w:pPr>
        <w:pStyle w:val="ListParagraph"/>
        <w:numPr>
          <w:ilvl w:val="0"/>
          <w:numId w:val="2"/>
        </w:numPr>
        <w:spacing w:after="80"/>
      </w:pPr>
      <w:r>
        <w:rPr>
          <w:sz w:val="22"/>
          <w:szCs w:val="22"/>
        </w:rPr>
        <w:t xml:space="preserve">Deriving biomass and CO2 absorbed / O2 released server-side from the device’s RGB color sensor, shown as a Dashboard "Environmental Impact" widget</w:t>
      </w:r>
    </w:p>
    <w:p>
      <w:pPr>
        <w:pStyle w:val="ListParagraph"/>
        <w:numPr>
          <w:ilvl w:val="0"/>
          <w:numId w:val="2"/>
        </w:numPr>
        <w:spacing w:after="80"/>
      </w:pPr>
      <w:r>
        <w:rPr>
          <w:sz w:val="22"/>
          <w:szCs w:val="22"/>
        </w:rPr>
        <w:t xml:space="preserve">Showing live and historical sensor data at three granularities (1 hour / 1 day / 1 week)</w:t>
      </w:r>
    </w:p>
    <w:p>
      <w:pPr>
        <w:pStyle w:val="ListParagraph"/>
        <w:numPr>
          <w:ilvl w:val="0"/>
          <w:numId w:val="2"/>
        </w:numPr>
        <w:spacing w:after="80"/>
      </w:pPr>
      <w:r>
        <w:rPr>
          <w:sz w:val="22"/>
          <w:szCs w:val="22"/>
        </w:rPr>
        <w:t xml:space="preserve">Flagging out-of-range readings as amber/red alerts, with history, per-device threshold overrides, and push notifications (rate-limited to avoid spam from a reading oscillating near a threshold)</w:t>
      </w:r>
    </w:p>
    <w:p>
      <w:pPr>
        <w:pStyle w:val="ListParagraph"/>
        <w:numPr>
          <w:ilvl w:val="0"/>
          <w:numId w:val="2"/>
        </w:numPr>
        <w:spacing w:after="80"/>
      </w:pPr>
      <w:r>
        <w:rPr>
          <w:sz w:val="22"/>
          <w:szCs w:val="22"/>
        </w:rPr>
        <w:t xml:space="preserve">Tracking recurring maintenance tasks (water change, harvest, nutrient refill, filter replacement, calibration) and showing when each is next due — harvest readiness additionally reacts to the live turbidity reading, not just a fixed calendar interval</w:t>
      </w:r>
    </w:p>
    <w:p>
      <w:pPr>
        <w:pStyle w:val="ListParagraph"/>
        <w:numPr>
          <w:ilvl w:val="0"/>
          <w:numId w:val="2"/>
        </w:numPr>
        <w:spacing w:after="80"/>
      </w:pPr>
      <w:r>
        <w:rPr>
          <w:sz w:val="22"/>
          <w:szCs w:val="22"/>
        </w:rPr>
        <w:t xml:space="preserve">Logging completed maintenance actions with notes and a timestamp</w:t>
      </w:r>
    </w:p>
    <w:p>
      <w:pPr>
        <w:pStyle w:val="ListParagraph"/>
        <w:numPr>
          <w:ilvl w:val="0"/>
          <w:numId w:val="2"/>
        </w:numPr>
        <w:spacing w:after="80"/>
      </w:pPr>
      <w:r>
        <w:rPr>
          <w:sz w:val="22"/>
          <w:szCs w:val="22"/>
        </w:rPr>
        <w:t xml:space="preserve">Showing the current photoperiod (light/dark cycle) state</w:t>
      </w:r>
    </w:p>
    <w:p>
      <w:pPr>
        <w:pStyle w:val="ListParagraph"/>
        <w:numPr>
          <w:ilvl w:val="0"/>
          <w:numId w:val="2"/>
        </w:numPr>
        <w:spacing w:after="80"/>
      </w:pPr>
      <w:r>
        <w:rPr>
          <w:sz w:val="22"/>
          <w:szCs w:val="22"/>
        </w:rPr>
        <w:t xml:space="preserve">Controlling the device’s lighting (on/off, white/mix color, intensity preset) and bubbling speed from the app</w:t>
      </w:r>
    </w:p>
    <w:p>
      <w:pPr>
        <w:spacing w:after="120"/>
      </w:pPr>
    </w:p>
    <w:p>
      <w:pPr>
        <w:pStyle w:val="Heading2"/>
        <w:spacing w:after="120" w:before="280"/>
      </w:pPr>
      <w:r>
        <w:t xml:space="preserve">2.3 User classes</w:t>
      </w:r>
    </w:p>
    <w:p>
      <w:pPr>
        <w:spacing w:after="160"/>
      </w:pPr>
      <w:r>
        <w:rPr>
          <w:sz w:val="22"/>
          <w:szCs w:val="22"/>
        </w:rPr>
        <w:t xml:space="preserve">Unlike a typical multi-role SaaS product, there is exactly one user class in the current system: an authenticated device owner. There is no admin/staff role, no B2B/organization account, and no distinction between a consumer AURA buyer and a facilities manager overseeing a commercial deployment — even though the client's Executive Summary explicitly describes both a B2C beachhead (health-conscious urban professionals) and a B2B beachhead (wellness centres, corporate HQs, malls, hotels, property developers) as target markets. See §9.3.</w:t>
      </w:r>
    </w:p>
    <w:p>
      <w:pPr>
        <w:pStyle w:val="Heading2"/>
        <w:spacing w:after="120" w:before="280"/>
      </w:pPr>
      <w:r>
        <w:t xml:space="preserve">2.4 Operating environment</w:t>
      </w:r>
    </w:p>
    <w:p>
      <w:pPr>
        <w:pStyle w:val="ListParagraph"/>
        <w:numPr>
          <w:ilvl w:val="0"/>
          <w:numId w:val="1"/>
        </w:numPr>
        <w:spacing w:after="80"/>
      </w:pPr>
      <w:r>
        <w:rPr>
          <w:b/>
          <w:bCs/>
          <w:i w:val="false"/>
          <w:iCs w:val="false"/>
          <w:sz w:val="22"/>
          <w:szCs w:val="22"/>
        </w:rPr>
        <w:t xml:space="preserve">Backend: </w:t>
      </w:r>
      <w:r>
        <w:rPr>
          <w:sz w:val="22"/>
          <w:szCs w:val="22"/>
        </w:rPr>
        <w:t xml:space="preserve">Node.js 20+, PostgreSQL 16 with the TimescaleDB extension, Redis 7, an MQTT broker (EMQX in local dev via docker-compose.yml)</w:t>
      </w:r>
    </w:p>
    <w:p>
      <w:pPr>
        <w:pStyle w:val="ListParagraph"/>
        <w:numPr>
          <w:ilvl w:val="0"/>
          <w:numId w:val="1"/>
        </w:numPr>
        <w:spacing w:after="80"/>
      </w:pPr>
      <w:r>
        <w:rPr>
          <w:b/>
          <w:bCs/>
          <w:i w:val="false"/>
          <w:iCs w:val="false"/>
          <w:sz w:val="22"/>
          <w:szCs w:val="22"/>
        </w:rPr>
        <w:t xml:space="preserve">Frontend: </w:t>
      </w:r>
      <w:r>
        <w:rPr>
          <w:sz w:val="22"/>
          <w:szCs w:val="22"/>
        </w:rPr>
        <w:t xml:space="preserve">Expo SDK 54 (React Native 0.81, React 19), tested via Expo Go on a physical phone or an emulator; also runs in a browser via expo start --web for quick UI checks</w:t>
      </w:r>
    </w:p>
    <w:p>
      <w:pPr>
        <w:pStyle w:val="ListParagraph"/>
        <w:numPr>
          <w:ilvl w:val="0"/>
          <w:numId w:val="1"/>
        </w:numPr>
        <w:spacing w:after="80"/>
      </w:pPr>
      <w:r>
        <w:rPr>
          <w:b/>
          <w:bCs/>
          <w:i w:val="false"/>
          <w:iCs w:val="false"/>
          <w:sz w:val="22"/>
          <w:szCs w:val="22"/>
        </w:rPr>
        <w:t xml:space="preserve">Hardware: </w:t>
      </w:r>
      <w:r>
        <w:rPr>
          <w:sz w:val="22"/>
          <w:szCs w:val="22"/>
        </w:rPr>
        <w:t xml:space="preserve">ESP32-based sensor unit publishing JSON over MQTT (see §6.2). No firmware source is part of this repository.</w:t>
      </w:r>
    </w:p>
    <w:p>
      <w:pPr>
        <w:spacing w:after="120"/>
      </w:pPr>
    </w:p>
    <w:p>
      <w:pPr>
        <w:pStyle w:val="Heading2"/>
        <w:spacing w:after="120" w:before="280"/>
      </w:pPr>
      <w:r>
        <w:t xml:space="preserve">2.5 Constraints</w:t>
      </w:r>
    </w:p>
    <w:p>
      <w:pPr>
        <w:pStyle w:val="ListParagraph"/>
        <w:numPr>
          <w:ilvl w:val="0"/>
          <w:numId w:val="1"/>
        </w:numPr>
        <w:spacing w:after="80"/>
      </w:pPr>
      <w:r>
        <w:rPr>
          <w:b/>
          <w:bCs/>
          <w:i w:val="false"/>
          <w:iCs w:val="false"/>
          <w:sz w:val="22"/>
          <w:szCs w:val="22"/>
        </w:rPr>
        <w:t xml:space="preserve">MQTT payload contract is unconfirmed. </w:t>
      </w:r>
      <w:r>
        <w:rPr>
          <w:sz w:val="22"/>
          <w:szCs w:val="22"/>
        </w:rPr>
        <w:t xml:space="preserve">PAYLOAD_CONTRACT.md explicitly flags this as "the single biggest schedule risk on the project" — the backend was built against an assumed shape before real firmware existed. Everything in §6.2 should be read as provisional.</w:t>
      </w:r>
    </w:p>
    <w:p>
      <w:pPr>
        <w:pStyle w:val="ListParagraph"/>
        <w:numPr>
          <w:ilvl w:val="0"/>
          <w:numId w:val="1"/>
        </w:numPr>
        <w:spacing w:after="80"/>
      </w:pPr>
      <w:r>
        <w:rPr>
          <w:b/>
          <w:bCs/>
          <w:i w:val="false"/>
          <w:iCs w:val="false"/>
          <w:sz w:val="22"/>
          <w:szCs w:val="22"/>
        </w:rPr>
        <w:t xml:space="preserve">Alert thresholds and maintenance intervals are placeholder values, </w:t>
      </w:r>
      <w:r>
        <w:rPr>
          <w:sz w:val="22"/>
          <w:szCs w:val="22"/>
        </w:rPr>
        <w:t xml:space="preserve">not vetted by an algae/aquaculture specialist or the client. Both are called out in-repo as needing review before any client demo.</w:t>
      </w:r>
    </w:p>
    <w:p>
      <w:pPr>
        <w:pStyle w:val="ListParagraph"/>
        <w:numPr>
          <w:ilvl w:val="0"/>
          <w:numId w:val="1"/>
        </w:numPr>
        <w:spacing w:after="80"/>
      </w:pPr>
      <w:r>
        <w:rPr>
          <w:b/>
          <w:bCs/>
          <w:i w:val="false"/>
          <w:iCs w:val="false"/>
          <w:sz w:val="22"/>
          <w:szCs w:val="22"/>
        </w:rPr>
        <w:t xml:space="preserve">No CI is configured. </w:t>
      </w:r>
      <w:r>
        <w:rPr>
          <w:sz w:val="22"/>
          <w:szCs w:val="22"/>
        </w:rPr>
        <w:t xml:space="preserve">backend/README.md currently claims a GitHub Actions workflow exists (.github/workflows/ci.yml); it does not exist in the repository. Treat that README line as aspirational until a workflow file is actually added.</w:t>
      </w:r>
    </w:p>
    <w:p>
      <w:pPr>
        <w:pStyle w:val="ListParagraph"/>
        <w:numPr>
          <w:ilvl w:val="0"/>
          <w:numId w:val="1"/>
        </w:numPr>
        <w:spacing w:after="80"/>
      </w:pPr>
      <w:r>
        <w:rPr>
          <w:b/>
          <w:bCs/>
          <w:i w:val="false"/>
          <w:iCs w:val="false"/>
          <w:sz w:val="22"/>
          <w:szCs w:val="22"/>
        </w:rPr>
        <w:t xml:space="preserve">Single environment. </w:t>
      </w:r>
      <w:r>
        <w:rPr>
          <w:sz w:val="22"/>
          <w:szCs w:val="22"/>
        </w:rPr>
        <w:t xml:space="preserve">There's no staging/production split documented — .env.example covers local development only.</w:t>
      </w:r>
    </w:p>
    <w:p>
      <w:pPr>
        <w:spacing w:after="120"/>
      </w:pPr>
    </w:p>
    <w:p>
      <w:pPr>
        <w:pStyle w:val="Heading2"/>
        <w:spacing w:after="120" w:before="280"/>
      </w:pPr>
      <w:r>
        <w:t xml:space="preserve">2.6 Assumptions and dependencies</w:t>
      </w:r>
    </w:p>
    <w:p>
      <w:pPr>
        <w:pStyle w:val="ListParagraph"/>
        <w:numPr>
          <w:ilvl w:val="0"/>
          <w:numId w:val="1"/>
        </w:numPr>
        <w:spacing w:after="80"/>
      </w:pPr>
      <w:r>
        <w:rPr>
          <w:sz w:val="22"/>
          <w:szCs w:val="22"/>
        </w:rPr>
        <w:t xml:space="preserve">A physical ESP32 unit (or the bundled simulate:esp32 script) is the only source of telemetry; there is no manual/admin data-entry path.</w:t>
      </w:r>
    </w:p>
    <w:p>
      <w:pPr>
        <w:pStyle w:val="ListParagraph"/>
        <w:numPr>
          <w:ilvl w:val="0"/>
          <w:numId w:val="1"/>
        </w:numPr>
        <w:spacing w:after="80"/>
      </w:pPr>
      <w:r>
        <w:rPr>
          <w:sz w:val="22"/>
          <w:szCs w:val="22"/>
        </w:rPr>
        <w:t xml:space="preserve">TimescaleDB's continuous aggregates (sensor_readings_1h/1d/1w) are assumed available and correctly backing the granularity toggle — see SAD §6 for the caveat about functions that sometimes need to run outside a migration transaction.</w:t>
      </w:r>
    </w:p>
    <w:p>
      <w:pPr>
        <w:pStyle w:val="ListParagraph"/>
        <w:numPr>
          <w:ilvl w:val="0"/>
          <w:numId w:val="1"/>
        </w:numPr>
        <w:spacing w:after="80"/>
      </w:pPr>
      <w:r>
        <w:rPr>
          <w:sz w:val="22"/>
          <w:szCs w:val="22"/>
        </w:rPr>
        <w:t xml:space="preserve">The mobile app assumes exactly one MQTT-connected device per user for most of its UX (e.g. ProfileScreen reads devices[0] directly rather than using the selected device).</w:t>
      </w:r>
    </w:p>
    <w:p>
      <w:pPr>
        <w:pStyle w:val="Heading1"/>
        <w:spacing w:after="160" w:before="360"/>
      </w:pPr>
      <w:r>
        <w:t xml:space="preserve">3. System Features (Functional Requirements)</w:t>
      </w:r>
    </w:p>
    <w:p>
      <w:pPr>
        <w:spacing w:after="160"/>
      </w:pPr>
      <w:r>
        <w:rPr>
          <w:sz w:val="22"/>
          <w:szCs w:val="22"/>
        </w:rPr>
        <w:t xml:space="preserve">Each feature below is tagged with its current implementation status: Implemented / Partial / Not implemented.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57"/>
        <w:gridCol w:w="5745"/>
        <w:gridCol w:w="2298"/>
      </w:tblGrid>
      <w:tr>
        <w:trPr>
          <w:tblHeader/>
        </w:trPr>
        <w:tc>
          <w:tcPr>
            <w:tcW w:type="dxa" w:w="957"/>
            <w:shd w:fill="1F3864" w:val="clear"/>
            <w:tcMar>
              <w:top w:type="dxa" w:w="60"/>
              <w:left w:type="dxa" w:w="100"/>
              <w:bottom w:type="dxa" w:w="60"/>
              <w:right w:type="dxa" w:w="100"/>
            </w:tcMar>
            <w:vAlign w:val="center"/>
          </w:tcPr>
          <w:p>
            <w:r>
              <w:rPr>
                <w:b/>
                <w:bCs/>
                <w:color w:val="FFFFFF"/>
                <w:sz w:val="19"/>
                <w:szCs w:val="19"/>
              </w:rPr>
              <w:t xml:space="preserve">#</w:t>
            </w:r>
          </w:p>
        </w:tc>
        <w:tc>
          <w:tcPr>
            <w:tcW w:type="dxa" w:w="5745"/>
            <w:shd w:fill="1F3864" w:val="clear"/>
            <w:tcMar>
              <w:top w:type="dxa" w:w="60"/>
              <w:left w:type="dxa" w:w="100"/>
              <w:bottom w:type="dxa" w:w="60"/>
              <w:right w:type="dxa" w:w="100"/>
            </w:tcMar>
            <w:vAlign w:val="center"/>
          </w:tcPr>
          <w:p>
            <w:r>
              <w:rPr>
                <w:b/>
                <w:bCs/>
                <w:color w:val="FFFFFF"/>
                <w:sz w:val="19"/>
                <w:szCs w:val="19"/>
              </w:rPr>
              <w:t xml:space="preserve">Feature area</w:t>
            </w:r>
          </w:p>
        </w:tc>
        <w:tc>
          <w:tcPr>
            <w:tcW w:type="dxa" w:w="2298"/>
            <w:shd w:fill="1F3864" w:val="clear"/>
            <w:tcMar>
              <w:top w:type="dxa" w:w="60"/>
              <w:left w:type="dxa" w:w="100"/>
              <w:bottom w:type="dxa" w:w="60"/>
              <w:right w:type="dxa" w:w="100"/>
            </w:tcMar>
            <w:vAlign w:val="center"/>
          </w:tcPr>
          <w:p>
            <w:r>
              <w:rPr>
                <w:b/>
                <w:bCs/>
                <w:color w:val="FFFFFF"/>
                <w:sz w:val="19"/>
                <w:szCs w:val="19"/>
              </w:rPr>
              <w:t xml:space="preserve">Status</w:t>
            </w:r>
          </w:p>
        </w:tc>
      </w:tr>
      <w:tr>
        <w:tc>
          <w:tcPr>
            <w:tcW w:type="dxa" w:w="957"/>
            <w:tcMar>
              <w:top w:type="dxa" w:w="60"/>
              <w:left w:type="dxa" w:w="100"/>
              <w:bottom w:type="dxa" w:w="60"/>
              <w:right w:type="dxa" w:w="100"/>
            </w:tcMar>
            <w:vAlign w:val="center"/>
          </w:tcPr>
          <w:p>
            <w:r>
              <w:rPr>
                <w:b w:val="false"/>
                <w:bCs w:val="false"/>
                <w:sz w:val="19"/>
                <w:szCs w:val="19"/>
              </w:rPr>
              <w:t xml:space="preserve">3.1</w:t>
            </w:r>
          </w:p>
        </w:tc>
        <w:tc>
          <w:tcPr>
            <w:tcW w:type="dxa" w:w="5745"/>
            <w:tcMar>
              <w:top w:type="dxa" w:w="60"/>
              <w:left w:type="dxa" w:w="100"/>
              <w:bottom w:type="dxa" w:w="60"/>
              <w:right w:type="dxa" w:w="100"/>
            </w:tcMar>
            <w:vAlign w:val="center"/>
          </w:tcPr>
          <w:p>
            <w:r>
              <w:rPr>
                <w:b w:val="false"/>
                <w:bCs w:val="false"/>
                <w:sz w:val="19"/>
                <w:szCs w:val="19"/>
              </w:rPr>
              <w:t xml:space="preserve">Authentication</w:t>
            </w:r>
          </w:p>
        </w:tc>
        <w:tc>
          <w:tcPr>
            <w:tcW w:type="dxa" w:w="2298"/>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957"/>
            <w:shd w:fill="F2F2F2" w:val="clear"/>
            <w:tcMar>
              <w:top w:type="dxa" w:w="60"/>
              <w:left w:type="dxa" w:w="100"/>
              <w:bottom w:type="dxa" w:w="60"/>
              <w:right w:type="dxa" w:w="100"/>
            </w:tcMar>
            <w:vAlign w:val="center"/>
          </w:tcPr>
          <w:p>
            <w:r>
              <w:rPr>
                <w:b w:val="false"/>
                <w:bCs w:val="false"/>
                <w:sz w:val="19"/>
                <w:szCs w:val="19"/>
              </w:rPr>
              <w:t xml:space="preserve">3.2</w:t>
            </w:r>
          </w:p>
        </w:tc>
        <w:tc>
          <w:tcPr>
            <w:tcW w:type="dxa" w:w="5745"/>
            <w:shd w:fill="F2F2F2" w:val="clear"/>
            <w:tcMar>
              <w:top w:type="dxa" w:w="60"/>
              <w:left w:type="dxa" w:w="100"/>
              <w:bottom w:type="dxa" w:w="60"/>
              <w:right w:type="dxa" w:w="100"/>
            </w:tcMar>
            <w:vAlign w:val="center"/>
          </w:tcPr>
          <w:p>
            <w:r>
              <w:rPr>
                <w:b w:val="false"/>
                <w:bCs w:val="false"/>
                <w:sz w:val="19"/>
                <w:szCs w:val="19"/>
              </w:rPr>
              <w:t xml:space="preserve">Device pairing</w:t>
            </w:r>
          </w:p>
        </w:tc>
        <w:tc>
          <w:tcPr>
            <w:tcW w:type="dxa" w:w="2298"/>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957"/>
            <w:tcMar>
              <w:top w:type="dxa" w:w="60"/>
              <w:left w:type="dxa" w:w="100"/>
              <w:bottom w:type="dxa" w:w="60"/>
              <w:right w:type="dxa" w:w="100"/>
            </w:tcMar>
            <w:vAlign w:val="center"/>
          </w:tcPr>
          <w:p>
            <w:r>
              <w:rPr>
                <w:b w:val="false"/>
                <w:bCs w:val="false"/>
                <w:sz w:val="19"/>
                <w:szCs w:val="19"/>
              </w:rPr>
              <w:t xml:space="preserve">3.3</w:t>
            </w:r>
          </w:p>
        </w:tc>
        <w:tc>
          <w:tcPr>
            <w:tcW w:type="dxa" w:w="5745"/>
            <w:tcMar>
              <w:top w:type="dxa" w:w="60"/>
              <w:left w:type="dxa" w:w="100"/>
              <w:bottom w:type="dxa" w:w="60"/>
              <w:right w:type="dxa" w:w="100"/>
            </w:tcMar>
            <w:vAlign w:val="center"/>
          </w:tcPr>
          <w:p>
            <w:r>
              <w:rPr>
                <w:b w:val="false"/>
                <w:bCs w:val="false"/>
                <w:sz w:val="19"/>
                <w:szCs w:val="19"/>
              </w:rPr>
              <w:t xml:space="preserve">Telemetry ingestion</w:t>
            </w:r>
          </w:p>
        </w:tc>
        <w:tc>
          <w:tcPr>
            <w:tcW w:type="dxa" w:w="2298"/>
            <w:tcMar>
              <w:top w:type="dxa" w:w="60"/>
              <w:left w:type="dxa" w:w="100"/>
              <w:bottom w:type="dxa" w:w="60"/>
              <w:right w:type="dxa" w:w="100"/>
            </w:tcMar>
            <w:vAlign w:val="center"/>
          </w:tcPr>
          <w:p>
            <w:r>
              <w:rPr>
                <w:b w:val="false"/>
                <w:bCs w:val="false"/>
                <w:color w:val="2E7D32"/>
                <w:sz w:val="19"/>
                <w:szCs w:val="19"/>
              </w:rPr>
              <w:t xml:space="preserve">Implemented (contract unconfirmed)</w:t>
            </w:r>
          </w:p>
        </w:tc>
      </w:tr>
      <w:tr>
        <w:tc>
          <w:tcPr>
            <w:tcW w:type="dxa" w:w="957"/>
            <w:shd w:fill="F2F2F2" w:val="clear"/>
            <w:tcMar>
              <w:top w:type="dxa" w:w="60"/>
              <w:left w:type="dxa" w:w="100"/>
              <w:bottom w:type="dxa" w:w="60"/>
              <w:right w:type="dxa" w:w="100"/>
            </w:tcMar>
            <w:vAlign w:val="center"/>
          </w:tcPr>
          <w:p>
            <w:r>
              <w:rPr>
                <w:b w:val="false"/>
                <w:bCs w:val="false"/>
                <w:sz w:val="19"/>
                <w:szCs w:val="19"/>
              </w:rPr>
              <w:t xml:space="preserve">3.4</w:t>
            </w:r>
          </w:p>
        </w:tc>
        <w:tc>
          <w:tcPr>
            <w:tcW w:type="dxa" w:w="5745"/>
            <w:shd w:fill="F2F2F2" w:val="clear"/>
            <w:tcMar>
              <w:top w:type="dxa" w:w="60"/>
              <w:left w:type="dxa" w:w="100"/>
              <w:bottom w:type="dxa" w:w="60"/>
              <w:right w:type="dxa" w:w="100"/>
            </w:tcMar>
            <w:vAlign w:val="center"/>
          </w:tcPr>
          <w:p>
            <w:r>
              <w:rPr>
                <w:b w:val="false"/>
                <w:bCs w:val="false"/>
                <w:sz w:val="19"/>
                <w:szCs w:val="19"/>
              </w:rPr>
              <w:t xml:space="preserve">Historical + current readings API</w:t>
            </w:r>
          </w:p>
        </w:tc>
        <w:tc>
          <w:tcPr>
            <w:tcW w:type="dxa" w:w="2298"/>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957"/>
            <w:tcMar>
              <w:top w:type="dxa" w:w="60"/>
              <w:left w:type="dxa" w:w="100"/>
              <w:bottom w:type="dxa" w:w="60"/>
              <w:right w:type="dxa" w:w="100"/>
            </w:tcMar>
            <w:vAlign w:val="center"/>
          </w:tcPr>
          <w:p>
            <w:r>
              <w:rPr>
                <w:b w:val="false"/>
                <w:bCs w:val="false"/>
                <w:sz w:val="19"/>
                <w:szCs w:val="19"/>
              </w:rPr>
              <w:t xml:space="preserve">3.5</w:t>
            </w:r>
          </w:p>
        </w:tc>
        <w:tc>
          <w:tcPr>
            <w:tcW w:type="dxa" w:w="5745"/>
            <w:tcMar>
              <w:top w:type="dxa" w:w="60"/>
              <w:left w:type="dxa" w:w="100"/>
              <w:bottom w:type="dxa" w:w="60"/>
              <w:right w:type="dxa" w:w="100"/>
            </w:tcMar>
            <w:vAlign w:val="center"/>
          </w:tcPr>
          <w:p>
            <w:r>
              <w:rPr>
                <w:b w:val="false"/>
                <w:bCs w:val="false"/>
                <w:sz w:val="19"/>
                <w:szCs w:val="19"/>
              </w:rPr>
              <w:t xml:space="preserve">Realtime updates</w:t>
            </w:r>
          </w:p>
        </w:tc>
        <w:tc>
          <w:tcPr>
            <w:tcW w:type="dxa" w:w="2298"/>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957"/>
            <w:shd w:fill="F2F2F2" w:val="clear"/>
            <w:tcMar>
              <w:top w:type="dxa" w:w="60"/>
              <w:left w:type="dxa" w:w="100"/>
              <w:bottom w:type="dxa" w:w="60"/>
              <w:right w:type="dxa" w:w="100"/>
            </w:tcMar>
            <w:vAlign w:val="center"/>
          </w:tcPr>
          <w:p>
            <w:r>
              <w:rPr>
                <w:b w:val="false"/>
                <w:bCs w:val="false"/>
                <w:sz w:val="19"/>
                <w:szCs w:val="19"/>
              </w:rPr>
              <w:t xml:space="preserve">3.6</w:t>
            </w:r>
          </w:p>
        </w:tc>
        <w:tc>
          <w:tcPr>
            <w:tcW w:type="dxa" w:w="5745"/>
            <w:shd w:fill="F2F2F2" w:val="clear"/>
            <w:tcMar>
              <w:top w:type="dxa" w:w="60"/>
              <w:left w:type="dxa" w:w="100"/>
              <w:bottom w:type="dxa" w:w="60"/>
              <w:right w:type="dxa" w:w="100"/>
            </w:tcMar>
            <w:vAlign w:val="center"/>
          </w:tcPr>
          <w:p>
            <w:r>
              <w:rPr>
                <w:b w:val="false"/>
                <w:bCs w:val="false"/>
                <w:sz w:val="19"/>
                <w:szCs w:val="19"/>
              </w:rPr>
              <w:t xml:space="preserve">Dashboard screen</w:t>
            </w:r>
          </w:p>
        </w:tc>
        <w:tc>
          <w:tcPr>
            <w:tcW w:type="dxa" w:w="2298"/>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957"/>
            <w:tcMar>
              <w:top w:type="dxa" w:w="60"/>
              <w:left w:type="dxa" w:w="100"/>
              <w:bottom w:type="dxa" w:w="60"/>
              <w:right w:type="dxa" w:w="100"/>
            </w:tcMar>
            <w:vAlign w:val="center"/>
          </w:tcPr>
          <w:p>
            <w:r>
              <w:rPr>
                <w:b w:val="false"/>
                <w:bCs w:val="false"/>
                <w:sz w:val="19"/>
                <w:szCs w:val="19"/>
              </w:rPr>
              <w:t xml:space="preserve">3.7</w:t>
            </w:r>
          </w:p>
        </w:tc>
        <w:tc>
          <w:tcPr>
            <w:tcW w:type="dxa" w:w="5745"/>
            <w:tcMar>
              <w:top w:type="dxa" w:w="60"/>
              <w:left w:type="dxa" w:w="100"/>
              <w:bottom w:type="dxa" w:w="60"/>
              <w:right w:type="dxa" w:w="100"/>
            </w:tcMar>
            <w:vAlign w:val="center"/>
          </w:tcPr>
          <w:p>
            <w:r>
              <w:rPr>
                <w:b w:val="false"/>
                <w:bCs w:val="false"/>
                <w:sz w:val="19"/>
                <w:szCs w:val="19"/>
              </w:rPr>
              <w:t xml:space="preserve">Environment (air quality) screen</w:t>
            </w:r>
          </w:p>
        </w:tc>
        <w:tc>
          <w:tcPr>
            <w:tcW w:type="dxa" w:w="2298"/>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957"/>
            <w:shd w:fill="F2F2F2" w:val="clear"/>
            <w:tcMar>
              <w:top w:type="dxa" w:w="60"/>
              <w:left w:type="dxa" w:w="100"/>
              <w:bottom w:type="dxa" w:w="60"/>
              <w:right w:type="dxa" w:w="100"/>
            </w:tcMar>
            <w:vAlign w:val="center"/>
          </w:tcPr>
          <w:p>
            <w:r>
              <w:rPr>
                <w:b w:val="false"/>
                <w:bCs w:val="false"/>
                <w:sz w:val="19"/>
                <w:szCs w:val="19"/>
              </w:rPr>
              <w:t xml:space="preserve">3.8</w:t>
            </w:r>
          </w:p>
        </w:tc>
        <w:tc>
          <w:tcPr>
            <w:tcW w:type="dxa" w:w="5745"/>
            <w:shd w:fill="F2F2F2" w:val="clear"/>
            <w:tcMar>
              <w:top w:type="dxa" w:w="60"/>
              <w:left w:type="dxa" w:w="100"/>
              <w:bottom w:type="dxa" w:w="60"/>
              <w:right w:type="dxa" w:w="100"/>
            </w:tcMar>
            <w:vAlign w:val="center"/>
          </w:tcPr>
          <w:p>
            <w:r>
              <w:rPr>
                <w:b w:val="false"/>
                <w:bCs w:val="false"/>
                <w:sz w:val="19"/>
                <w:szCs w:val="19"/>
              </w:rPr>
              <w:t xml:space="preserve">Internal (bioreactor) screen</w:t>
            </w:r>
          </w:p>
        </w:tc>
        <w:tc>
          <w:tcPr>
            <w:tcW w:type="dxa" w:w="2298"/>
            <w:shd w:fill="F2F2F2" w:val="clear"/>
            <w:tcMar>
              <w:top w:type="dxa" w:w="60"/>
              <w:left w:type="dxa" w:w="100"/>
              <w:bottom w:type="dxa" w:w="60"/>
              <w:right w:type="dxa" w:w="100"/>
            </w:tcMar>
            <w:vAlign w:val="center"/>
          </w:tcPr>
          <w:p>
            <w:r>
              <w:rPr>
                <w:b w:val="false"/>
                <w:bCs w:val="false"/>
                <w:color w:val="BF8F00"/>
                <w:sz w:val="19"/>
                <w:szCs w:val="19"/>
              </w:rPr>
              <w:t xml:space="preserve">Implemented (contamination detection is a stub)</w:t>
            </w:r>
          </w:p>
        </w:tc>
      </w:tr>
      <w:tr>
        <w:tc>
          <w:tcPr>
            <w:tcW w:type="dxa" w:w="957"/>
            <w:tcMar>
              <w:top w:type="dxa" w:w="60"/>
              <w:left w:type="dxa" w:w="100"/>
              <w:bottom w:type="dxa" w:w="60"/>
              <w:right w:type="dxa" w:w="100"/>
            </w:tcMar>
            <w:vAlign w:val="center"/>
          </w:tcPr>
          <w:p>
            <w:r>
              <w:rPr>
                <w:b w:val="false"/>
                <w:bCs w:val="false"/>
                <w:sz w:val="19"/>
                <w:szCs w:val="19"/>
              </w:rPr>
              <w:t xml:space="preserve">3.9</w:t>
            </w:r>
          </w:p>
        </w:tc>
        <w:tc>
          <w:tcPr>
            <w:tcW w:type="dxa" w:w="5745"/>
            <w:tcMar>
              <w:top w:type="dxa" w:w="60"/>
              <w:left w:type="dxa" w:w="100"/>
              <w:bottom w:type="dxa" w:w="60"/>
              <w:right w:type="dxa" w:w="100"/>
            </w:tcMar>
            <w:vAlign w:val="center"/>
          </w:tcPr>
          <w:p>
            <w:r>
              <w:rPr>
                <w:b w:val="false"/>
                <w:bCs w:val="false"/>
                <w:sz w:val="19"/>
                <w:szCs w:val="19"/>
              </w:rPr>
              <w:t xml:space="preserve">Maintenance &amp; Records screen</w:t>
            </w:r>
          </w:p>
        </w:tc>
        <w:tc>
          <w:tcPr>
            <w:tcW w:type="dxa" w:w="2298"/>
            <w:tcMar>
              <w:top w:type="dxa" w:w="60"/>
              <w:left w:type="dxa" w:w="100"/>
              <w:bottom w:type="dxa" w:w="60"/>
              <w:right w:type="dxa" w:w="100"/>
            </w:tcMar>
            <w:vAlign w:val="center"/>
          </w:tcPr>
          <w:p>
            <w:r>
              <w:rPr>
                <w:b w:val="false"/>
                <w:bCs w:val="false"/>
                <w:color w:val="2E7D32"/>
                <w:sz w:val="19"/>
                <w:szCs w:val="19"/>
              </w:rPr>
              <w:t xml:space="preserve">Implemented (turbidity-aware harvest + fixed intervals)</w:t>
            </w:r>
          </w:p>
        </w:tc>
      </w:tr>
      <w:tr>
        <w:tc>
          <w:tcPr>
            <w:tcW w:type="dxa" w:w="957"/>
            <w:shd w:fill="F2F2F2" w:val="clear"/>
            <w:tcMar>
              <w:top w:type="dxa" w:w="60"/>
              <w:left w:type="dxa" w:w="100"/>
              <w:bottom w:type="dxa" w:w="60"/>
              <w:right w:type="dxa" w:w="100"/>
            </w:tcMar>
            <w:vAlign w:val="center"/>
          </w:tcPr>
          <w:p>
            <w:r>
              <w:rPr>
                <w:b w:val="false"/>
                <w:bCs w:val="false"/>
                <w:sz w:val="19"/>
                <w:szCs w:val="19"/>
              </w:rPr>
              <w:t xml:space="preserve">3.10</w:t>
            </w:r>
          </w:p>
        </w:tc>
        <w:tc>
          <w:tcPr>
            <w:tcW w:type="dxa" w:w="5745"/>
            <w:shd w:fill="F2F2F2" w:val="clear"/>
            <w:tcMar>
              <w:top w:type="dxa" w:w="60"/>
              <w:left w:type="dxa" w:w="100"/>
              <w:bottom w:type="dxa" w:w="60"/>
              <w:right w:type="dxa" w:w="100"/>
            </w:tcMar>
            <w:vAlign w:val="center"/>
          </w:tcPr>
          <w:p>
            <w:r>
              <w:rPr>
                <w:b w:val="false"/>
                <w:bCs w:val="false"/>
                <w:sz w:val="19"/>
                <w:szCs w:val="19"/>
              </w:rPr>
              <w:t xml:space="preserve">Alerting</w:t>
            </w:r>
          </w:p>
        </w:tc>
        <w:tc>
          <w:tcPr>
            <w:tcW w:type="dxa" w:w="2298"/>
            <w:shd w:fill="F2F2F2" w:val="clear"/>
            <w:tcMar>
              <w:top w:type="dxa" w:w="60"/>
              <w:left w:type="dxa" w:w="100"/>
              <w:bottom w:type="dxa" w:w="60"/>
              <w:right w:type="dxa" w:w="100"/>
            </w:tcMar>
            <w:vAlign w:val="center"/>
          </w:tcPr>
          <w:p>
            <w:r>
              <w:rPr>
                <w:b w:val="false"/>
                <w:bCs w:val="false"/>
                <w:color w:val="2E7D32"/>
                <w:sz w:val="19"/>
                <w:szCs w:val="19"/>
              </w:rPr>
              <w:t xml:space="preserve">Implemented (push notifications + per-device thresholds)</w:t>
            </w:r>
          </w:p>
        </w:tc>
      </w:tr>
      <w:tr>
        <w:tc>
          <w:tcPr>
            <w:tcW w:type="dxa" w:w="957"/>
            <w:tcMar>
              <w:top w:type="dxa" w:w="60"/>
              <w:left w:type="dxa" w:w="100"/>
              <w:bottom w:type="dxa" w:w="60"/>
              <w:right w:type="dxa" w:w="100"/>
            </w:tcMar>
            <w:vAlign w:val="center"/>
          </w:tcPr>
          <w:p>
            <w:r>
              <w:rPr>
                <w:b w:val="false"/>
                <w:bCs w:val="false"/>
                <w:sz w:val="19"/>
                <w:szCs w:val="19"/>
              </w:rPr>
              <w:t xml:space="preserve">3.11</w:t>
            </w:r>
          </w:p>
        </w:tc>
        <w:tc>
          <w:tcPr>
            <w:tcW w:type="dxa" w:w="5745"/>
            <w:tcMar>
              <w:top w:type="dxa" w:w="60"/>
              <w:left w:type="dxa" w:w="100"/>
              <w:bottom w:type="dxa" w:w="60"/>
              <w:right w:type="dxa" w:w="100"/>
            </w:tcMar>
            <w:vAlign w:val="center"/>
          </w:tcPr>
          <w:p>
            <w:r>
              <w:rPr>
                <w:b w:val="false"/>
                <w:bCs w:val="false"/>
                <w:sz w:val="19"/>
                <w:szCs w:val="19"/>
              </w:rPr>
              <w:t xml:space="preserve">Profile screen</w:t>
            </w:r>
          </w:p>
        </w:tc>
        <w:tc>
          <w:tcPr>
            <w:tcW w:type="dxa" w:w="2298"/>
            <w:tcMar>
              <w:top w:type="dxa" w:w="60"/>
              <w:left w:type="dxa" w:w="100"/>
              <w:bottom w:type="dxa" w:w="60"/>
              <w:right w:type="dxa" w:w="100"/>
            </w:tcMar>
            <w:vAlign w:val="center"/>
          </w:tcPr>
          <w:p>
            <w:r>
              <w:rPr>
                <w:b w:val="false"/>
                <w:bCs w:val="false"/>
                <w:color w:val="BF8F00"/>
                <w:sz w:val="19"/>
                <w:szCs w:val="19"/>
              </w:rPr>
              <w:t xml:space="preserve">Partial (several rows are stubs)</w:t>
            </w:r>
          </w:p>
        </w:tc>
      </w:tr>
      <w:tr>
        <w:tc>
          <w:tcPr>
            <w:tcW w:type="dxa" w:w="957"/>
            <w:shd w:fill="F2F2F2" w:val="clear"/>
            <w:tcMar>
              <w:top w:type="dxa" w:w="60"/>
              <w:left w:type="dxa" w:w="100"/>
              <w:bottom w:type="dxa" w:w="60"/>
              <w:right w:type="dxa" w:w="100"/>
            </w:tcMar>
            <w:vAlign w:val="center"/>
          </w:tcPr>
          <w:p>
            <w:r>
              <w:rPr>
                <w:b w:val="false"/>
                <w:bCs w:val="false"/>
                <w:sz w:val="19"/>
                <w:szCs w:val="19"/>
              </w:rPr>
              <w:t xml:space="preserve">3.12</w:t>
            </w:r>
          </w:p>
        </w:tc>
        <w:tc>
          <w:tcPr>
            <w:tcW w:type="dxa" w:w="5745"/>
            <w:shd w:fill="F2F2F2" w:val="clear"/>
            <w:tcMar>
              <w:top w:type="dxa" w:w="60"/>
              <w:left w:type="dxa" w:w="100"/>
              <w:bottom w:type="dxa" w:w="60"/>
              <w:right w:type="dxa" w:w="100"/>
            </w:tcMar>
            <w:vAlign w:val="center"/>
          </w:tcPr>
          <w:p>
            <w:r>
              <w:rPr>
                <w:b w:val="false"/>
                <w:bCs w:val="false"/>
                <w:sz w:val="19"/>
                <w:szCs w:val="19"/>
              </w:rPr>
              <w:t xml:space="preserve">Theming</w:t>
            </w:r>
          </w:p>
        </w:tc>
        <w:tc>
          <w:tcPr>
            <w:tcW w:type="dxa" w:w="2298"/>
            <w:shd w:fill="F2F2F2" w:val="clear"/>
            <w:tcMar>
              <w:top w:type="dxa" w:w="60"/>
              <w:left w:type="dxa" w:w="100"/>
              <w:bottom w:type="dxa" w:w="60"/>
              <w:right w:type="dxa" w:w="100"/>
            </w:tcMar>
            <w:vAlign w:val="center"/>
          </w:tcPr>
          <w:p>
            <w:r>
              <w:rPr>
                <w:b w:val="false"/>
                <w:bCs w:val="false"/>
                <w:color w:val="BF8F00"/>
                <w:sz w:val="19"/>
                <w:szCs w:val="19"/>
              </w:rPr>
              <w:t xml:space="preserve">Implemented (dark mode only)</w:t>
            </w:r>
          </w:p>
        </w:tc>
      </w:tr>
      <w:tr>
        <w:tc>
          <w:tcPr>
            <w:tcW w:type="dxa" w:w="957"/>
            <w:tcMar>
              <w:top w:type="dxa" w:w="60"/>
              <w:left w:type="dxa" w:w="100"/>
              <w:bottom w:type="dxa" w:w="60"/>
              <w:right w:type="dxa" w:w="100"/>
            </w:tcMar>
            <w:vAlign w:val="center"/>
          </w:tcPr>
          <w:p>
            <w:r>
              <w:rPr>
                <w:b w:val="false"/>
                <w:bCs w:val="false"/>
                <w:sz w:val="19"/>
                <w:szCs w:val="19"/>
              </w:rPr>
              <w:t xml:space="preserve">3.13</w:t>
            </w:r>
          </w:p>
        </w:tc>
        <w:tc>
          <w:tcPr>
            <w:tcW w:type="dxa" w:w="5745"/>
            <w:tcMar>
              <w:top w:type="dxa" w:w="60"/>
              <w:left w:type="dxa" w:w="100"/>
              <w:bottom w:type="dxa" w:w="60"/>
              <w:right w:type="dxa" w:w="100"/>
            </w:tcMar>
            <w:vAlign w:val="center"/>
          </w:tcPr>
          <w:p>
            <w:r>
              <w:rPr>
                <w:b w:val="false"/>
                <w:bCs w:val="false"/>
                <w:sz w:val="19"/>
                <w:szCs w:val="19"/>
              </w:rPr>
              <w:t xml:space="preserve">Actuator control (lighting &amp; bubbling)</w:t>
            </w:r>
          </w:p>
        </w:tc>
        <w:tc>
          <w:tcPr>
            <w:tcW w:type="dxa" w:w="2298"/>
            <w:tcMar>
              <w:top w:type="dxa" w:w="60"/>
              <w:left w:type="dxa" w:w="100"/>
              <w:bottom w:type="dxa" w:w="60"/>
              <w:right w:type="dxa" w:w="100"/>
            </w:tcMar>
            <w:vAlign w:val="center"/>
          </w:tcPr>
          <w:p>
            <w:r>
              <w:rPr>
                <w:b w:val="false"/>
                <w:bCs w:val="false"/>
                <w:color w:val="2E7D32"/>
                <w:sz w:val="19"/>
                <w:szCs w:val="19"/>
              </w:rPr>
              <w:t xml:space="preserve">Implemented</w:t>
            </w:r>
          </w:p>
        </w:tc>
      </w:tr>
    </w:tbl>
    <w:p>
      <w:pPr>
        <w:spacing w:after="120"/>
      </w:pPr>
    </w:p>
    <w:p>
      <w:pPr>
        <w:pStyle w:val="Heading2"/>
        <w:spacing w:after="120" w:before="280"/>
      </w:pPr>
      <w:r>
        <w:t xml:space="preserve">3.1 Authentication — Implemented</w:t>
      </w:r>
    </w:p>
    <w:p>
      <w:pPr>
        <w:pStyle w:val="ListParagraph"/>
        <w:numPr>
          <w:ilvl w:val="0"/>
          <w:numId w:val="1"/>
        </w:numPr>
        <w:spacing w:after="80"/>
      </w:pPr>
      <w:r>
        <w:rPr>
          <w:sz w:val="22"/>
          <w:szCs w:val="22"/>
        </w:rPr>
        <w:t xml:space="preserve">FR-1.1: A visitor can create an account with email + password (POST /auth/signup, SignupScreen.tsx) and is taken straight into device pairing afterward — no separate login step.</w:t>
      </w:r>
    </w:p>
    <w:p>
      <w:pPr>
        <w:pStyle w:val="ListParagraph"/>
        <w:numPr>
          <w:ilvl w:val="0"/>
          <w:numId w:val="1"/>
        </w:numPr>
        <w:spacing w:after="80"/>
      </w:pPr>
      <w:r>
        <w:rPr>
          <w:sz w:val="22"/>
          <w:szCs w:val="22"/>
        </w:rPr>
        <w:t xml:space="preserve">FR-1.2: A user can log in with email + password (POST /auth/login, LoginScreen.tsx), with a link across to Signup for a visitor with no account yet.</w:t>
      </w:r>
    </w:p>
    <w:p>
      <w:pPr>
        <w:pStyle w:val="ListParagraph"/>
        <w:numPr>
          <w:ilvl w:val="0"/>
          <w:numId w:val="1"/>
        </w:numPr>
        <w:spacing w:after="80"/>
      </w:pPr>
      <w:r>
        <w:rPr>
          <w:sz w:val="22"/>
          <w:szCs w:val="22"/>
        </w:rPr>
        <w:t xml:space="preserve">FR-1.3: Passwords are hashed with bcrypt (12 salt rounds), never stored or logged in plaintext.</w:t>
      </w:r>
    </w:p>
    <w:p>
      <w:pPr>
        <w:pStyle w:val="ListParagraph"/>
        <w:numPr>
          <w:ilvl w:val="0"/>
          <w:numId w:val="1"/>
        </w:numPr>
        <w:spacing w:after="80"/>
      </w:pPr>
      <w:r>
        <w:rPr>
          <w:sz w:val="22"/>
          <w:szCs w:val="22"/>
        </w:rPr>
        <w:t xml:space="preserve">FR-1.4: The app holds a short-lived access token (15 min default) and a long-lived refresh token (7 days default); the API client transparently refreshes on a 401 and retries the original request once.</w:t>
      </w:r>
    </w:p>
    <w:p>
      <w:pPr>
        <w:pStyle w:val="ListParagraph"/>
        <w:numPr>
          <w:ilvl w:val="0"/>
          <w:numId w:val="1"/>
        </w:numPr>
        <w:spacing w:after="80"/>
      </w:pPr>
      <w:r>
        <w:rPr>
          <w:sz w:val="22"/>
          <w:szCs w:val="22"/>
        </w:rPr>
        <w:t xml:space="preserve">FR-1.5: A user can invalidate all outstanding refresh tokens ("log out everywhere") via POST /auth/logout-all, implemented as a tokenVersion bump rather than a token blacklist table.</w:t>
      </w:r>
    </w:p>
    <w:p>
      <w:pPr>
        <w:pStyle w:val="ListParagraph"/>
        <w:numPr>
          <w:ilvl w:val="0"/>
          <w:numId w:val="1"/>
        </w:numPr>
        <w:spacing w:after="80"/>
      </w:pPr>
      <w:r>
        <w:rPr>
          <w:sz w:val="22"/>
          <w:szCs w:val="22"/>
        </w:rPr>
        <w:t xml:space="preserve">FR-1.6: Login errors are deliberately generic ("Invalid email or password") — the system does not reveal whether an email is registered.</w:t>
      </w:r>
    </w:p>
    <w:p>
      <w:pPr>
        <w:pStyle w:val="Heading2"/>
        <w:spacing w:after="120" w:before="280"/>
      </w:pPr>
      <w:r>
        <w:t xml:space="preserve">3.2 Device pairing — Implemented</w:t>
      </w:r>
    </w:p>
    <w:p>
      <w:pPr>
        <w:pStyle w:val="ListParagraph"/>
        <w:numPr>
          <w:ilvl w:val="0"/>
          <w:numId w:val="1"/>
        </w:numPr>
        <w:spacing w:after="80"/>
      </w:pPr>
      <w:r>
        <w:rPr>
          <w:sz w:val="22"/>
          <w:szCs w:val="22"/>
        </w:rPr>
        <w:t xml:space="preserve">FR-2.1: A device record is auto-created (unclaimed, ownerId: null) the first time it publishes MQTT telemetry, so ingestion never blocks on a user pairing it first.</w:t>
      </w:r>
    </w:p>
    <w:p>
      <w:pPr>
        <w:pStyle w:val="ListParagraph"/>
        <w:numPr>
          <w:ilvl w:val="0"/>
          <w:numId w:val="1"/>
        </w:numPr>
        <w:spacing w:after="80"/>
      </w:pPr>
      <w:r>
        <w:rPr>
          <w:sz w:val="22"/>
          <w:szCs w:val="22"/>
        </w:rPr>
        <w:t xml:space="preserve">FR-2.2: A user can pair a device to their account by its deviceCode (POST /devices/pair, DevicePairingScreen.tsx) — claims an unclaimed device, or creates the record if telemetry hasn't arrived yet.</w:t>
      </w:r>
    </w:p>
    <w:p>
      <w:pPr>
        <w:pStyle w:val="ListParagraph"/>
        <w:numPr>
          <w:ilvl w:val="0"/>
          <w:numId w:val="1"/>
        </w:numPr>
        <w:spacing w:after="80"/>
      </w:pPr>
      <w:r>
        <w:rPr>
          <w:sz w:val="22"/>
          <w:szCs w:val="22"/>
        </w:rPr>
        <w:t xml:space="preserve">FR-2.3: Pairing a device already claimed by a different account is rejected (409), surfaced in the pairing screen as a readable error.</w:t>
      </w:r>
    </w:p>
    <w:p>
      <w:pPr>
        <w:pStyle w:val="ListParagraph"/>
        <w:numPr>
          <w:ilvl w:val="0"/>
          <w:numId w:val="1"/>
        </w:numPr>
        <w:spacing w:after="80"/>
      </w:pPr>
      <w:r>
        <w:rPr>
          <w:sz w:val="22"/>
          <w:szCs w:val="22"/>
        </w:rPr>
        <w:t xml:space="preserve">FR-2.4: A user can unpair a device (DELETE /devices/:id/pair) — backend only, still no unpair UI (see below).</w:t>
      </w:r>
    </w:p>
    <w:p>
      <w:pPr>
        <w:pStyle w:val="ListParagraph"/>
        <w:numPr>
          <w:ilvl w:val="0"/>
          <w:numId w:val="1"/>
        </w:numPr>
        <w:spacing w:after="80"/>
      </w:pPr>
      <w:r>
        <w:rPr>
          <w:sz w:val="22"/>
          <w:szCs w:val="22"/>
        </w:rPr>
        <w:t xml:space="preserve">FR-2.5: A user can list their paired devices (GET /devices).</w:t>
      </w:r>
    </w:p>
    <w:p>
      <w:pPr>
        <w:pStyle w:val="ListParagraph"/>
        <w:numPr>
          <w:ilvl w:val="0"/>
          <w:numId w:val="1"/>
        </w:numPr>
        <w:spacing w:after="80"/>
      </w:pPr>
      <w:r>
        <w:rPr>
          <w:sz w:val="22"/>
          <w:szCs w:val="22"/>
        </w:rPr>
        <w:t xml:space="preserve">FR-2.6: RootNavigator gates on session + device state: no session → Login/Signup stack; a session with zero paired devices → DevicePairingScreen (replaces Main entirely, not reachable from within it); a session with ≥1 device → Main. The device-check effect keys off Boolean(accessToken), not the token string, so a silent 401-refresh token rotation never re-triggers it mid-session.</w:t>
      </w:r>
    </w:p>
    <w:p>
      <w:pPr>
        <w:pBdr>
          <w:left w:val="single" w:color="BF8F00" w:sz="12" w:space="8"/>
        </w:pBdr>
        <w:spacing w:after="160"/>
        <w:ind w:left="360"/>
      </w:pPr>
      <w:r>
        <w:rPr>
          <w:i/>
          <w:iCs/>
          <w:color w:val="BF8F00"/>
          <w:sz w:val="20"/>
          <w:szCs w:val="20"/>
        </w:rPr>
      </w:r>
    </w:p>
    <w:p>
      <w:pPr>
        <w:pStyle w:val="Heading2"/>
        <w:spacing w:after="120" w:before="280"/>
      </w:pPr>
      <w:r>
        <w:t xml:space="preserve">3.3 Telemetry ingestion — Implemented (contract unconfirmed)</w:t>
      </w:r>
    </w:p>
    <w:p>
      <w:pPr>
        <w:pStyle w:val="ListParagraph"/>
        <w:numPr>
          <w:ilvl w:val="0"/>
          <w:numId w:val="1"/>
        </w:numPr>
        <w:spacing w:after="80"/>
      </w:pPr>
      <w:r>
        <w:rPr>
          <w:sz w:val="22"/>
          <w:szCs w:val="22"/>
        </w:rPr>
        <w:t xml:space="preserve">FR-3.1: The backend subscribes to aura/+/telemetry on the configured MQTT broker and accepts a JSON payload per the schema in §6.2.</w:t>
      </w:r>
    </w:p>
    <w:p>
      <w:pPr>
        <w:pStyle w:val="ListParagraph"/>
        <w:numPr>
          <w:ilvl w:val="0"/>
          <w:numId w:val="1"/>
        </w:numPr>
        <w:spacing w:after="80"/>
      </w:pPr>
      <w:r>
        <w:rPr>
          <w:sz w:val="22"/>
          <w:szCs w:val="22"/>
        </w:rPr>
        <w:t xml:space="preserve">FR-3.2: Each metric value is validated against a physical sane-range (§6.2 table); out-of-range or non-numeric values are dropped and logged, not written.</w:t>
      </w:r>
    </w:p>
    <w:p>
      <w:pPr>
        <w:pStyle w:val="ListParagraph"/>
        <w:numPr>
          <w:ilvl w:val="0"/>
          <w:numId w:val="1"/>
        </w:numPr>
        <w:spacing w:after="80"/>
      </w:pPr>
      <w:r>
        <w:rPr>
          <w:sz w:val="22"/>
          <w:szCs w:val="22"/>
        </w:rPr>
        <w:t xml:space="preserve">FR-3.3: A malformed (non-JSON, or schema-invalid) message is discarded and logged; it never crashes the ingestion process or blocks subsequent messages.</w:t>
      </w:r>
    </w:p>
    <w:p>
      <w:pPr>
        <w:pStyle w:val="ListParagraph"/>
        <w:numPr>
          <w:ilvl w:val="0"/>
          <w:numId w:val="1"/>
        </w:numPr>
        <w:spacing w:after="80"/>
      </w:pPr>
      <w:r>
        <w:rPr>
          <w:sz w:val="22"/>
          <w:szCs w:val="22"/>
        </w:rPr>
        <w:t xml:space="preserve">FR-3.4: A successful ingest updates the device's status to active and lastSeenAt, caches the latest value per metric in Redis (for the "current readings" endpoint), and emits an internal event that both the alert engine and the realtime gateway react to.</w:t>
      </w:r>
    </w:p>
    <w:p>
      <w:pPr>
        <w:pStyle w:val="ListParagraph"/>
        <w:numPr>
          <w:ilvl w:val="0"/>
          <w:numId w:val="1"/>
        </w:numPr>
        <w:spacing w:after="80"/>
      </w:pPr>
      <w:r>
        <w:rPr>
          <w:sz w:val="22"/>
          <w:szCs w:val="22"/>
        </w:rPr>
        <w:t xml:space="preserve">FR-3.5: Devices not heard from for 120 seconds are treated as offline by anything reading the Redis heartbeat key (soft TTL, not a hard "mark offline" job).</w:t>
      </w:r>
    </w:p>
    <w:p>
      <w:pPr>
        <w:pStyle w:val="Heading2"/>
        <w:spacing w:after="120" w:before="280"/>
      </w:pPr>
      <w:r>
        <w:t xml:space="preserve">3.4 Historical + current readings API — Implemented</w:t>
      </w:r>
    </w:p>
    <w:p>
      <w:pPr>
        <w:pStyle w:val="ListParagraph"/>
        <w:numPr>
          <w:ilvl w:val="0"/>
          <w:numId w:val="1"/>
        </w:numPr>
        <w:spacing w:after="80"/>
      </w:pPr>
      <w:r>
        <w:rPr>
          <w:sz w:val="22"/>
          <w:szCs w:val="22"/>
        </w:rPr>
        <w:t xml:space="preserve">FR-4.1: GET /devices/:id/readings returns bucketed readings (avg/min/max/count) at a requested granularity (1h, 1d, or 1w), optionally filtered by metric and time range.</w:t>
      </w:r>
    </w:p>
    <w:p>
      <w:pPr>
        <w:pStyle w:val="ListParagraph"/>
        <w:numPr>
          <w:ilvl w:val="0"/>
          <w:numId w:val="1"/>
        </w:numPr>
        <w:spacing w:after="80"/>
      </w:pPr>
      <w:r>
        <w:rPr>
          <w:sz w:val="22"/>
          <w:szCs w:val="22"/>
        </w:rPr>
        <w:t xml:space="preserve">FR-4.2: GET /devices/:id/current returns the latest cached value per metric plus online/offline status and last-seen time.</w:t>
      </w:r>
    </w:p>
    <w:p>
      <w:pPr>
        <w:pStyle w:val="ListParagraph"/>
        <w:numPr>
          <w:ilvl w:val="0"/>
          <w:numId w:val="1"/>
        </w:numPr>
        <w:spacing w:after="80"/>
      </w:pPr>
      <w:r>
        <w:rPr>
          <w:sz w:val="22"/>
          <w:szCs w:val="22"/>
        </w:rPr>
        <w:t xml:space="preserve">FR-4.3: Both endpoints enforce device ownership — a user can only query a device they own (403/404 otherwise).</w:t>
      </w:r>
    </w:p>
    <w:p>
      <w:pPr>
        <w:pStyle w:val="Heading2"/>
        <w:spacing w:after="120" w:before="280"/>
      </w:pPr>
      <w:r>
        <w:t xml:space="preserve">3.5 Realtime updates — Implemented</w:t>
      </w:r>
    </w:p>
    <w:p>
      <w:pPr>
        <w:pStyle w:val="ListParagraph"/>
        <w:numPr>
          <w:ilvl w:val="0"/>
          <w:numId w:val="1"/>
        </w:numPr>
        <w:spacing w:after="80"/>
      </w:pPr>
      <w:r>
        <w:rPr>
          <w:sz w:val="22"/>
          <w:szCs w:val="22"/>
        </w:rPr>
        <w:t xml:space="preserve">FR-5.1: An authenticated Socket.io connection (/realtime namespace, JWT passed in the handshake) can subscribe to a specific device's room and receive a reading event on every successful ingest for that device.</w:t>
      </w:r>
    </w:p>
    <w:p>
      <w:pPr>
        <w:pStyle w:val="ListParagraph"/>
        <w:numPr>
          <w:ilvl w:val="0"/>
          <w:numId w:val="1"/>
        </w:numPr>
        <w:spacing w:after="80"/>
      </w:pPr>
      <w:r>
        <w:rPr>
          <w:sz w:val="22"/>
          <w:szCs w:val="22"/>
        </w:rPr>
        <w:t xml:space="preserve">FR-5.2: A user can only subscribe to a device they own (same ownership check as REST).</w:t>
      </w:r>
    </w:p>
    <w:p>
      <w:pPr>
        <w:pStyle w:val="ListParagraph"/>
        <w:numPr>
          <w:ilvl w:val="0"/>
          <w:numId w:val="1"/>
        </w:numPr>
        <w:spacing w:after="80"/>
      </w:pPr>
      <w:r>
        <w:rPr>
          <w:sz w:val="22"/>
          <w:szCs w:val="22"/>
        </w:rPr>
        <w:t xml:space="preserve">FR-5.3: The app reconciles realtime events into its local "current readings" state without needing a full refetch, and separately estimates a short-term trend (PPM/hour for CO2) from consecutive realtime events.</w:t>
      </w:r>
    </w:p>
    <w:p>
      <w:pPr>
        <w:pStyle w:val="Heading2"/>
        <w:spacing w:after="120" w:before="280"/>
      </w:pPr>
      <w:r>
        <w:t xml:space="preserve">3.6 Dashboard screen — Implemented</w:t>
      </w:r>
    </w:p>
    <w:p>
      <w:pPr>
        <w:pStyle w:val="ListParagraph"/>
        <w:numPr>
          <w:ilvl w:val="0"/>
          <w:numId w:val="1"/>
        </w:numPr>
        <w:spacing w:after="80"/>
      </w:pPr>
      <w:r>
        <w:rPr>
          <w:sz w:val="22"/>
          <w:szCs w:val="22"/>
        </w:rPr>
        <w:t xml:space="preserve">FR-6.1: Shows current CO2 (ppm) with a real (not decorative) sparkline built from the last hour of bucketed readings, and a computed short-term trend.</w:t>
      </w:r>
    </w:p>
    <w:p>
      <w:pPr>
        <w:pStyle w:val="ListParagraph"/>
        <w:numPr>
          <w:ilvl w:val="0"/>
          <w:numId w:val="1"/>
        </w:numPr>
        <w:spacing w:after="80"/>
      </w:pPr>
      <w:r>
        <w:rPr>
          <w:sz w:val="22"/>
          <w:szCs w:val="22"/>
        </w:rPr>
        <w:t xml:space="preserve">FR-6.2: Shows a "System Status" indicator (Stable / Attention / Critical / Offline) derived from active alert severities.</w:t>
      </w:r>
    </w:p>
    <w:p>
      <w:pPr>
        <w:pStyle w:val="ListParagraph"/>
        <w:numPr>
          <w:ilvl w:val="0"/>
          <w:numId w:val="1"/>
        </w:numPr>
        <w:spacing w:after="80"/>
      </w:pPr>
      <w:r>
        <w:rPr>
          <w:sz w:val="22"/>
          <w:szCs w:val="22"/>
        </w:rPr>
        <w:t xml:space="preserve">FR-6.3: Shows current biomass (grams) as a ring gauge, colored by safe-zone status.</w:t>
      </w:r>
    </w:p>
    <w:p>
      <w:pPr>
        <w:pStyle w:val="ListParagraph"/>
        <w:numPr>
          <w:ilvl w:val="0"/>
          <w:numId w:val="1"/>
        </w:numPr>
        <w:spacing w:after="80"/>
      </w:pPr>
      <w:r>
        <w:rPr>
          <w:sz w:val="22"/>
          <w:szCs w:val="22"/>
        </w:rPr>
        <w:t xml:space="preserve">FR-6.4: Shows a count of active alerts with an all-clear / needs-attention indicator.</w:t>
      </w:r>
    </w:p>
    <w:p>
      <w:pPr>
        <w:pStyle w:val="ListParagraph"/>
        <w:numPr>
          <w:ilvl w:val="0"/>
          <w:numId w:val="1"/>
        </w:numPr>
        <w:spacing w:after="80"/>
      </w:pPr>
      <w:r>
        <w:rPr>
          <w:sz w:val="22"/>
          <w:szCs w:val="22"/>
        </w:rPr>
        <w:t xml:space="preserve">FR-6.5: Shows a rule-based "insight" text (e.g. flags the highest-severity active alert, or a near-harvest biomass level, or "all systems nominal").</w:t>
      </w:r>
    </w:p>
    <w:p>
      <w:pPr>
        <w:pStyle w:val="ListParagraph"/>
        <w:numPr>
          <w:ilvl w:val="0"/>
          <w:numId w:val="1"/>
        </w:numPr>
        <w:spacing w:after="80"/>
      </w:pPr>
      <w:r>
        <w:rPr>
          <w:sz w:val="22"/>
          <w:szCs w:val="22"/>
        </w:rPr>
        <w:t xml:space="preserve">FR-6.6: Shows the photoperiod (light/dark cycle) as a ring with remaining-time label, computed client-side from the device’s lightStartHour/lightDurationHours.</w:t>
      </w:r>
    </w:p>
    <w:p>
      <w:pPr>
        <w:pStyle w:val="ListParagraph"/>
        <w:numPr>
          <w:ilvl w:val="0"/>
          <w:numId w:val="1"/>
        </w:numPr>
        <w:spacing w:after="80"/>
      </w:pPr>
      <w:r>
        <w:rPr>
          <w:sz w:val="22"/>
          <w:szCs w:val="22"/>
        </w:rPr>
        <w:t xml:space="preserve">FR-6.7: An "Environmental Impact" widget shows CO2 absorbed and O2 released (grams), derived server-side from the device’s RGB color sensor via the RGB→hue→optical density→biomass→CO2/O2 pipeline in §6.1, alongside the current biomass concentration those figures are tied to.</w:t>
      </w:r>
    </w:p>
    <w:p>
      <w:pPr>
        <w:pStyle w:val="ListParagraph"/>
        <w:numPr>
          <w:ilvl w:val="0"/>
          <w:numId w:val="1"/>
        </w:numPr>
        <w:spacing w:after="80"/>
      </w:pPr>
      <w:r>
        <w:rPr>
          <w:sz w:val="22"/>
          <w:szCs w:val="22"/>
        </w:rPr>
        <w:t xml:space="preserve">FR-6.8: A "Lighting &amp; Bubbling" actuator card lets the user toggle the light on/off, choose a color mode (white or a 5-swatch mix palette), pick an intensity preset (25/50/75/100%), and pick a bubbling-speed preset (off/low/medium/high) — see §3.13.</w:t>
      </w:r>
    </w:p>
    <w:p>
      <w:pPr>
        <w:pBdr>
          <w:left w:val="single" w:color="BF8F00" w:sz="12" w:space="8"/>
        </w:pBdr>
        <w:spacing w:after="160"/>
        <w:ind w:left="360"/>
      </w:pPr>
      <w:r>
        <w:rPr>
          <w:i/>
          <w:iCs/>
          <w:color w:val="BF8F00"/>
          <w:sz w:val="20"/>
          <w:szCs w:val="20"/>
        </w:rPr>
      </w:r>
    </w:p>
    <w:p>
      <w:pPr>
        <w:pStyle w:val="Heading2"/>
        <w:spacing w:after="120" w:before="280"/>
      </w:pPr>
      <w:r>
        <w:t xml:space="preserve">3.7 Environment (air quality) screen — Implemented</w:t>
      </w:r>
    </w:p>
    <w:p>
      <w:pPr>
        <w:pStyle w:val="ListParagraph"/>
        <w:numPr>
          <w:ilvl w:val="0"/>
          <w:numId w:val="1"/>
        </w:numPr>
        <w:spacing w:after="80"/>
      </w:pPr>
      <w:r>
        <w:rPr>
          <w:sz w:val="22"/>
          <w:szCs w:val="22"/>
        </w:rPr>
        <w:t xml:space="preserve">FR-7.1: A granularity toggle (1 Hour / 1 Day / 1 Week) switches the underlying query resolution for every chart on the screen.</w:t>
      </w:r>
    </w:p>
    <w:p>
      <w:pPr>
        <w:pStyle w:val="ListParagraph"/>
        <w:numPr>
          <w:ilvl w:val="0"/>
          <w:numId w:val="1"/>
        </w:numPr>
        <w:spacing w:after="80"/>
      </w:pPr>
      <w:r>
        <w:rPr>
          <w:sz w:val="22"/>
          <w:szCs w:val="22"/>
        </w:rPr>
        <w:t xml:space="preserve">FR-7.2: A default "overview" multi-series chart plots CO2, temperature, and PM2.5 together; tapping any metric card instead shows a single scrubbable line chart for that metric.</w:t>
      </w:r>
    </w:p>
    <w:p>
      <w:pPr>
        <w:pStyle w:val="ListParagraph"/>
        <w:numPr>
          <w:ilvl w:val="0"/>
          <w:numId w:val="1"/>
        </w:numPr>
        <w:spacing w:after="80"/>
      </w:pPr>
      <w:r>
        <w:rPr>
          <w:sz w:val="22"/>
          <w:szCs w:val="22"/>
        </w:rPr>
        <w:t xml:space="preserve">FR-7.3: The chart supports a touch-drag "scrubber" that shows the exact value and timestamp at any point along the line — matches the client spec’s "scrubber vertical line" requirement.</w:t>
      </w:r>
    </w:p>
    <w:p>
      <w:pPr>
        <w:pStyle w:val="ListParagraph"/>
        <w:numPr>
          <w:ilvl w:val="0"/>
          <w:numId w:val="1"/>
        </w:numPr>
        <w:spacing w:after="80"/>
      </w:pPr>
      <w:r>
        <w:rPr>
          <w:sz w:val="22"/>
          <w:szCs w:val="22"/>
        </w:rPr>
        <w:t xml:space="preserve">FR-7.4: A metric grid shows current Temperature, Humidity, PM2.5 (+ VOC sub-reading), CO2, CO (with a safety-threshold badge), and Light Intensity, each with a fill-bar against a reference range.</w:t>
      </w:r>
    </w:p>
    <w:p>
      <w:pPr>
        <w:pStyle w:val="ListParagraph"/>
        <w:numPr>
          <w:ilvl w:val="0"/>
          <w:numId w:val="1"/>
        </w:numPr>
        <w:spacing w:after="80"/>
      </w:pPr>
      <w:r>
        <w:rPr>
          <w:sz w:val="22"/>
          <w:szCs w:val="22"/>
        </w:rPr>
        <w:t xml:space="preserve">FR-7.5: Light Intensity uses real green/amber/red safe-zone thresholds (unlike the other cards, which use a generic display-only reference range, explicitly not the alert engine’s thresholds).</w:t>
      </w:r>
    </w:p>
    <w:p>
      <w:pPr>
        <w:pStyle w:val="Heading2"/>
        <w:spacing w:after="120" w:before="280"/>
      </w:pPr>
      <w:r>
        <w:t xml:space="preserve">3.8 Internal (bioreactor) screen — Implemented (contamination detection is a stub)</w:t>
      </w:r>
    </w:p>
    <w:p>
      <w:pPr>
        <w:pStyle w:val="ListParagraph"/>
        <w:numPr>
          <w:ilvl w:val="0"/>
          <w:numId w:val="1"/>
        </w:numPr>
        <w:spacing w:after="80"/>
      </w:pPr>
      <w:r>
        <w:rPr>
          <w:sz w:val="22"/>
          <w:szCs w:val="22"/>
        </w:rPr>
        <w:t xml:space="preserve">FR-8.1: Shows pH, Turbidity, Water Level, and Biomass as radial "safe zone" gauges, colored green/amber/red against real alert thresholds.</w:t>
      </w:r>
    </w:p>
    <w:p>
      <w:pPr>
        <w:pStyle w:val="ListParagraph"/>
        <w:numPr>
          <w:ilvl w:val="0"/>
          <w:numId w:val="1"/>
        </w:numPr>
        <w:spacing w:after="80"/>
      </w:pPr>
      <w:r>
        <w:rPr>
          <w:sz w:val="22"/>
          <w:szCs w:val="22"/>
        </w:rPr>
        <w:t xml:space="preserve">FR-8.2: Shows a color-sensor diagnostic panel: the live RGB swatch, its hex code, and a rule-based health message.</w:t>
      </w:r>
    </w:p>
    <w:p>
      <w:pPr>
        <w:pStyle w:val="ListParagraph"/>
        <w:numPr>
          <w:ilvl w:val="0"/>
          <w:numId w:val="1"/>
        </w:numPr>
        <w:spacing w:after="80"/>
      </w:pPr>
      <w:r>
        <w:rPr>
          <w:sz w:val="22"/>
          <w:szCs w:val="22"/>
        </w:rPr>
        <w:t xml:space="preserve">FR-8.3 (rule, not ML): a reading is flagged "healthy" when green is clearly the dominant channel (&gt;15% over both red and blue); otherwise it’s flagged as a possible contamination/deviation needing manual review. This is explicitly documented in-code as a simple heuristic, not a validated contamination detector.</w:t>
      </w:r>
    </w:p>
    <w:p>
      <w:pPr>
        <w:pStyle w:val="ListParagraph"/>
        <w:numPr>
          <w:ilvl w:val="0"/>
          <w:numId w:val="1"/>
        </w:numPr>
        <w:spacing w:after="80"/>
      </w:pPr>
      <w:r>
        <w:rPr>
          <w:sz w:val="22"/>
          <w:szCs w:val="22"/>
        </w:rPr>
        <w:t xml:space="preserve">FR-8.4: A "Calibrate" action exists in the UI but is not wired to any backend behavior (shows a "not built yet" message).</w:t>
      </w:r>
    </w:p>
    <w:p>
      <w:pPr>
        <w:pStyle w:val="Heading2"/>
        <w:spacing w:after="120" w:before="280"/>
      </w:pPr>
      <w:r>
        <w:t xml:space="preserve">3.9 Maintenance &amp; Records screen — Implemented (turbidity-aware harvest + fixed intervals)</w:t>
      </w:r>
    </w:p>
    <w:p>
      <w:pPr>
        <w:pStyle w:val="ListParagraph"/>
        <w:numPr>
          <w:ilvl w:val="0"/>
          <w:numId w:val="1"/>
        </w:numPr>
        <w:spacing w:after="80"/>
      </w:pPr>
      <w:r>
        <w:rPr>
          <w:sz w:val="22"/>
          <w:szCs w:val="22"/>
        </w:rPr>
        <w:t xml:space="preserve">FR-9.1: Shows a per-maintenance-type countdown (water change, filter replacement, nutrient refill, calibration), computed as lastLoggedAt + fixedIntervalDays.</w:t>
      </w:r>
    </w:p>
    <w:p>
      <w:pPr>
        <w:pStyle w:val="ListParagraph"/>
        <w:numPr>
          <w:ilvl w:val="0"/>
          <w:numId w:val="1"/>
        </w:numPr>
        <w:spacing w:after="80"/>
      </w:pPr>
      <w:r>
        <w:rPr>
          <w:sz w:val="22"/>
          <w:szCs w:val="22"/>
        </w:rPr>
        <w:t xml:space="preserve">FR-9.2: Harvest readiness additionally reacts to the device’s live turbidity reading against a "thick enough to harvest" threshold, not purely a fixed calendar interval — the fixed interval remains as a fallback for devices without a usable turbidity reading.</w:t>
      </w:r>
    </w:p>
    <w:p>
      <w:pPr>
        <w:pStyle w:val="ListParagraph"/>
        <w:numPr>
          <w:ilvl w:val="0"/>
          <w:numId w:val="1"/>
        </w:numPr>
        <w:spacing w:after="80"/>
      </w:pPr>
      <w:r>
        <w:rPr>
          <w:sz w:val="22"/>
          <w:szCs w:val="22"/>
        </w:rPr>
        <w:t xml:space="preserve">FR-9.3: The single most overdue/ready item gets a prominent "Action Required" banner with a one-tap "Log Action Now" shortcut.</w:t>
      </w:r>
    </w:p>
    <w:p>
      <w:pPr>
        <w:pStyle w:val="ListParagraph"/>
        <w:numPr>
          <w:ilvl w:val="0"/>
          <w:numId w:val="1"/>
        </w:numPr>
        <w:spacing w:after="80"/>
      </w:pPr>
      <w:r>
        <w:rPr>
          <w:sz w:val="22"/>
          <w:szCs w:val="22"/>
        </w:rPr>
        <w:t xml:space="preserve">FR-9.4: A scrollable timeline shows every past logged maintenance action with type, timestamp, and optional notes.</w:t>
      </w:r>
    </w:p>
    <w:p>
      <w:pPr>
        <w:pStyle w:val="ListParagraph"/>
        <w:numPr>
          <w:ilvl w:val="0"/>
          <w:numId w:val="1"/>
        </w:numPr>
        <w:spacing w:after="80"/>
      </w:pPr>
      <w:r>
        <w:rPr>
          <w:sz w:val="22"/>
          <w:szCs w:val="22"/>
        </w:rPr>
        <w:t xml:space="preserve">FR-9.5: A floating action button opens a modal to log a new maintenance action (type, optional notes, "today / yesterday / 2 days ago" backdating).</w:t>
      </w:r>
    </w:p>
    <w:p>
      <w:pPr>
        <w:pBdr>
          <w:left w:val="single" w:color="BF8F00" w:sz="12" w:space="8"/>
        </w:pBdr>
        <w:spacing w:after="160"/>
        <w:ind w:left="360"/>
      </w:pPr>
      <w:r>
        <w:rPr>
          <w:i/>
          <w:iCs/>
          <w:color w:val="BF8F00"/>
          <w:sz w:val="20"/>
          <w:szCs w:val="20"/>
        </w:rPr>
      </w:r>
    </w:p>
    <w:p>
      <w:pPr>
        <w:pStyle w:val="Heading2"/>
        <w:spacing w:after="120" w:before="280"/>
      </w:pPr>
      <w:r>
        <w:t xml:space="preserve">3.10 Alerting — Implemented (push notifications + per-device thresholds)</w:t>
      </w:r>
    </w:p>
    <w:p>
      <w:pPr>
        <w:pStyle w:val="ListParagraph"/>
        <w:numPr>
          <w:ilvl w:val="0"/>
          <w:numId w:val="1"/>
        </w:numPr>
        <w:spacing w:after="80"/>
      </w:pPr>
      <w:r>
        <w:rPr>
          <w:sz w:val="22"/>
          <w:szCs w:val="22"/>
        </w:rPr>
        <w:t xml:space="preserve">FR-10.1: Every ingested reading is evaluated against a green/amber/red band for its metric (default bands in §6.3, or a per-device override if one exists).</w:t>
      </w:r>
    </w:p>
    <w:p>
      <w:pPr>
        <w:pStyle w:val="ListParagraph"/>
        <w:numPr>
          <w:ilvl w:val="0"/>
          <w:numId w:val="1"/>
        </w:numPr>
        <w:spacing w:after="80"/>
      </w:pPr>
      <w:r>
        <w:rPr>
          <w:sz w:val="22"/>
          <w:szCs w:val="22"/>
        </w:rPr>
        <w:t xml:space="preserve">FR-10.2: An alert_events row is written only on a severity transition (e.g. green→amber), not on every reading — a sensor sitting in the red for an hour produces one open row, not one per reading. The row’s resolvedAt is set when the metric returns to green.</w:t>
      </w:r>
    </w:p>
    <w:p>
      <w:pPr>
        <w:pStyle w:val="ListParagraph"/>
        <w:numPr>
          <w:ilvl w:val="0"/>
          <w:numId w:val="1"/>
        </w:numPr>
        <w:spacing w:after="80"/>
      </w:pPr>
      <w:r>
        <w:rPr>
          <w:sz w:val="22"/>
          <w:szCs w:val="22"/>
        </w:rPr>
        <w:t xml:space="preserve">FR-10.3: GET /devices/:id/alerts returns active alerts by default, or the full history with ?status=all.</w:t>
      </w:r>
    </w:p>
    <w:p>
      <w:pPr>
        <w:pStyle w:val="ListParagraph"/>
        <w:numPr>
          <w:ilvl w:val="0"/>
          <w:numId w:val="1"/>
        </w:numPr>
        <w:spacing w:after="80"/>
      </w:pPr>
      <w:r>
        <w:rPr>
          <w:sz w:val="22"/>
          <w:szCs w:val="22"/>
        </w:rPr>
        <w:t xml:space="preserve">FR-10.4: Color channels (color_r/g/b) intentionally have no threshold band — the client’s spec treats them as a diagnostic swatch, not a pass/fail metric.</w:t>
      </w:r>
    </w:p>
    <w:p>
      <w:pPr>
        <w:pStyle w:val="ListParagraph"/>
        <w:numPr>
          <w:ilvl w:val="0"/>
          <w:numId w:val="1"/>
        </w:numPr>
        <w:spacing w:after="80"/>
      </w:pPr>
      <w:r>
        <w:rPr>
          <w:sz w:val="22"/>
          <w:szCs w:val="22"/>
        </w:rPr>
        <w:t xml:space="preserve">FR-10.5: A user can view and edit per-device threshold overrides (green/amber bands) for any metric with a default band, via AlertThresholdsScreen.tsx and POST/DELETE on the alert-thresholds endpoints; a device with no override shown is running on the default band.</w:t>
      </w:r>
    </w:p>
    <w:p>
      <w:pPr>
        <w:pStyle w:val="ListParagraph"/>
        <w:numPr>
          <w:ilvl w:val="0"/>
          <w:numId w:val="1"/>
        </w:numPr>
        <w:spacing w:after="80"/>
      </w:pPr>
      <w:r>
        <w:rPr>
          <w:sz w:val="22"/>
          <w:szCs w:val="22"/>
        </w:rPr>
        <w:t xml:space="preserve">FR-10.6: A genuine transition into amber or red sends a real push notification (Expo push service) to the device owner, not just a log line — registered via a push-token registration endpoint called once per app session that reaches Main.</w:t>
      </w:r>
    </w:p>
    <w:p>
      <w:pPr>
        <w:pStyle w:val="ListParagraph"/>
        <w:numPr>
          <w:ilvl w:val="0"/>
          <w:numId w:val="1"/>
        </w:numPr>
        <w:spacing w:after="80"/>
      </w:pPr>
      <w:r>
        <w:rPr>
          <w:sz w:val="22"/>
          <w:szCs w:val="22"/>
        </w:rPr>
        <w:t xml:space="preserve">FR-10.7: Push delivery for a given device+metric is rate-limited by a 30-minute cooldown (independent of the alert_events history, which stays fully accurate regardless) — added after real-device testing showed a reading oscillating near a threshold boundary produces a genuine severity transition on every flip, which the transition-only rule in FR-10.2 does not by itself prevent from spamming notifications.</w:t>
      </w:r>
    </w:p>
    <w:p>
      <w:pPr>
        <w:pBdr>
          <w:left w:val="single" w:color="BF8F00" w:sz="12" w:space="8"/>
        </w:pBdr>
        <w:spacing w:after="160"/>
        <w:ind w:left="360"/>
      </w:pPr>
      <w:r>
        <w:rPr>
          <w:i/>
          <w:iCs/>
          <w:color w:val="BF8F00"/>
          <w:sz w:val="20"/>
          <w:szCs w:val="20"/>
        </w:rPr>
      </w:r>
    </w:p>
    <w:p>
      <w:pPr>
        <w:pStyle w:val="Heading2"/>
        <w:spacing w:after="120" w:before="280"/>
      </w:pPr>
      <w:r>
        <w:t xml:space="preserve">3.11 Profile screen — Partial (several rows are stubs)</w:t>
      </w:r>
    </w:p>
    <w:p>
      <w:pPr>
        <w:pStyle w:val="ListParagraph"/>
        <w:numPr>
          <w:ilvl w:val="0"/>
          <w:numId w:val="1"/>
        </w:numPr>
        <w:spacing w:after="80"/>
      </w:pPr>
      <w:r>
        <w:rPr>
          <w:sz w:val="22"/>
          <w:szCs w:val="22"/>
        </w:rPr>
        <w:t xml:space="preserve">FR-11.1: Shows the signed-in user's email (decoded client-side from the JWT, not an API call), paired-device count, and days-since-pairing.</w:t>
      </w:r>
    </w:p>
    <w:p>
      <w:pPr>
        <w:pStyle w:val="ListParagraph"/>
        <w:numPr>
          <w:ilvl w:val="0"/>
          <w:numId w:val="1"/>
        </w:numPr>
        <w:spacing w:after="80"/>
      </w:pPr>
      <w:r>
        <w:rPr>
          <w:sz w:val="22"/>
          <w:szCs w:val="22"/>
        </w:rPr>
        <w:t xml:space="preserve">FR-11.2: Shows active alert count and device connection/last-seen status.</w:t>
      </w:r>
    </w:p>
    <w:p>
      <w:pPr>
        <w:pStyle w:val="ListParagraph"/>
        <w:numPr>
          <w:ilvl w:val="0"/>
          <w:numId w:val="1"/>
        </w:numPr>
        <w:spacing w:after="80"/>
      </w:pPr>
      <w:r>
        <w:rPr>
          <w:sz w:val="22"/>
          <w:szCs w:val="22"/>
        </w:rPr>
        <w:t xml:space="preserve">FR-11.3: "Log out everywhere" calls POST /auth/logout-all and clears local tokens even if that call fails (so the user is never stuck unable to log out).</w:t>
      </w:r>
    </w:p>
    <w:p>
      <w:pPr>
        <w:pStyle w:val="ListParagraph"/>
        <w:numPr>
          <w:ilvl w:val="0"/>
          <w:numId w:val="1"/>
        </w:numPr>
        <w:spacing w:after="80"/>
      </w:pPr>
      <w:r>
        <w:rPr>
          <w:sz w:val="22"/>
          <w:szCs w:val="22"/>
        </w:rPr>
        <w:t xml:space="preserve">FR-11.4: A light-cycle "Auto / Manual" toggle exists but manual mode explicitly informs the user it isn't supported by the current hardware/backend and has no effect — this is an honest stub, not a silent no-op.</w:t>
      </w:r>
    </w:p>
    <w:p>
      <w:pPr>
        <w:pStyle w:val="ListParagraph"/>
        <w:numPr>
          <w:ilvl w:val="0"/>
          <w:numId w:val="1"/>
        </w:numPr>
        <w:spacing w:after="80"/>
      </w:pPr>
      <w:r>
        <w:rPr>
          <w:sz w:val="22"/>
          <w:szCs w:val="22"/>
        </w:rPr>
        <w:t xml:space="preserve">FR-11.5: Security, Privacy, Notifications, and User Guide rows all show a "not built yet" alert when tapped. "Report an Issue" opens a mailto: link.</w:t>
      </w:r>
    </w:p>
    <w:p>
      <w:pPr>
        <w:pStyle w:val="Heading2"/>
        <w:spacing w:after="120" w:before="280"/>
      </w:pPr>
      <w:r>
        <w:t xml:space="preserve">3.12 Theming — Implemented (dark mode only is production-quality)</w:t>
      </w:r>
    </w:p>
    <w:p>
      <w:pPr>
        <w:pStyle w:val="ListParagraph"/>
        <w:numPr>
          <w:ilvl w:val="0"/>
          <w:numId w:val="1"/>
        </w:numPr>
        <w:spacing w:after="80"/>
      </w:pPr>
      <w:r>
        <w:rPr>
          <w:sz w:val="22"/>
          <w:szCs w:val="22"/>
        </w:rPr>
        <w:t xml:space="preserve">FR-12.1: The app supports light and dark mode via a shared token system (theme/tokens.ts).</w:t>
      </w:r>
    </w:p>
    <w:p>
      <w:pPr>
        <w:pStyle w:val="ListParagraph"/>
        <w:numPr>
          <w:ilvl w:val="0"/>
          <w:numId w:val="1"/>
        </w:numPr>
        <w:spacing w:after="80"/>
      </w:pPr>
      <w:r>
        <w:rPr>
          <w:sz w:val="22"/>
          <w:szCs w:val="22"/>
        </w:rPr>
        <w:t xml:space="preserve">FR-12.2: The dark palette ("Deep Sea Biotech": cyan/violet/magenta) is derived directly from an AI-generated ("Stitch") design export and is the only palette that’s actually been designed against real screens.</w:t>
      </w:r>
    </w:p>
    <w:p>
      <w:pPr>
        <w:pBdr>
          <w:left w:val="single" w:color="BF8F00" w:sz="12" w:space="8"/>
        </w:pBdr>
        <w:spacing w:after="160"/>
        <w:ind w:left="360"/>
      </w:pPr>
      <w:r>
        <w:rPr>
          <w:i/>
          <w:iCs/>
          <w:color w:val="BF8F00"/>
          <w:sz w:val="20"/>
          <w:szCs w:val="20"/>
        </w:rPr>
      </w:r>
    </w:p>
    <w:p>
      <w:pPr>
        <w:pStyle w:val="Heading2"/>
        <w:spacing w:after="120" w:before="280"/>
      </w:pPr>
      <w:r>
        <w:t xml:space="preserve">3.13 Actuator control (lighting &amp; bubbling) — Implemented</w:t>
      </w:r>
    </w:p>
    <w:p>
      <w:pPr>
        <w:spacing w:after="160"/>
      </w:pPr>
      <w:r>
        <w:rPr>
          <w:sz w:val="22"/>
          <w:szCs w:val="22"/>
        </w:rPr>
        <w:t xml:space="preserve">This is new architecture, not a wire-up of something that already half-existed: MQTT ingestion (§3.3) is one-directional (device → backend) by design, so a command channel back to the device (aura/{deviceCode}/command, published by a dedicated MqttCommandPublisherService on its own MQTT connection) was added specifically for this feature — see SAD §4 and ACTUATOR_CONTROL.md.</w:t>
      </w:r>
    </w:p>
    <w:p>
      <w:pPr>
        <w:pStyle w:val="ListParagraph"/>
        <w:numPr>
          <w:ilvl w:val="0"/>
          <w:numId w:val="1"/>
        </w:numPr>
        <w:spacing w:after="80"/>
      </w:pPr>
      <w:r>
        <w:rPr>
          <w:sz w:val="22"/>
          <w:szCs w:val="22"/>
        </w:rPr>
        <w:t xml:space="preserve">FR-13.1: A user can toggle the device’s light on/off, choose a color mode (white, or one of 5 preset mix colors by hex), and pick an intensity preset (25/50/75/100%) from the Dashboard’s "Lighting &amp; Bubbling" card.</w:t>
      </w:r>
    </w:p>
    <w:p>
      <w:pPr>
        <w:pStyle w:val="ListParagraph"/>
        <w:numPr>
          <w:ilvl w:val="0"/>
          <w:numId w:val="1"/>
        </w:numPr>
        <w:spacing w:after="80"/>
      </w:pPr>
      <w:r>
        <w:rPr>
          <w:sz w:val="22"/>
          <w:szCs w:val="22"/>
        </w:rPr>
        <w:t xml:space="preserve">FR-13.2: A user can pick a bubbling-speed preset (off/low/medium/high) from the same card.</w:t>
      </w:r>
    </w:p>
    <w:p>
      <w:pPr>
        <w:pStyle w:val="ListParagraph"/>
        <w:numPr>
          <w:ilvl w:val="0"/>
          <w:numId w:val="1"/>
        </w:numPr>
        <w:spacing w:after="80"/>
      </w:pPr>
      <w:r>
        <w:rPr>
          <w:sz w:val="22"/>
          <w:szCs w:val="22"/>
        </w:rPr>
        <w:t xml:space="preserve">FR-13.3: PATCH /devices/:id/actuators accepts a partial update (any subset of the actuator fields), merges it onto the device’s current stored actuator state, persists the full merged state, and publishes the full resulting state to the device’s command topic — the device always receives a complete desired-state message, never a diff.</w:t>
      </w:r>
    </w:p>
    <w:p>
      <w:pPr>
        <w:pStyle w:val="ListParagraph"/>
        <w:numPr>
          <w:ilvl w:val="0"/>
          <w:numId w:val="1"/>
        </w:numPr>
        <w:spacing w:after="80"/>
      </w:pPr>
      <w:r>
        <w:rPr>
          <w:sz w:val="22"/>
          <w:szCs w:val="22"/>
        </w:rPr>
        <w:t xml:space="preserve">FR-13.4: Actuator state changes go through the same device-ownership check (DevicesService.getOwned) as every other device-scoped endpoint.</w:t>
      </w:r>
    </w:p>
    <w:p>
      <w:pPr>
        <w:pBdr>
          <w:left w:val="single" w:color="BF8F00" w:sz="12" w:space="8"/>
        </w:pBdr>
        <w:spacing w:after="160"/>
        <w:ind w:left="360"/>
      </w:pPr>
      <w:r>
        <w:rPr>
          <w:i/>
          <w:iCs/>
          <w:color w:val="BF8F00"/>
          <w:sz w:val="20"/>
          <w:szCs w:val="20"/>
        </w:rPr>
      </w:r>
    </w:p>
    <w:p>
      <w:pPr>
        <w:pStyle w:val="Heading1"/>
        <w:spacing w:after="160" w:before="360"/>
      </w:pPr>
      <w:r>
        <w:t xml:space="preserve">4. External Interface Requirements</w:t>
      </w:r>
    </w:p>
    <w:p>
      <w:pPr>
        <w:pStyle w:val="Heading2"/>
        <w:spacing w:after="120" w:before="280"/>
      </w:pPr>
      <w:r>
        <w:t xml:space="preserve">4.1 REST API</w:t>
      </w:r>
    </w:p>
    <w:p>
      <w:pPr>
        <w:spacing w:after="160"/>
      </w:pPr>
      <w:r>
        <w:rPr>
          <w:sz w:val="22"/>
          <w:szCs w:val="22"/>
        </w:rPr>
        <w:t xml:space="preserve">All endpoints except /auth/signup, /auth/login, /auth/refresh, and /health require Authorization: Bearer &lt;accessToken&gt;. See SAD §8 for the full endpoint table.</w:t>
      </w:r>
    </w:p>
    <w:p>
      <w:pPr>
        <w:pStyle w:val="Heading2"/>
        <w:spacing w:after="120" w:before="280"/>
      </w:pPr>
      <w:r>
        <w:t xml:space="preserve">4.2 Realtime interface</w:t>
      </w:r>
    </w:p>
    <w:p>
      <w:pPr>
        <w:spacing w:after="160"/>
      </w:pPr>
      <w:r>
        <w:rPr>
          <w:sz w:val="22"/>
          <w:szCs w:val="22"/>
        </w:rPr>
        <w:t xml:space="preserve">Socket.io namespace /realtime. Client sends { auth: { token } } at connection time; subscribes/unsubscribes to a device room via subscribe/unsubscribe messages; receives reading events. See SAD §8.2.</w:t>
      </w:r>
    </w:p>
    <w:p>
      <w:pPr>
        <w:pStyle w:val="Heading2"/>
        <w:spacing w:after="120" w:before="280"/>
      </w:pPr>
      <w:r>
        <w:t xml:space="preserve">4.3 Hardware interface (MQTT)</w:t>
      </w:r>
    </w:p>
    <w:p>
      <w:pPr>
        <w:spacing w:after="160"/>
      </w:pPr>
      <w:r>
        <w:rPr>
          <w:sz w:val="22"/>
          <w:szCs w:val="22"/>
        </w:rPr>
        <w:t xml:space="preserve">Topic: aura/{deviceCode}/telemetry. See §6.2 for the full payload contract — status: assumed, not confirmed with the firmware team.</w:t>
      </w:r>
    </w:p>
    <w:p>
      <w:pPr>
        <w:pStyle w:val="Heading2"/>
        <w:spacing w:after="120" w:before="280"/>
      </w:pPr>
      <w:r>
        <w:t xml:space="preserve">4.4 User interface</w:t>
      </w:r>
    </w:p>
    <w:p>
      <w:pPr>
        <w:spacing w:after="160"/>
      </w:pPr>
      <w:r>
        <w:rPr>
          <w:sz w:val="22"/>
          <w:szCs w:val="22"/>
        </w:rPr>
        <w:t xml:space="preserve">Mobile-only (Expo/React Native). No web/admin console exists. Bottom tab navigation with 5 tabs (§3.6–3.11) behind a login-gated stack.</w:t>
      </w:r>
    </w:p>
    <w:p>
      <w:pPr>
        <w:pStyle w:val="Heading1"/>
        <w:spacing w:after="160" w:before="360"/>
      </w:pPr>
      <w:r>
        <w:t xml:space="preserve">5. Non-Functional Requirements</w:t>
      </w:r>
    </w:p>
    <w:p>
      <w:pPr>
        <w:pStyle w:val="Heading2"/>
        <w:spacing w:after="120" w:before="280"/>
      </w:pPr>
      <w:r>
        <w:t xml:space="preserve">5.1 Performance</w:t>
      </w:r>
    </w:p>
    <w:p>
      <w:pPr>
        <w:pStyle w:val="ListParagraph"/>
        <w:numPr>
          <w:ilvl w:val="0"/>
          <w:numId w:val="1"/>
        </w:numPr>
        <w:spacing w:after="80"/>
      </w:pPr>
      <w:r>
        <w:rPr>
          <w:sz w:val="22"/>
          <w:szCs w:val="22"/>
        </w:rPr>
        <w:t xml:space="preserve">NFR-1.1: The 1h/1d/1w granularity toggle is backed by precomputed TimescaleDB continuous aggregates specifically so the Environment screen doesn't have to scan raw sensor_readings on every request.</w:t>
      </w:r>
    </w:p>
    <w:p>
      <w:pPr>
        <w:pStyle w:val="ListParagraph"/>
        <w:numPr>
          <w:ilvl w:val="0"/>
          <w:numId w:val="1"/>
        </w:numPr>
        <w:spacing w:after="80"/>
      </w:pPr>
      <w:r>
        <w:rPr>
          <w:sz w:val="22"/>
          <w:szCs w:val="22"/>
        </w:rPr>
        <w:t xml:space="preserve">NFR-1.2: The "current readings" endpoint reads from a Redis hash rather than Postgres, so dashboard polling doesn’t load the primary database.</w:t>
      </w:r>
    </w:p>
    <w:p>
      <w:pPr>
        <w:pStyle w:val="Heading2"/>
        <w:spacing w:after="120" w:before="280"/>
      </w:pPr>
      <w:r>
        <w:t xml:space="preserve">5.2 Reliability</w:t>
      </w:r>
    </w:p>
    <w:p>
      <w:pPr>
        <w:pStyle w:val="ListParagraph"/>
        <w:numPr>
          <w:ilvl w:val="0"/>
          <w:numId w:val="1"/>
        </w:numPr>
        <w:spacing w:after="80"/>
      </w:pPr>
      <w:r>
        <w:rPr>
          <w:sz w:val="22"/>
          <w:szCs w:val="22"/>
        </w:rPr>
        <w:t xml:space="preserve">NFR-2.1: A malformed MQTT message, an out-of-range reading, or a failed alert evaluation for one metric must never crash the ingestion pipeline or block any other device’s data (all such failures are caught and logged individually — see mqtt-ingestion.service.ts and alerts.service.ts).</w:t>
      </w:r>
    </w:p>
    <w:p>
      <w:pPr>
        <w:pStyle w:val="ListParagraph"/>
        <w:numPr>
          <w:ilvl w:val="0"/>
          <w:numId w:val="1"/>
        </w:numPr>
        <w:spacing w:after="80"/>
      </w:pPr>
      <w:r>
        <w:rPr>
          <w:sz w:val="22"/>
          <w:szCs w:val="22"/>
        </w:rPr>
        <w:t xml:space="preserve">NFR-2.2: The app must refuse to boot with missing/invalid environment configuration rather than fail confusingly at first use (env.validation.ts, zod-enforced).</w:t>
      </w:r>
    </w:p>
    <w:p>
      <w:pPr>
        <w:pStyle w:val="ListParagraph"/>
        <w:numPr>
          <w:ilvl w:val="0"/>
          <w:numId w:val="1"/>
        </w:numPr>
        <w:spacing w:after="80"/>
      </w:pPr>
      <w:r>
        <w:rPr>
          <w:sz w:val="22"/>
          <w:szCs w:val="22"/>
        </w:rPr>
        <w:t xml:space="preserve">NFR-2.3: An MQTT broker disconnect must auto-reconnect (2s retry) without operator intervention.</w:t>
      </w:r>
    </w:p>
    <w:p>
      <w:pPr>
        <w:pStyle w:val="Heading2"/>
        <w:spacing w:after="120" w:before="280"/>
      </w:pPr>
      <w:r>
        <w:t xml:space="preserve">5.3 Security</w:t>
      </w:r>
    </w:p>
    <w:p>
      <w:pPr>
        <w:pStyle w:val="ListParagraph"/>
        <w:numPr>
          <w:ilvl w:val="0"/>
          <w:numId w:val="1"/>
        </w:numPr>
        <w:spacing w:after="80"/>
      </w:pPr>
      <w:r>
        <w:rPr>
          <w:sz w:val="22"/>
          <w:szCs w:val="22"/>
        </w:rPr>
        <w:t xml:space="preserve">NFR-3.1: Passwords are bcrypt-hashed (12 rounds); access/refresh tokens use separate secrets; refresh tokens are invalidated as a set via tokenVersion, not individually tracked.</w:t>
      </w:r>
    </w:p>
    <w:p>
      <w:pPr>
        <w:pStyle w:val="ListParagraph"/>
        <w:numPr>
          <w:ilvl w:val="0"/>
          <w:numId w:val="1"/>
        </w:numPr>
        <w:spacing w:after="80"/>
      </w:pPr>
      <w:r>
        <w:rPr>
          <w:sz w:val="22"/>
          <w:szCs w:val="22"/>
        </w:rPr>
        <w:t xml:space="preserve">NFR-3.2: All device-scoped endpoints (sensors, alerts, maintenance) re-check ownership server-side on every request via a shared getOwned() check — never trust that a device ID in a URL belongs to the caller.</w:t>
      </w:r>
    </w:p>
    <w:p>
      <w:pPr>
        <w:pStyle w:val="ListParagraph"/>
        <w:numPr>
          <w:ilvl w:val="0"/>
          <w:numId w:val="1"/>
        </w:numPr>
        <w:spacing w:after="80"/>
      </w:pPr>
      <w:r>
        <w:rPr>
          <w:sz w:val="22"/>
          <w:szCs w:val="22"/>
        </w:rPr>
        <w:t xml:space="preserve">NFR-3.3: CORS is currently wide open (origin: '*', both REST and the Socket.io gateway) — acceptable for local development, not reviewed for production. See SAD §8.4.</w:t>
      </w:r>
    </w:p>
    <w:p>
      <w:pPr>
        <w:pStyle w:val="Heading2"/>
        <w:spacing w:after="120" w:before="280"/>
      </w:pPr>
      <w:r>
        <w:t xml:space="preserve">5.4 Usability</w:t>
      </w:r>
    </w:p>
    <w:p>
      <w:pPr>
        <w:pStyle w:val="ListParagraph"/>
        <w:numPr>
          <w:ilvl w:val="0"/>
          <w:numId w:val="1"/>
        </w:numPr>
        <w:spacing w:after="80"/>
      </w:pPr>
      <w:r>
        <w:rPr>
          <w:sz w:val="22"/>
          <w:szCs w:val="22"/>
        </w:rPr>
        <w:t xml:space="preserve">NFR-4.1: Every screen distinguishes "no device paired" from "data still loading" from "request failed" (ErrorState.tsx + explicit empty states), rather than showing a blank or infinitely-spinning screen.</w:t>
      </w:r>
    </w:p>
    <w:p>
      <w:pPr>
        <w:pStyle w:val="ListParagraph"/>
        <w:numPr>
          <w:ilvl w:val="0"/>
          <w:numId w:val="1"/>
        </w:numPr>
        <w:spacing w:after="80"/>
      </w:pPr>
      <w:r>
        <w:rPr>
          <w:sz w:val="22"/>
          <w:szCs w:val="22"/>
        </w:rPr>
        <w:t xml:space="preserve">NFR-4.2: Unbuilt features fail loudly with an explicit "not built yet" message rather than silently doing nothing — a deliberate pattern used across Profile and Internal screens so testers/demo users aren’t confused by dead buttons.</w:t>
      </w:r>
    </w:p>
    <w:p>
      <w:pPr>
        <w:pStyle w:val="Heading2"/>
        <w:spacing w:after="120" w:before="280"/>
      </w:pPr>
      <w:r>
        <w:t xml:space="preserve">5.5 Maintainability</w:t>
      </w:r>
    </w:p>
    <w:p>
      <w:pPr>
        <w:pStyle w:val="ListParagraph"/>
        <w:numPr>
          <w:ilvl w:val="0"/>
          <w:numId w:val="1"/>
        </w:numPr>
        <w:spacing w:after="80"/>
      </w:pPr>
      <w:r>
        <w:rPr>
          <w:sz w:val="22"/>
          <w:szCs w:val="22"/>
        </w:rPr>
        <w:t xml:space="preserve">NFR-5.1: The sensor_readings table uses a narrow (metricType, value) schema rather than one column per sensor, specifically so adding a new sensor metric is a data change (add an enum value + a migration), not a schema redesign.</w:t>
      </w:r>
    </w:p>
    <w:p>
      <w:pPr>
        <w:pStyle w:val="ListParagraph"/>
        <w:numPr>
          <w:ilvl w:val="0"/>
          <w:numId w:val="1"/>
        </w:numPr>
        <w:spacing w:after="80"/>
      </w:pPr>
      <w:r>
        <w:rPr>
          <w:sz w:val="22"/>
          <w:szCs w:val="22"/>
        </w:rPr>
        <w:t xml:space="preserve">NFR-5.2: Frontend API types (api/types.ts) and threshold constants (constants/thresholds.ts) are hand-maintained mirrors of backend shapes — this is a known, accepted maintenance cost (no codegen), not an oversight; see SAD §5.</w:t>
      </w:r>
    </w:p>
    <w:p>
      <w:pPr>
        <w:pStyle w:val="Heading1"/>
        <w:spacing w:after="160" w:before="360"/>
      </w:pPr>
      <w:r>
        <w:t xml:space="preserve">6. Data &amp; Contract Details</w:t>
      </w:r>
    </w:p>
    <w:p>
      <w:pPr>
        <w:pStyle w:val="Heading2"/>
        <w:spacing w:after="120" w:before="280"/>
      </w:pPr>
      <w:r>
        <w:t xml:space="preserve">6.1 Confirmed sensor metrics</w:t>
      </w:r>
    </w:p>
    <w:p>
      <w:pPr>
        <w:spacing w:after="160"/>
      </w:pPr>
      <w:r>
        <w:rPr>
          <w:sz w:val="22"/>
          <w:szCs w:val="22"/>
        </w:rPr>
        <w:t xml:space="preserve">These metric types exist in both the client's Executive Summary sensor table and the current MetricType enum: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shd w:fill="1F3864" w:val="clear"/>
            <w:tcMar>
              <w:top w:type="dxa" w:w="60"/>
              <w:left w:type="dxa" w:w="100"/>
              <w:bottom w:type="dxa" w:w="60"/>
              <w:right w:type="dxa" w:w="100"/>
            </w:tcMar>
            <w:vAlign w:val="center"/>
          </w:tcPr>
          <w:p>
            <w:r>
              <w:rPr>
                <w:b/>
                <w:bCs/>
                <w:color w:val="FFFFFF"/>
                <w:sz w:val="19"/>
                <w:szCs w:val="19"/>
              </w:rPr>
              <w:t xml:space="preserve">Metric</w:t>
            </w:r>
          </w:p>
        </w:tc>
        <w:tc>
          <w:tcPr>
            <w:tcW w:type="dxa" w:w="1800"/>
            <w:shd w:fill="1F3864" w:val="clear"/>
            <w:tcMar>
              <w:top w:type="dxa" w:w="60"/>
              <w:left w:type="dxa" w:w="100"/>
              <w:bottom w:type="dxa" w:w="60"/>
              <w:right w:type="dxa" w:w="100"/>
            </w:tcMar>
            <w:vAlign w:val="center"/>
          </w:tcPr>
          <w:p>
            <w:r>
              <w:rPr>
                <w:b/>
                <w:bCs/>
                <w:color w:val="FFFFFF"/>
                <w:sz w:val="19"/>
                <w:szCs w:val="19"/>
              </w:rPr>
              <w:t xml:space="preserve">Unit</w:t>
            </w:r>
          </w:p>
        </w:tc>
        <w:tc>
          <w:tcPr>
            <w:tcW w:type="dxa" w:w="5400"/>
            <w:shd w:fill="1F3864" w:val="clear"/>
            <w:tcMar>
              <w:top w:type="dxa" w:w="60"/>
              <w:left w:type="dxa" w:w="100"/>
              <w:bottom w:type="dxa" w:w="60"/>
              <w:right w:type="dxa" w:w="100"/>
            </w:tcMar>
            <w:vAlign w:val="center"/>
          </w:tcPr>
          <w:p>
            <w:r>
              <w:rPr>
                <w:b/>
                <w:bCs/>
                <w:color w:val="FFFFFF"/>
                <w:sz w:val="19"/>
                <w:szCs w:val="19"/>
              </w:rPr>
              <w:t xml:space="preserve">Source in client spec</w:t>
            </w:r>
          </w:p>
        </w:tc>
      </w:tr>
      <w:tr>
        <w:tc>
          <w:tcPr>
            <w:tcW w:type="dxa" w:w="1800"/>
            <w:tcMar>
              <w:top w:type="dxa" w:w="60"/>
              <w:left w:type="dxa" w:w="100"/>
              <w:bottom w:type="dxa" w:w="60"/>
              <w:right w:type="dxa" w:w="100"/>
            </w:tcMar>
            <w:vAlign w:val="center"/>
          </w:tcPr>
          <w:p>
            <w:r>
              <w:rPr>
                <w:b w:val="false"/>
                <w:bCs w:val="false"/>
                <w:sz w:val="19"/>
                <w:szCs w:val="19"/>
              </w:rPr>
              <w:t xml:space="preserve">co2</w:t>
            </w:r>
          </w:p>
        </w:tc>
        <w:tc>
          <w:tcPr>
            <w:tcW w:type="dxa" w:w="1800"/>
            <w:tcMar>
              <w:top w:type="dxa" w:w="60"/>
              <w:left w:type="dxa" w:w="100"/>
              <w:bottom w:type="dxa" w:w="60"/>
              <w:right w:type="dxa" w:w="100"/>
            </w:tcMar>
            <w:vAlign w:val="center"/>
          </w:tcPr>
          <w:p>
            <w:r>
              <w:rPr>
                <w:b w:val="false"/>
                <w:bCs w:val="false"/>
                <w:sz w:val="19"/>
                <w:szCs w:val="19"/>
              </w:rPr>
              <w:t xml:space="preserve">ppm</w:t>
            </w:r>
          </w:p>
        </w:tc>
        <w:tc>
          <w:tcPr>
            <w:tcW w:type="dxa" w:w="5400"/>
            <w:tcMar>
              <w:top w:type="dxa" w:w="60"/>
              <w:left w:type="dxa" w:w="100"/>
              <w:bottom w:type="dxa" w:w="60"/>
              <w:right w:type="dxa" w:w="100"/>
            </w:tcMar>
            <w:vAlign w:val="center"/>
          </w:tcPr>
          <w:p>
            <w:r>
              <w:rPr>
                <w:b w:val="false"/>
                <w:bCs w:val="false"/>
                <w:sz w:val="19"/>
                <w:szCs w:val="19"/>
              </w:rPr>
              <w:t xml:space="preserve">SCD41 CO2 sensor — confirmed working hardware</w:t>
            </w:r>
          </w:p>
        </w:tc>
      </w:tr>
      <w:tr>
        <w:tc>
          <w:tcPr>
            <w:tcW w:type="dxa" w:w="1800"/>
            <w:shd w:fill="F2F2F2" w:val="clear"/>
            <w:tcMar>
              <w:top w:type="dxa" w:w="60"/>
              <w:left w:type="dxa" w:w="100"/>
              <w:bottom w:type="dxa" w:w="60"/>
              <w:right w:type="dxa" w:w="100"/>
            </w:tcMar>
            <w:vAlign w:val="center"/>
          </w:tcPr>
          <w:p>
            <w:r>
              <w:rPr>
                <w:b w:val="false"/>
                <w:bCs w:val="false"/>
                <w:sz w:val="19"/>
                <w:szCs w:val="19"/>
              </w:rPr>
              <w:t xml:space="preserve">temperature</w:t>
            </w:r>
          </w:p>
        </w:tc>
        <w:tc>
          <w:tcPr>
            <w:tcW w:type="dxa" w:w="1800"/>
            <w:shd w:fill="F2F2F2" w:val="clear"/>
            <w:tcMar>
              <w:top w:type="dxa" w:w="60"/>
              <w:left w:type="dxa" w:w="100"/>
              <w:bottom w:type="dxa" w:w="60"/>
              <w:right w:type="dxa" w:w="100"/>
            </w:tcMar>
            <w:vAlign w:val="center"/>
          </w:tcPr>
          <w:p>
            <w:r>
              <w:rPr>
                <w:b w:val="false"/>
                <w:bCs w:val="false"/>
                <w:sz w:val="19"/>
                <w:szCs w:val="19"/>
              </w:rPr>
              <w:t xml:space="preserve">°C</w:t>
            </w:r>
          </w:p>
        </w:tc>
        <w:tc>
          <w:tcPr>
            <w:tcW w:type="dxa" w:w="5400"/>
            <w:shd w:fill="F2F2F2" w:val="clear"/>
            <w:tcMar>
              <w:top w:type="dxa" w:w="60"/>
              <w:left w:type="dxa" w:w="100"/>
              <w:bottom w:type="dxa" w:w="60"/>
              <w:right w:type="dxa" w:w="100"/>
            </w:tcMar>
            <w:vAlign w:val="center"/>
          </w:tcPr>
          <w:p>
            <w:r>
              <w:rPr>
                <w:b w:val="false"/>
                <w:bCs w:val="false"/>
                <w:sz w:val="19"/>
                <w:szCs w:val="19"/>
              </w:rPr>
              <w:t xml:space="preserve">SCD41</w:t>
            </w:r>
          </w:p>
        </w:tc>
      </w:tr>
      <w:tr>
        <w:tc>
          <w:tcPr>
            <w:tcW w:type="dxa" w:w="1800"/>
            <w:tcMar>
              <w:top w:type="dxa" w:w="60"/>
              <w:left w:type="dxa" w:w="100"/>
              <w:bottom w:type="dxa" w:w="60"/>
              <w:right w:type="dxa" w:w="100"/>
            </w:tcMar>
            <w:vAlign w:val="center"/>
          </w:tcPr>
          <w:p>
            <w:r>
              <w:rPr>
                <w:b w:val="false"/>
                <w:bCs w:val="false"/>
                <w:sz w:val="19"/>
                <w:szCs w:val="19"/>
              </w:rPr>
              <w:t xml:space="preserve">humidity</w:t>
            </w:r>
          </w:p>
        </w:tc>
        <w:tc>
          <w:tcPr>
            <w:tcW w:type="dxa" w:w="1800"/>
            <w:tcMar>
              <w:top w:type="dxa" w:w="60"/>
              <w:left w:type="dxa" w:w="100"/>
              <w:bottom w:type="dxa" w:w="60"/>
              <w:right w:type="dxa" w:w="100"/>
            </w:tcMar>
            <w:vAlign w:val="center"/>
          </w:tcPr>
          <w:p>
            <w:r>
              <w:rPr>
                <w:b w:val="false"/>
                <w:bCs w:val="false"/>
                <w:sz w:val="19"/>
                <w:szCs w:val="19"/>
              </w:rPr>
              <w:t xml:space="preserve">%</w:t>
            </w:r>
          </w:p>
        </w:tc>
        <w:tc>
          <w:tcPr>
            <w:tcW w:type="dxa" w:w="5400"/>
            <w:tcMar>
              <w:top w:type="dxa" w:w="60"/>
              <w:left w:type="dxa" w:w="100"/>
              <w:bottom w:type="dxa" w:w="60"/>
              <w:right w:type="dxa" w:w="100"/>
            </w:tcMar>
            <w:vAlign w:val="center"/>
          </w:tcPr>
          <w:p>
            <w:r>
              <w:rPr>
                <w:b w:val="false"/>
                <w:bCs w:val="false"/>
                <w:sz w:val="19"/>
                <w:szCs w:val="19"/>
              </w:rPr>
              <w:t xml:space="preserve">SCD41</w:t>
            </w:r>
          </w:p>
        </w:tc>
      </w:tr>
      <w:tr>
        <w:tc>
          <w:tcPr>
            <w:tcW w:type="dxa" w:w="1800"/>
            <w:shd w:fill="F2F2F2" w:val="clear"/>
            <w:tcMar>
              <w:top w:type="dxa" w:w="60"/>
              <w:left w:type="dxa" w:w="100"/>
              <w:bottom w:type="dxa" w:w="60"/>
              <w:right w:type="dxa" w:w="100"/>
            </w:tcMar>
            <w:vAlign w:val="center"/>
          </w:tcPr>
          <w:p>
            <w:r>
              <w:rPr>
                <w:b w:val="false"/>
                <w:bCs w:val="false"/>
                <w:sz w:val="19"/>
                <w:szCs w:val="19"/>
              </w:rPr>
              <w:t xml:space="preserve">pm25, pm10</w:t>
            </w:r>
          </w:p>
        </w:tc>
        <w:tc>
          <w:tcPr>
            <w:tcW w:type="dxa" w:w="1800"/>
            <w:shd w:fill="F2F2F2" w:val="clear"/>
            <w:tcMar>
              <w:top w:type="dxa" w:w="60"/>
              <w:left w:type="dxa" w:w="100"/>
              <w:bottom w:type="dxa" w:w="60"/>
              <w:right w:type="dxa" w:w="100"/>
            </w:tcMar>
            <w:vAlign w:val="center"/>
          </w:tcPr>
          <w:p>
            <w:r>
              <w:rPr>
                <w:b w:val="false"/>
                <w:bCs w:val="false"/>
                <w:sz w:val="19"/>
                <w:szCs w:val="19"/>
              </w:rPr>
              <w:t xml:space="preserve">µg/m³</w:t>
            </w:r>
          </w:p>
        </w:tc>
        <w:tc>
          <w:tcPr>
            <w:tcW w:type="dxa" w:w="5400"/>
            <w:shd w:fill="F2F2F2" w:val="clear"/>
            <w:tcMar>
              <w:top w:type="dxa" w:w="60"/>
              <w:left w:type="dxa" w:w="100"/>
              <w:bottom w:type="dxa" w:w="60"/>
              <w:right w:type="dxa" w:w="100"/>
            </w:tcMar>
            <w:vAlign w:val="center"/>
          </w:tcPr>
          <w:p>
            <w:r>
              <w:rPr>
                <w:b w:val="false"/>
                <w:bCs w:val="false"/>
                <w:sz w:val="19"/>
                <w:szCs w:val="19"/>
              </w:rPr>
              <w:t xml:space="preserve">PM2.5 sensor</w:t>
            </w:r>
          </w:p>
        </w:tc>
      </w:tr>
      <w:tr>
        <w:tc>
          <w:tcPr>
            <w:tcW w:type="dxa" w:w="1800"/>
            <w:tcMar>
              <w:top w:type="dxa" w:w="60"/>
              <w:left w:type="dxa" w:w="100"/>
              <w:bottom w:type="dxa" w:w="60"/>
              <w:right w:type="dxa" w:w="100"/>
            </w:tcMar>
            <w:vAlign w:val="center"/>
          </w:tcPr>
          <w:p>
            <w:r>
              <w:rPr>
                <w:b w:val="false"/>
                <w:bCs w:val="false"/>
                <w:sz w:val="19"/>
                <w:szCs w:val="19"/>
              </w:rPr>
              <w:t xml:space="preserve">voc</w:t>
            </w:r>
          </w:p>
        </w:tc>
        <w:tc>
          <w:tcPr>
            <w:tcW w:type="dxa" w:w="1800"/>
            <w:tcMar>
              <w:top w:type="dxa" w:w="60"/>
              <w:left w:type="dxa" w:w="100"/>
              <w:bottom w:type="dxa" w:w="60"/>
              <w:right w:type="dxa" w:w="100"/>
            </w:tcMar>
            <w:vAlign w:val="center"/>
          </w:tcPr>
          <w:p>
            <w:r>
              <w:rPr>
                <w:b w:val="false"/>
                <w:bCs w:val="false"/>
                <w:sz w:val="19"/>
                <w:szCs w:val="19"/>
              </w:rPr>
              <w:t xml:space="preserve">ppm (scale TBD)</w:t>
            </w:r>
          </w:p>
        </w:tc>
        <w:tc>
          <w:tcPr>
            <w:tcW w:type="dxa" w:w="5400"/>
            <w:tcMar>
              <w:top w:type="dxa" w:w="60"/>
              <w:left w:type="dxa" w:w="100"/>
              <w:bottom w:type="dxa" w:w="60"/>
              <w:right w:type="dxa" w:w="100"/>
            </w:tcMar>
            <w:vAlign w:val="center"/>
          </w:tcPr>
          <w:p>
            <w:r>
              <w:rPr>
                <w:b w:val="false"/>
                <w:bCs w:val="false"/>
                <w:sz w:val="19"/>
                <w:szCs w:val="19"/>
              </w:rPr>
              <w:t xml:space="preserve">MQ135 / Air Quality Detector</w:t>
            </w:r>
          </w:p>
        </w:tc>
      </w:tr>
      <w:tr>
        <w:tc>
          <w:tcPr>
            <w:tcW w:type="dxa" w:w="1800"/>
            <w:shd w:fill="F2F2F2" w:val="clear"/>
            <w:tcMar>
              <w:top w:type="dxa" w:w="60"/>
              <w:left w:type="dxa" w:w="100"/>
              <w:bottom w:type="dxa" w:w="60"/>
              <w:right w:type="dxa" w:w="100"/>
            </w:tcMar>
            <w:vAlign w:val="center"/>
          </w:tcPr>
          <w:p>
            <w:r>
              <w:rPr>
                <w:b w:val="false"/>
                <w:bCs w:val="false"/>
                <w:sz w:val="19"/>
                <w:szCs w:val="19"/>
              </w:rPr>
              <w:t xml:space="preserve">co</w:t>
            </w:r>
          </w:p>
        </w:tc>
        <w:tc>
          <w:tcPr>
            <w:tcW w:type="dxa" w:w="1800"/>
            <w:shd w:fill="F2F2F2" w:val="clear"/>
            <w:tcMar>
              <w:top w:type="dxa" w:w="60"/>
              <w:left w:type="dxa" w:w="100"/>
              <w:bottom w:type="dxa" w:w="60"/>
              <w:right w:type="dxa" w:w="100"/>
            </w:tcMar>
            <w:vAlign w:val="center"/>
          </w:tcPr>
          <w:p>
            <w:r>
              <w:rPr>
                <w:b w:val="false"/>
                <w:bCs w:val="false"/>
                <w:sz w:val="19"/>
                <w:szCs w:val="19"/>
              </w:rPr>
              <w:t xml:space="preserve">ppm</w:t>
            </w:r>
          </w:p>
        </w:tc>
        <w:tc>
          <w:tcPr>
            <w:tcW w:type="dxa" w:w="5400"/>
            <w:shd w:fill="F2F2F2" w:val="clear"/>
            <w:tcMar>
              <w:top w:type="dxa" w:w="60"/>
              <w:left w:type="dxa" w:w="100"/>
              <w:bottom w:type="dxa" w:w="60"/>
              <w:right w:type="dxa" w:w="100"/>
            </w:tcMar>
            <w:vAlign w:val="center"/>
          </w:tcPr>
          <w:p>
            <w:r>
              <w:rPr>
                <w:b w:val="false"/>
                <w:bCs w:val="false"/>
                <w:sz w:val="19"/>
                <w:szCs w:val="19"/>
              </w:rPr>
              <w:t xml:space="preserve">MQ135 / Air Quality Detector</w:t>
            </w:r>
          </w:p>
        </w:tc>
      </w:tr>
      <w:tr>
        <w:tc>
          <w:tcPr>
            <w:tcW w:type="dxa" w:w="1800"/>
            <w:tcMar>
              <w:top w:type="dxa" w:w="60"/>
              <w:left w:type="dxa" w:w="100"/>
              <w:bottom w:type="dxa" w:w="60"/>
              <w:right w:type="dxa" w:w="100"/>
            </w:tcMar>
            <w:vAlign w:val="center"/>
          </w:tcPr>
          <w:p>
            <w:r>
              <w:rPr>
                <w:b w:val="false"/>
                <w:bCs w:val="false"/>
                <w:sz w:val="19"/>
                <w:szCs w:val="19"/>
              </w:rPr>
              <w:t xml:space="preserve">ph</w:t>
            </w:r>
          </w:p>
        </w:tc>
        <w:tc>
          <w:tcPr>
            <w:tcW w:type="dxa" w:w="1800"/>
            <w:tcMar>
              <w:top w:type="dxa" w:w="60"/>
              <w:left w:type="dxa" w:w="100"/>
              <w:bottom w:type="dxa" w:w="60"/>
              <w:right w:type="dxa" w:w="100"/>
            </w:tcMar>
            <w:vAlign w:val="center"/>
          </w:tcPr>
          <w:p>
            <w:r>
              <w:rPr>
                <w:b w:val="false"/>
                <w:bCs w:val="false"/>
                <w:sz w:val="19"/>
                <w:szCs w:val="19"/>
              </w:rPr>
              <w:t xml:space="preserve">pH scale</w:t>
            </w:r>
          </w:p>
        </w:tc>
        <w:tc>
          <w:tcPr>
            <w:tcW w:type="dxa" w:w="5400"/>
            <w:tcMar>
              <w:top w:type="dxa" w:w="60"/>
              <w:left w:type="dxa" w:w="100"/>
              <w:bottom w:type="dxa" w:w="60"/>
              <w:right w:type="dxa" w:w="100"/>
            </w:tcMar>
            <w:vAlign w:val="center"/>
          </w:tcPr>
          <w:p>
            <w:r>
              <w:rPr>
                <w:b w:val="false"/>
                <w:bCs w:val="false"/>
                <w:sz w:val="19"/>
                <w:szCs w:val="19"/>
              </w:rPr>
              <w:t xml:space="preserve">Planned, not yet in the client's "tested" sensor list</w:t>
            </w:r>
          </w:p>
        </w:tc>
      </w:tr>
      <w:tr>
        <w:tc>
          <w:tcPr>
            <w:tcW w:type="dxa" w:w="1800"/>
            <w:shd w:fill="F2F2F2" w:val="clear"/>
            <w:tcMar>
              <w:top w:type="dxa" w:w="60"/>
              <w:left w:type="dxa" w:w="100"/>
              <w:bottom w:type="dxa" w:w="60"/>
              <w:right w:type="dxa" w:w="100"/>
            </w:tcMar>
            <w:vAlign w:val="center"/>
          </w:tcPr>
          <w:p>
            <w:r>
              <w:rPr>
                <w:b w:val="false"/>
                <w:bCs w:val="false"/>
                <w:sz w:val="19"/>
                <w:szCs w:val="19"/>
              </w:rPr>
              <w:t xml:space="preserve">turbidity</w:t>
            </w:r>
          </w:p>
        </w:tc>
        <w:tc>
          <w:tcPr>
            <w:tcW w:type="dxa" w:w="1800"/>
            <w:shd w:fill="F2F2F2" w:val="clear"/>
            <w:tcMar>
              <w:top w:type="dxa" w:w="60"/>
              <w:left w:type="dxa" w:w="100"/>
              <w:bottom w:type="dxa" w:w="60"/>
              <w:right w:type="dxa" w:w="100"/>
            </w:tcMar>
            <w:vAlign w:val="center"/>
          </w:tcPr>
          <w:p>
            <w:r>
              <w:rPr>
                <w:b w:val="false"/>
                <w:bCs w:val="false"/>
                <w:sz w:val="19"/>
                <w:szCs w:val="19"/>
              </w:rPr>
              <w:t xml:space="preserve">NTU</w:t>
            </w:r>
          </w:p>
        </w:tc>
        <w:tc>
          <w:tcPr>
            <w:tcW w:type="dxa" w:w="5400"/>
            <w:shd w:fill="F2F2F2" w:val="clear"/>
            <w:tcMar>
              <w:top w:type="dxa" w:w="60"/>
              <w:left w:type="dxa" w:w="100"/>
              <w:bottom w:type="dxa" w:w="60"/>
              <w:right w:type="dxa" w:w="100"/>
            </w:tcMar>
            <w:vAlign w:val="center"/>
          </w:tcPr>
          <w:p>
            <w:r>
              <w:rPr>
                <w:b w:val="false"/>
                <w:bCs w:val="false"/>
                <w:sz w:val="19"/>
                <w:szCs w:val="19"/>
              </w:rPr>
              <w:t xml:space="preserve">Honde Stainless Steel Water Turbidity Sensor</w:t>
            </w:r>
          </w:p>
        </w:tc>
      </w:tr>
      <w:tr>
        <w:tc>
          <w:tcPr>
            <w:tcW w:type="dxa" w:w="1800"/>
            <w:tcMar>
              <w:top w:type="dxa" w:w="60"/>
              <w:left w:type="dxa" w:w="100"/>
              <w:bottom w:type="dxa" w:w="60"/>
              <w:right w:type="dxa" w:w="100"/>
            </w:tcMar>
            <w:vAlign w:val="center"/>
          </w:tcPr>
          <w:p>
            <w:r>
              <w:rPr>
                <w:b w:val="false"/>
                <w:bCs w:val="false"/>
                <w:sz w:val="19"/>
                <w:szCs w:val="19"/>
              </w:rPr>
              <w:t xml:space="preserve">light_intensity</w:t>
            </w:r>
          </w:p>
        </w:tc>
        <w:tc>
          <w:tcPr>
            <w:tcW w:type="dxa" w:w="1800"/>
            <w:tcMar>
              <w:top w:type="dxa" w:w="60"/>
              <w:left w:type="dxa" w:w="100"/>
              <w:bottom w:type="dxa" w:w="60"/>
              <w:right w:type="dxa" w:w="100"/>
            </w:tcMar>
            <w:vAlign w:val="center"/>
          </w:tcPr>
          <w:p>
            <w:r>
              <w:rPr>
                <w:b w:val="false"/>
                <w:bCs w:val="false"/>
                <w:sz w:val="19"/>
                <w:szCs w:val="19"/>
              </w:rPr>
              <w:t xml:space="preserve">lux</w:t>
            </w:r>
          </w:p>
        </w:tc>
        <w:tc>
          <w:tcPr>
            <w:tcW w:type="dxa" w:w="5400"/>
            <w:tcMar>
              <w:top w:type="dxa" w:w="60"/>
              <w:left w:type="dxa" w:w="100"/>
              <w:bottom w:type="dxa" w:w="60"/>
              <w:right w:type="dxa" w:w="100"/>
            </w:tcMar>
            <w:vAlign w:val="center"/>
          </w:tcPr>
          <w:p>
            <w:r>
              <w:rPr>
                <w:b w:val="false"/>
                <w:bCs w:val="false"/>
                <w:sz w:val="19"/>
                <w:szCs w:val="19"/>
              </w:rPr>
              <w:t xml:space="preserve">Planned</w:t>
            </w:r>
          </w:p>
        </w:tc>
      </w:tr>
      <w:tr>
        <w:tc>
          <w:tcPr>
            <w:tcW w:type="dxa" w:w="1800"/>
            <w:shd w:fill="F2F2F2" w:val="clear"/>
            <w:tcMar>
              <w:top w:type="dxa" w:w="60"/>
              <w:left w:type="dxa" w:w="100"/>
              <w:bottom w:type="dxa" w:w="60"/>
              <w:right w:type="dxa" w:w="100"/>
            </w:tcMar>
            <w:vAlign w:val="center"/>
          </w:tcPr>
          <w:p>
            <w:r>
              <w:rPr>
                <w:b w:val="false"/>
                <w:bCs w:val="false"/>
                <w:sz w:val="19"/>
                <w:szCs w:val="19"/>
              </w:rPr>
              <w:t xml:space="preserve">water_level</w:t>
            </w:r>
          </w:p>
        </w:tc>
        <w:tc>
          <w:tcPr>
            <w:tcW w:type="dxa" w:w="1800"/>
            <w:shd w:fill="F2F2F2" w:val="clear"/>
            <w:tcMar>
              <w:top w:type="dxa" w:w="60"/>
              <w:left w:type="dxa" w:w="100"/>
              <w:bottom w:type="dxa" w:w="60"/>
              <w:right w:type="dxa" w:w="100"/>
            </w:tcMar>
            <w:vAlign w:val="center"/>
          </w:tcPr>
          <w:p>
            <w:r>
              <w:rPr>
                <w:b w:val="false"/>
                <w:bCs w:val="false"/>
                <w:sz w:val="19"/>
                <w:szCs w:val="19"/>
              </w:rPr>
              <w:t xml:space="preserve">% of tank capacity</w:t>
            </w:r>
          </w:p>
        </w:tc>
        <w:tc>
          <w:tcPr>
            <w:tcW w:type="dxa" w:w="5400"/>
            <w:shd w:fill="F2F2F2" w:val="clear"/>
            <w:tcMar>
              <w:top w:type="dxa" w:w="60"/>
              <w:left w:type="dxa" w:w="100"/>
              <w:bottom w:type="dxa" w:w="60"/>
              <w:right w:type="dxa" w:w="100"/>
            </w:tcMar>
            <w:vAlign w:val="center"/>
          </w:tcPr>
          <w:p>
            <w:r>
              <w:rPr>
                <w:b w:val="false"/>
                <w:bCs w:val="false"/>
                <w:sz w:val="19"/>
                <w:szCs w:val="19"/>
              </w:rPr>
              <w:t xml:space="preserve">Planned</w:t>
            </w:r>
          </w:p>
        </w:tc>
      </w:tr>
      <w:tr>
        <w:tc>
          <w:tcPr>
            <w:tcW w:type="dxa" w:w="1800"/>
            <w:tcMar>
              <w:top w:type="dxa" w:w="60"/>
              <w:left w:type="dxa" w:w="100"/>
              <w:bottom w:type="dxa" w:w="60"/>
              <w:right w:type="dxa" w:w="100"/>
            </w:tcMar>
            <w:vAlign w:val="center"/>
          </w:tcPr>
          <w:p>
            <w:r>
              <w:rPr>
                <w:b w:val="false"/>
                <w:bCs w:val="false"/>
                <w:sz w:val="19"/>
                <w:szCs w:val="19"/>
              </w:rPr>
              <w:t xml:space="preserve">color_r / g / b</w:t>
            </w:r>
          </w:p>
        </w:tc>
        <w:tc>
          <w:tcPr>
            <w:tcW w:type="dxa" w:w="1800"/>
            <w:tcMar>
              <w:top w:type="dxa" w:w="60"/>
              <w:left w:type="dxa" w:w="100"/>
              <w:bottom w:type="dxa" w:w="60"/>
              <w:right w:type="dxa" w:w="100"/>
            </w:tcMar>
            <w:vAlign w:val="center"/>
          </w:tcPr>
          <w:p>
            <w:r>
              <w:rPr>
                <w:b w:val="false"/>
                <w:bCs w:val="false"/>
                <w:sz w:val="19"/>
                <w:szCs w:val="19"/>
              </w:rPr>
              <w:t xml:space="preserve">0–255</w:t>
            </w:r>
          </w:p>
        </w:tc>
        <w:tc>
          <w:tcPr>
            <w:tcW w:type="dxa" w:w="5400"/>
            <w:tcMar>
              <w:top w:type="dxa" w:w="60"/>
              <w:left w:type="dxa" w:w="100"/>
              <w:bottom w:type="dxa" w:w="60"/>
              <w:right w:type="dxa" w:w="100"/>
            </w:tcMar>
            <w:vAlign w:val="center"/>
          </w:tcPr>
          <w:p>
            <w:r>
              <w:rPr>
                <w:b w:val="false"/>
                <w:bCs w:val="false"/>
                <w:sz w:val="19"/>
                <w:szCs w:val="19"/>
              </w:rPr>
              <w:t xml:space="preserve">TCS34725 RGB Color Sensor — confirmed working</w:t>
            </w:r>
          </w:p>
        </w:tc>
      </w:tr>
      <w:tr>
        <w:tc>
          <w:tcPr>
            <w:tcW w:type="dxa" w:w="1800"/>
            <w:shd w:fill="F2F2F2" w:val="clear"/>
            <w:tcMar>
              <w:top w:type="dxa" w:w="60"/>
              <w:left w:type="dxa" w:w="100"/>
              <w:bottom w:type="dxa" w:w="60"/>
              <w:right w:type="dxa" w:w="100"/>
            </w:tcMar>
            <w:vAlign w:val="center"/>
          </w:tcPr>
          <w:p>
            <w:r>
              <w:rPr>
                <w:b w:val="false"/>
                <w:bCs w:val="false"/>
                <w:sz w:val="19"/>
                <w:szCs w:val="19"/>
              </w:rPr>
              <w:t xml:space="preserve">biomass</w:t>
            </w:r>
          </w:p>
        </w:tc>
        <w:tc>
          <w:tcPr>
            <w:tcW w:type="dxa" w:w="1800"/>
            <w:shd w:fill="F2F2F2" w:val="clear"/>
            <w:tcMar>
              <w:top w:type="dxa" w:w="60"/>
              <w:left w:type="dxa" w:w="100"/>
              <w:bottom w:type="dxa" w:w="60"/>
              <w:right w:type="dxa" w:w="100"/>
            </w:tcMar>
            <w:vAlign w:val="center"/>
          </w:tcPr>
          <w:p>
            <w:r>
              <w:rPr>
                <w:b w:val="false"/>
                <w:bCs w:val="false"/>
                <w:sz w:val="19"/>
                <w:szCs w:val="19"/>
              </w:rPr>
              <w:t xml:space="preserve">grams</w:t>
            </w:r>
          </w:p>
        </w:tc>
        <w:tc>
          <w:tcPr>
            <w:tcW w:type="dxa" w:w="5400"/>
            <w:shd w:fill="F2F2F2" w:val="clear"/>
            <w:tcMar>
              <w:top w:type="dxa" w:w="60"/>
              <w:left w:type="dxa" w:w="100"/>
              <w:bottom w:type="dxa" w:w="60"/>
              <w:right w:type="dxa" w:w="100"/>
            </w:tcMar>
            <w:vAlign w:val="center"/>
          </w:tcPr>
          <w:p>
            <w:r>
              <w:rPr>
                <w:b w:val="false"/>
                <w:bCs w:val="false"/>
                <w:sz w:val="19"/>
                <w:szCs w:val="19"/>
              </w:rPr>
              <w:t xml:space="preserve">Not a physical sensor — see below</w:t>
            </w:r>
          </w:p>
        </w:tc>
      </w:tr>
    </w:tbl>
    <w:p>
      <w:pPr>
        <w:spacing w:after="120"/>
      </w:pPr>
    </w:p>
    <w:p>
      <w:pPr>
        <w:spacing w:after="160"/>
      </w:pPr>
      <w:r>
        <w:rPr>
          <w:sz w:val="22"/>
          <w:szCs w:val="22"/>
        </w:rPr>
        <w:t xml:space="preserve">biomass was added to the schema in migration 005 (Aug 2026) as a raw published metric, ahead of any confirmed derivation formula. As of this version, the RGB → HSV → optical density → biomass → CO2/O2 chain the client’s Executive Summary describes is now implemented server-side (backend/src/mqtt/biomass-calculation.ts), applied on ingest whenever a reading includes RGB values:</w:t>
      </w:r>
    </w:p>
    <w:p>
      <w:pPr>
        <w:shd w:fill="F2F2F2" w:val="clear"/>
        <w:spacing w:after="200" w:before="80"/>
        <w:ind w:left="200" w:right="200"/>
      </w:pPr>
      <w:r>
        <w:rPr>
          <w:rFonts w:ascii="Consolas" w:cs="Consolas" w:eastAsia="Consolas" w:hAnsi="Consolas"/>
          <w:sz w:val="18"/>
          <w:szCs w:val="18"/>
        </w:rPr>
        <w:t xml:space="preserve">RGB -&gt; hue -&gt; Optical Density (OD680nm) -&gt; Biomass (g/L) -&gt; CO2 absorbed / O2 released</w:t>
      </w:r>
    </w:p>
    <w:p>
      <w:pPr>
        <w:spacing w:after="160"/>
      </w:pPr>
      <w:r>
        <w:rPr>
          <w:sz w:val="22"/>
          <w:szCs w:val="22"/>
        </w:rPr>
        <w:t xml:space="preserve">Implemented formulas (hue normalized 0–1): OD680 = -6.9148 + 57.5223 × hue - 83.8247 × hue² (clamped to ≥ 0; the downward parabola has a mathematical ceiling of ~2.95 at hue ≈ 0.343), Biomass (g/L) = 0.325 × OD680 + 0.065, CO2 absorbed (g) = 1.7 × biomass, O2 released (g) = 1.35 × biomass. These coefficients were chosen from the source document, which contains more than one internally inconsistent statement of the CO2/O2 ratios (e.g. 1.83/1.3 appear elsewhere in the same document) — the values above were picked as the most self-consistent reading, not independently re-derived or client-confirmed; revisit if the client clarifies which ratio is authoritative.</w:t>
      </w:r>
    </w:p>
    <w:p>
      <w:pPr>
        <w:spacing w:after="160"/>
      </w:pPr>
      <w:r>
        <w:rPr>
          <w:sz w:val="22"/>
          <w:szCs w:val="22"/>
        </w:rPr>
        <w:t xml:space="preserve">mqtt-ingestion.service.ts calls this pipeline before insert and, when RGB is present, replaces any device-sent biomass value with the derived one — the device-sent value is treated as a fallback only for readings with no RGB. co2_absorbed and o2_released were added as new MetricType enum values (migration 007) to store the derived figures, surfaced on the Dashboard’s Impact Widget (§3.6, FR-6.7).</w:t>
      </w:r>
    </w:p>
    <w:p>
      <w:pPr>
        <w:pBdr>
          <w:left w:val="single" w:color="BF8F00" w:sz="12" w:space="8"/>
        </w:pBdr>
        <w:spacing w:after="160"/>
        <w:ind w:left="360"/>
      </w:pPr>
      <w:r>
        <w:rPr>
          <w:i/>
          <w:iCs/>
          <w:color w:val="BF8F00"/>
          <w:sz w:val="20"/>
          <w:szCs w:val="20"/>
        </w:rPr>
      </w:r>
    </w:p>
    <w:p>
      <w:pPr>
        <w:pStyle w:val="Heading2"/>
        <w:spacing w:after="120" w:before="280"/>
      </w:pPr>
      <w:r>
        <w:t xml:space="preserve">6.2 MQTT payload contract (assumed)</w:t>
      </w:r>
    </w:p>
    <w:p>
      <w:pPr>
        <w:spacing w:after="160"/>
      </w:pPr>
      <w:r>
        <w:rPr>
          <w:sz w:val="22"/>
          <w:szCs w:val="22"/>
        </w:rPr>
        <w:t xml:space="preserve">See backend/src/mqtt/PAYLOAD_CONTRACT.md for the authoritative version (this section mirrors it). Topic: aura/{deviceCode}/telemetry. Payload is a JSON object with optional deviceCode, optional timestamp, and a readings object where every field is optional (partial payloads are fine). Open questions explicitly logged for the firmware team: whether all sensors publish in one message or several, the actual publish interval, whether VOC is raw ppm or an index scale, whether the device authenticates to MQTT, and whether waterLevel is a percentage or a raw distance reading needing conversion.</w:t>
      </w:r>
    </w:p>
    <w:p>
      <w:pPr>
        <w:pStyle w:val="Heading2"/>
        <w:spacing w:after="120" w:before="280"/>
      </w:pPr>
      <w:r>
        <w:t xml:space="preserve">6.3 Alert threshold bands (placeholder)</w:t>
      </w:r>
    </w:p>
    <w:p>
      <w:pPr>
        <w:spacing w:after="160"/>
      </w:pPr>
      <w:r>
        <w:rPr>
          <w:sz w:val="22"/>
          <w:szCs w:val="22"/>
        </w:rPr>
        <w:t xml:space="preserve">See backend/src/alerts/ALERT_THRESHOLDS.md for the full table and rationale. Every band is a generic estimate pending review by the client or an algae/aquaculture specialist — ph and turbidity are flagged as the highest-priority ones to confirm, since the safe zone depends on the specific algae strain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1F3864" w:val="clear"/>
            <w:tcMar>
              <w:top w:type="dxa" w:w="60"/>
              <w:left w:type="dxa" w:w="100"/>
              <w:bottom w:type="dxa" w:w="60"/>
              <w:right w:type="dxa" w:w="100"/>
            </w:tcMar>
            <w:vAlign w:val="center"/>
          </w:tcPr>
          <w:p>
            <w:r>
              <w:rPr>
                <w:b/>
                <w:bCs/>
                <w:color w:val="FFFFFF"/>
                <w:sz w:val="19"/>
                <w:szCs w:val="19"/>
              </w:rPr>
              <w:t xml:space="preserve">Metric</w:t>
            </w:r>
          </w:p>
        </w:tc>
        <w:tc>
          <w:tcPr>
            <w:tcW w:type="dxa" w:w="2250"/>
            <w:shd w:fill="1F3864" w:val="clear"/>
            <w:tcMar>
              <w:top w:type="dxa" w:w="60"/>
              <w:left w:type="dxa" w:w="100"/>
              <w:bottom w:type="dxa" w:w="60"/>
              <w:right w:type="dxa" w:w="100"/>
            </w:tcMar>
            <w:vAlign w:val="center"/>
          </w:tcPr>
          <w:p>
            <w:r>
              <w:rPr>
                <w:b/>
                <w:bCs/>
                <w:color w:val="FFFFFF"/>
                <w:sz w:val="19"/>
                <w:szCs w:val="19"/>
              </w:rPr>
              <w:t xml:space="preserve">Green (nominal)</w:t>
            </w:r>
          </w:p>
        </w:tc>
        <w:tc>
          <w:tcPr>
            <w:tcW w:type="dxa" w:w="2250"/>
            <w:shd w:fill="1F3864" w:val="clear"/>
            <w:tcMar>
              <w:top w:type="dxa" w:w="60"/>
              <w:left w:type="dxa" w:w="100"/>
              <w:bottom w:type="dxa" w:w="60"/>
              <w:right w:type="dxa" w:w="100"/>
            </w:tcMar>
            <w:vAlign w:val="center"/>
          </w:tcPr>
          <w:p>
            <w:r>
              <w:rPr>
                <w:b/>
                <w:bCs/>
                <w:color w:val="FFFFFF"/>
                <w:sz w:val="19"/>
                <w:szCs w:val="19"/>
              </w:rPr>
              <w:t xml:space="preserve">Amber (warning)</w:t>
            </w:r>
          </w:p>
        </w:tc>
        <w:tc>
          <w:tcPr>
            <w:tcW w:type="dxa" w:w="2250"/>
            <w:shd w:fill="1F3864" w:val="clear"/>
            <w:tcMar>
              <w:top w:type="dxa" w:w="60"/>
              <w:left w:type="dxa" w:w="100"/>
              <w:bottom w:type="dxa" w:w="60"/>
              <w:right w:type="dxa" w:w="100"/>
            </w:tcMar>
            <w:vAlign w:val="center"/>
          </w:tcPr>
          <w:p>
            <w:r>
              <w:rPr>
                <w:b/>
                <w:bCs/>
                <w:color w:val="FFFFFF"/>
                <w:sz w:val="19"/>
                <w:szCs w:val="19"/>
              </w:rPr>
              <w:t xml:space="preserve">Red (critical)</w:t>
            </w:r>
          </w:p>
        </w:tc>
      </w:tr>
      <w:tr>
        <w:tc>
          <w:tcPr>
            <w:tcW w:type="dxa" w:w="2250"/>
            <w:tcMar>
              <w:top w:type="dxa" w:w="60"/>
              <w:left w:type="dxa" w:w="100"/>
              <w:bottom w:type="dxa" w:w="60"/>
              <w:right w:type="dxa" w:w="100"/>
            </w:tcMar>
            <w:vAlign w:val="center"/>
          </w:tcPr>
          <w:p>
            <w:r>
              <w:rPr>
                <w:b w:val="false"/>
                <w:bCs w:val="false"/>
                <w:sz w:val="19"/>
                <w:szCs w:val="19"/>
              </w:rPr>
              <w:t xml:space="preserve">co2</w:t>
            </w:r>
          </w:p>
        </w:tc>
        <w:tc>
          <w:tcPr>
            <w:tcW w:type="dxa" w:w="2250"/>
            <w:tcMar>
              <w:top w:type="dxa" w:w="60"/>
              <w:left w:type="dxa" w:w="100"/>
              <w:bottom w:type="dxa" w:w="60"/>
              <w:right w:type="dxa" w:w="100"/>
            </w:tcMar>
            <w:vAlign w:val="center"/>
          </w:tcPr>
          <w:p>
            <w:r>
              <w:rPr>
                <w:b w:val="false"/>
                <w:bCs w:val="false"/>
                <w:sz w:val="19"/>
                <w:szCs w:val="19"/>
              </w:rPr>
              <w:t xml:space="preserve">0 – 1000 ppm</w:t>
            </w:r>
          </w:p>
        </w:tc>
        <w:tc>
          <w:tcPr>
            <w:tcW w:type="dxa" w:w="2250"/>
            <w:tcMar>
              <w:top w:type="dxa" w:w="60"/>
              <w:left w:type="dxa" w:w="100"/>
              <w:bottom w:type="dxa" w:w="60"/>
              <w:right w:type="dxa" w:w="100"/>
            </w:tcMar>
            <w:vAlign w:val="center"/>
          </w:tcPr>
          <w:p>
            <w:r>
              <w:rPr>
                <w:b w:val="false"/>
                <w:bCs w:val="false"/>
                <w:sz w:val="19"/>
                <w:szCs w:val="19"/>
              </w:rPr>
              <w:t xml:space="preserve">up to 1500 ppm</w:t>
            </w:r>
          </w:p>
        </w:tc>
        <w:tc>
          <w:tcPr>
            <w:tcW w:type="dxa" w:w="2250"/>
            <w:tcMar>
              <w:top w:type="dxa" w:w="60"/>
              <w:left w:type="dxa" w:w="100"/>
              <w:bottom w:type="dxa" w:w="60"/>
              <w:right w:type="dxa" w:w="100"/>
            </w:tcMar>
            <w:vAlign w:val="center"/>
          </w:tcPr>
          <w:p>
            <w:r>
              <w:rPr>
                <w:b w:val="false"/>
                <w:bCs w:val="false"/>
                <w:sz w:val="19"/>
                <w:szCs w:val="19"/>
              </w:rPr>
              <w:t xml:space="preserve">beyond</w:t>
            </w:r>
          </w:p>
        </w:tc>
      </w:tr>
      <w:tr>
        <w:tc>
          <w:tcPr>
            <w:tcW w:type="dxa" w:w="2250"/>
            <w:shd w:fill="F2F2F2" w:val="clear"/>
            <w:tcMar>
              <w:top w:type="dxa" w:w="60"/>
              <w:left w:type="dxa" w:w="100"/>
              <w:bottom w:type="dxa" w:w="60"/>
              <w:right w:type="dxa" w:w="100"/>
            </w:tcMar>
            <w:vAlign w:val="center"/>
          </w:tcPr>
          <w:p>
            <w:r>
              <w:rPr>
                <w:b w:val="false"/>
                <w:bCs w:val="false"/>
                <w:sz w:val="19"/>
                <w:szCs w:val="19"/>
              </w:rPr>
              <w:t xml:space="preserve">temperature</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18 – 30 °C</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15 – 33 °C</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beyond</w:t>
            </w:r>
          </w:p>
        </w:tc>
      </w:tr>
      <w:tr>
        <w:tc>
          <w:tcPr>
            <w:tcW w:type="dxa" w:w="2250"/>
            <w:tcMar>
              <w:top w:type="dxa" w:w="60"/>
              <w:left w:type="dxa" w:w="100"/>
              <w:bottom w:type="dxa" w:w="60"/>
              <w:right w:type="dxa" w:w="100"/>
            </w:tcMar>
            <w:vAlign w:val="center"/>
          </w:tcPr>
          <w:p>
            <w:r>
              <w:rPr>
                <w:b w:val="false"/>
                <w:bCs w:val="false"/>
                <w:sz w:val="19"/>
                <w:szCs w:val="19"/>
              </w:rPr>
              <w:t xml:space="preserve">humidity</w:t>
            </w:r>
          </w:p>
        </w:tc>
        <w:tc>
          <w:tcPr>
            <w:tcW w:type="dxa" w:w="2250"/>
            <w:tcMar>
              <w:top w:type="dxa" w:w="60"/>
              <w:left w:type="dxa" w:w="100"/>
              <w:bottom w:type="dxa" w:w="60"/>
              <w:right w:type="dxa" w:w="100"/>
            </w:tcMar>
            <w:vAlign w:val="center"/>
          </w:tcPr>
          <w:p>
            <w:r>
              <w:rPr>
                <w:b w:val="false"/>
                <w:bCs w:val="false"/>
                <w:sz w:val="19"/>
                <w:szCs w:val="19"/>
              </w:rPr>
              <w:t xml:space="preserve">30 – 70%</w:t>
            </w:r>
          </w:p>
        </w:tc>
        <w:tc>
          <w:tcPr>
            <w:tcW w:type="dxa" w:w="2250"/>
            <w:tcMar>
              <w:top w:type="dxa" w:w="60"/>
              <w:left w:type="dxa" w:w="100"/>
              <w:bottom w:type="dxa" w:w="60"/>
              <w:right w:type="dxa" w:w="100"/>
            </w:tcMar>
            <w:vAlign w:val="center"/>
          </w:tcPr>
          <w:p>
            <w:r>
              <w:rPr>
                <w:b w:val="false"/>
                <w:bCs w:val="false"/>
                <w:sz w:val="19"/>
                <w:szCs w:val="19"/>
              </w:rPr>
              <w:t xml:space="preserve">20 – 80%</w:t>
            </w:r>
          </w:p>
        </w:tc>
        <w:tc>
          <w:tcPr>
            <w:tcW w:type="dxa" w:w="2250"/>
            <w:tcMar>
              <w:top w:type="dxa" w:w="60"/>
              <w:left w:type="dxa" w:w="100"/>
              <w:bottom w:type="dxa" w:w="60"/>
              <w:right w:type="dxa" w:w="100"/>
            </w:tcMar>
            <w:vAlign w:val="center"/>
          </w:tcPr>
          <w:p>
            <w:r>
              <w:rPr>
                <w:b w:val="false"/>
                <w:bCs w:val="false"/>
                <w:sz w:val="19"/>
                <w:szCs w:val="19"/>
              </w:rPr>
              <w:t xml:space="preserve">beyond</w:t>
            </w:r>
          </w:p>
        </w:tc>
      </w:tr>
      <w:tr>
        <w:tc>
          <w:tcPr>
            <w:tcW w:type="dxa" w:w="2250"/>
            <w:shd w:fill="F2F2F2" w:val="clear"/>
            <w:tcMar>
              <w:top w:type="dxa" w:w="60"/>
              <w:left w:type="dxa" w:w="100"/>
              <w:bottom w:type="dxa" w:w="60"/>
              <w:right w:type="dxa" w:w="100"/>
            </w:tcMar>
            <w:vAlign w:val="center"/>
          </w:tcPr>
          <w:p>
            <w:r>
              <w:rPr>
                <w:b w:val="false"/>
                <w:bCs w:val="false"/>
                <w:sz w:val="19"/>
                <w:szCs w:val="19"/>
              </w:rPr>
              <w:t xml:space="preserve">pm25</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0 – 35 µg/m³</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up to 55</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beyond</w:t>
            </w:r>
          </w:p>
        </w:tc>
      </w:tr>
      <w:tr>
        <w:tc>
          <w:tcPr>
            <w:tcW w:type="dxa" w:w="2250"/>
            <w:tcMar>
              <w:top w:type="dxa" w:w="60"/>
              <w:left w:type="dxa" w:w="100"/>
              <w:bottom w:type="dxa" w:w="60"/>
              <w:right w:type="dxa" w:w="100"/>
            </w:tcMar>
            <w:vAlign w:val="center"/>
          </w:tcPr>
          <w:p>
            <w:r>
              <w:rPr>
                <w:b w:val="false"/>
                <w:bCs w:val="false"/>
                <w:sz w:val="19"/>
                <w:szCs w:val="19"/>
              </w:rPr>
              <w:t xml:space="preserve">pm10</w:t>
            </w:r>
          </w:p>
        </w:tc>
        <w:tc>
          <w:tcPr>
            <w:tcW w:type="dxa" w:w="2250"/>
            <w:tcMar>
              <w:top w:type="dxa" w:w="60"/>
              <w:left w:type="dxa" w:w="100"/>
              <w:bottom w:type="dxa" w:w="60"/>
              <w:right w:type="dxa" w:w="100"/>
            </w:tcMar>
            <w:vAlign w:val="center"/>
          </w:tcPr>
          <w:p>
            <w:r>
              <w:rPr>
                <w:b w:val="false"/>
                <w:bCs w:val="false"/>
                <w:sz w:val="19"/>
                <w:szCs w:val="19"/>
              </w:rPr>
              <w:t xml:space="preserve">0 – 50 µg/m³</w:t>
            </w:r>
          </w:p>
        </w:tc>
        <w:tc>
          <w:tcPr>
            <w:tcW w:type="dxa" w:w="2250"/>
            <w:tcMar>
              <w:top w:type="dxa" w:w="60"/>
              <w:left w:type="dxa" w:w="100"/>
              <w:bottom w:type="dxa" w:w="60"/>
              <w:right w:type="dxa" w:w="100"/>
            </w:tcMar>
            <w:vAlign w:val="center"/>
          </w:tcPr>
          <w:p>
            <w:r>
              <w:rPr>
                <w:b w:val="false"/>
                <w:bCs w:val="false"/>
                <w:sz w:val="19"/>
                <w:szCs w:val="19"/>
              </w:rPr>
              <w:t xml:space="preserve">up to 100</w:t>
            </w:r>
          </w:p>
        </w:tc>
        <w:tc>
          <w:tcPr>
            <w:tcW w:type="dxa" w:w="2250"/>
            <w:tcMar>
              <w:top w:type="dxa" w:w="60"/>
              <w:left w:type="dxa" w:w="100"/>
              <w:bottom w:type="dxa" w:w="60"/>
              <w:right w:type="dxa" w:w="100"/>
            </w:tcMar>
            <w:vAlign w:val="center"/>
          </w:tcPr>
          <w:p>
            <w:r>
              <w:rPr>
                <w:b w:val="false"/>
                <w:bCs w:val="false"/>
                <w:sz w:val="19"/>
                <w:szCs w:val="19"/>
              </w:rPr>
              <w:t xml:space="preserve">beyond</w:t>
            </w:r>
          </w:p>
        </w:tc>
      </w:tr>
      <w:tr>
        <w:tc>
          <w:tcPr>
            <w:tcW w:type="dxa" w:w="2250"/>
            <w:shd w:fill="F2F2F2" w:val="clear"/>
            <w:tcMar>
              <w:top w:type="dxa" w:w="60"/>
              <w:left w:type="dxa" w:w="100"/>
              <w:bottom w:type="dxa" w:w="60"/>
              <w:right w:type="dxa" w:w="100"/>
            </w:tcMar>
            <w:vAlign w:val="center"/>
          </w:tcPr>
          <w:p>
            <w:r>
              <w:rPr>
                <w:b w:val="false"/>
                <w:bCs w:val="false"/>
                <w:sz w:val="19"/>
                <w:szCs w:val="19"/>
              </w:rPr>
              <w:t xml:space="preserve">voc</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0 – 0.5 ppm</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up to 1.5</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beyond</w:t>
            </w:r>
          </w:p>
        </w:tc>
      </w:tr>
      <w:tr>
        <w:tc>
          <w:tcPr>
            <w:tcW w:type="dxa" w:w="2250"/>
            <w:tcMar>
              <w:top w:type="dxa" w:w="60"/>
              <w:left w:type="dxa" w:w="100"/>
              <w:bottom w:type="dxa" w:w="60"/>
              <w:right w:type="dxa" w:w="100"/>
            </w:tcMar>
            <w:vAlign w:val="center"/>
          </w:tcPr>
          <w:p>
            <w:r>
              <w:rPr>
                <w:b w:val="false"/>
                <w:bCs w:val="false"/>
                <w:sz w:val="19"/>
                <w:szCs w:val="19"/>
              </w:rPr>
              <w:t xml:space="preserve">co</w:t>
            </w:r>
          </w:p>
        </w:tc>
        <w:tc>
          <w:tcPr>
            <w:tcW w:type="dxa" w:w="2250"/>
            <w:tcMar>
              <w:top w:type="dxa" w:w="60"/>
              <w:left w:type="dxa" w:w="100"/>
              <w:bottom w:type="dxa" w:w="60"/>
              <w:right w:type="dxa" w:w="100"/>
            </w:tcMar>
            <w:vAlign w:val="center"/>
          </w:tcPr>
          <w:p>
            <w:r>
              <w:rPr>
                <w:b w:val="false"/>
                <w:bCs w:val="false"/>
                <w:sz w:val="19"/>
                <w:szCs w:val="19"/>
              </w:rPr>
              <w:t xml:space="preserve">0 – 1 ppm</w:t>
            </w:r>
          </w:p>
        </w:tc>
        <w:tc>
          <w:tcPr>
            <w:tcW w:type="dxa" w:w="2250"/>
            <w:tcMar>
              <w:top w:type="dxa" w:w="60"/>
              <w:left w:type="dxa" w:w="100"/>
              <w:bottom w:type="dxa" w:w="60"/>
              <w:right w:type="dxa" w:w="100"/>
            </w:tcMar>
            <w:vAlign w:val="center"/>
          </w:tcPr>
          <w:p>
            <w:r>
              <w:rPr>
                <w:b w:val="false"/>
                <w:bCs w:val="false"/>
                <w:sz w:val="19"/>
                <w:szCs w:val="19"/>
              </w:rPr>
              <w:t xml:space="preserve">up to 2</w:t>
            </w:r>
          </w:p>
        </w:tc>
        <w:tc>
          <w:tcPr>
            <w:tcW w:type="dxa" w:w="2250"/>
            <w:tcMar>
              <w:top w:type="dxa" w:w="60"/>
              <w:left w:type="dxa" w:w="100"/>
              <w:bottom w:type="dxa" w:w="60"/>
              <w:right w:type="dxa" w:w="100"/>
            </w:tcMar>
            <w:vAlign w:val="center"/>
          </w:tcPr>
          <w:p>
            <w:r>
              <w:rPr>
                <w:b w:val="false"/>
                <w:bCs w:val="false"/>
                <w:sz w:val="19"/>
                <w:szCs w:val="19"/>
              </w:rPr>
              <w:t xml:space="preserve">beyond</w:t>
            </w:r>
          </w:p>
        </w:tc>
      </w:tr>
      <w:tr>
        <w:tc>
          <w:tcPr>
            <w:tcW w:type="dxa" w:w="2250"/>
            <w:shd w:fill="F2F2F2" w:val="clear"/>
            <w:tcMar>
              <w:top w:type="dxa" w:w="60"/>
              <w:left w:type="dxa" w:w="100"/>
              <w:bottom w:type="dxa" w:w="60"/>
              <w:right w:type="dxa" w:w="100"/>
            </w:tcMar>
            <w:vAlign w:val="center"/>
          </w:tcPr>
          <w:p>
            <w:r>
              <w:rPr>
                <w:b w:val="false"/>
                <w:bCs w:val="false"/>
                <w:sz w:val="19"/>
                <w:szCs w:val="19"/>
              </w:rPr>
              <w:t xml:space="preserve">ph</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6.5 – 8.0</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6.0 – 8.5</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beyond</w:t>
            </w:r>
          </w:p>
        </w:tc>
      </w:tr>
      <w:tr>
        <w:tc>
          <w:tcPr>
            <w:tcW w:type="dxa" w:w="2250"/>
            <w:tcMar>
              <w:top w:type="dxa" w:w="60"/>
              <w:left w:type="dxa" w:w="100"/>
              <w:bottom w:type="dxa" w:w="60"/>
              <w:right w:type="dxa" w:w="100"/>
            </w:tcMar>
            <w:vAlign w:val="center"/>
          </w:tcPr>
          <w:p>
            <w:r>
              <w:rPr>
                <w:b w:val="false"/>
                <w:bCs w:val="false"/>
                <w:sz w:val="19"/>
                <w:szCs w:val="19"/>
              </w:rPr>
              <w:t xml:space="preserve">turbidity</w:t>
            </w:r>
          </w:p>
        </w:tc>
        <w:tc>
          <w:tcPr>
            <w:tcW w:type="dxa" w:w="2250"/>
            <w:tcMar>
              <w:top w:type="dxa" w:w="60"/>
              <w:left w:type="dxa" w:w="100"/>
              <w:bottom w:type="dxa" w:w="60"/>
              <w:right w:type="dxa" w:w="100"/>
            </w:tcMar>
            <w:vAlign w:val="center"/>
          </w:tcPr>
          <w:p>
            <w:r>
              <w:rPr>
                <w:b w:val="false"/>
                <w:bCs w:val="false"/>
                <w:sz w:val="19"/>
                <w:szCs w:val="19"/>
              </w:rPr>
              <w:t xml:space="preserve">0 – 50 NTU</w:t>
            </w:r>
          </w:p>
        </w:tc>
        <w:tc>
          <w:tcPr>
            <w:tcW w:type="dxa" w:w="2250"/>
            <w:tcMar>
              <w:top w:type="dxa" w:w="60"/>
              <w:left w:type="dxa" w:w="100"/>
              <w:bottom w:type="dxa" w:w="60"/>
              <w:right w:type="dxa" w:w="100"/>
            </w:tcMar>
            <w:vAlign w:val="center"/>
          </w:tcPr>
          <w:p>
            <w:r>
              <w:rPr>
                <w:b w:val="false"/>
                <w:bCs w:val="false"/>
                <w:sz w:val="19"/>
                <w:szCs w:val="19"/>
              </w:rPr>
              <w:t xml:space="preserve">up to 100</w:t>
            </w:r>
          </w:p>
        </w:tc>
        <w:tc>
          <w:tcPr>
            <w:tcW w:type="dxa" w:w="2250"/>
            <w:tcMar>
              <w:top w:type="dxa" w:w="60"/>
              <w:left w:type="dxa" w:w="100"/>
              <w:bottom w:type="dxa" w:w="60"/>
              <w:right w:type="dxa" w:w="100"/>
            </w:tcMar>
            <w:vAlign w:val="center"/>
          </w:tcPr>
          <w:p>
            <w:r>
              <w:rPr>
                <w:b w:val="false"/>
                <w:bCs w:val="false"/>
                <w:sz w:val="19"/>
                <w:szCs w:val="19"/>
              </w:rPr>
              <w:t xml:space="preserve">beyond</w:t>
            </w:r>
          </w:p>
        </w:tc>
      </w:tr>
      <w:tr>
        <w:tc>
          <w:tcPr>
            <w:tcW w:type="dxa" w:w="2250"/>
            <w:shd w:fill="F2F2F2" w:val="clear"/>
            <w:tcMar>
              <w:top w:type="dxa" w:w="60"/>
              <w:left w:type="dxa" w:w="100"/>
              <w:bottom w:type="dxa" w:w="60"/>
              <w:right w:type="dxa" w:w="100"/>
            </w:tcMar>
            <w:vAlign w:val="center"/>
          </w:tcPr>
          <w:p>
            <w:r>
              <w:rPr>
                <w:b w:val="false"/>
                <w:bCs w:val="false"/>
                <w:sz w:val="19"/>
                <w:szCs w:val="19"/>
              </w:rPr>
              <w:t xml:space="preserve">light_intensity</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100 – 1000 lux</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50 – 1500</w:t>
            </w:r>
          </w:p>
        </w:tc>
        <w:tc>
          <w:tcPr>
            <w:tcW w:type="dxa" w:w="2250"/>
            <w:shd w:fill="F2F2F2" w:val="clear"/>
            <w:tcMar>
              <w:top w:type="dxa" w:w="60"/>
              <w:left w:type="dxa" w:w="100"/>
              <w:bottom w:type="dxa" w:w="60"/>
              <w:right w:type="dxa" w:w="100"/>
            </w:tcMar>
            <w:vAlign w:val="center"/>
          </w:tcPr>
          <w:p>
            <w:r>
              <w:rPr>
                <w:b w:val="false"/>
                <w:bCs w:val="false"/>
                <w:sz w:val="19"/>
                <w:szCs w:val="19"/>
              </w:rPr>
              <w:t xml:space="preserve">beyond</w:t>
            </w:r>
          </w:p>
        </w:tc>
      </w:tr>
      <w:tr>
        <w:tc>
          <w:tcPr>
            <w:tcW w:type="dxa" w:w="2250"/>
            <w:tcMar>
              <w:top w:type="dxa" w:w="60"/>
              <w:left w:type="dxa" w:w="100"/>
              <w:bottom w:type="dxa" w:w="60"/>
              <w:right w:type="dxa" w:w="100"/>
            </w:tcMar>
            <w:vAlign w:val="center"/>
          </w:tcPr>
          <w:p>
            <w:r>
              <w:rPr>
                <w:b w:val="false"/>
                <w:bCs w:val="false"/>
                <w:sz w:val="19"/>
                <w:szCs w:val="19"/>
              </w:rPr>
              <w:t xml:space="preserve">water_level</w:t>
            </w:r>
          </w:p>
        </w:tc>
        <w:tc>
          <w:tcPr>
            <w:tcW w:type="dxa" w:w="2250"/>
            <w:tcMar>
              <w:top w:type="dxa" w:w="60"/>
              <w:left w:type="dxa" w:w="100"/>
              <w:bottom w:type="dxa" w:w="60"/>
              <w:right w:type="dxa" w:w="100"/>
            </w:tcMar>
            <w:vAlign w:val="center"/>
          </w:tcPr>
          <w:p>
            <w:r>
              <w:rPr>
                <w:b w:val="false"/>
                <w:bCs w:val="false"/>
                <w:sz w:val="19"/>
                <w:szCs w:val="19"/>
              </w:rPr>
              <w:t xml:space="preserve">50 – 100%</w:t>
            </w:r>
          </w:p>
        </w:tc>
        <w:tc>
          <w:tcPr>
            <w:tcW w:type="dxa" w:w="2250"/>
            <w:tcMar>
              <w:top w:type="dxa" w:w="60"/>
              <w:left w:type="dxa" w:w="100"/>
              <w:bottom w:type="dxa" w:w="60"/>
              <w:right w:type="dxa" w:w="100"/>
            </w:tcMar>
            <w:vAlign w:val="center"/>
          </w:tcPr>
          <w:p>
            <w:r>
              <w:rPr>
                <w:b w:val="false"/>
                <w:bCs w:val="false"/>
                <w:sz w:val="19"/>
                <w:szCs w:val="19"/>
              </w:rPr>
              <w:t xml:space="preserve">30 – 100%</w:t>
            </w:r>
          </w:p>
        </w:tc>
        <w:tc>
          <w:tcPr>
            <w:tcW w:type="dxa" w:w="2250"/>
            <w:tcMar>
              <w:top w:type="dxa" w:w="60"/>
              <w:left w:type="dxa" w:w="100"/>
              <w:bottom w:type="dxa" w:w="60"/>
              <w:right w:type="dxa" w:w="100"/>
            </w:tcMar>
            <w:vAlign w:val="center"/>
          </w:tcPr>
          <w:p>
            <w:r>
              <w:rPr>
                <w:b w:val="false"/>
                <w:bCs w:val="false"/>
                <w:sz w:val="19"/>
                <w:szCs w:val="19"/>
              </w:rPr>
              <w:t xml:space="preserve">below 30%</w:t>
            </w:r>
          </w:p>
        </w:tc>
      </w:tr>
    </w:tbl>
    <w:p>
      <w:pPr>
        <w:spacing w:after="120"/>
      </w:pPr>
    </w:p>
    <w:p>
      <w:pPr>
        <w:pStyle w:val="Heading2"/>
        <w:spacing w:after="120" w:before="280"/>
      </w:pPr>
      <w:r>
        <w:t xml:space="preserve">6.4 Maintenance intervals (placeholder)</w:t>
      </w:r>
    </w:p>
    <w:p>
      <w:pPr>
        <w:spacing w:after="160"/>
      </w:pPr>
      <w:r>
        <w:rPr>
          <w:sz w:val="22"/>
          <w:szCs w:val="22"/>
        </w:rPr>
        <w:t xml:space="preserve">See backend/src/maintenance/MAINTENANCE_INTERVALS.md. Water change 7d, filter replacement 30d, harvest 14d, nutrient refill 7d, calibration 30d — all generic estimates, not client-confirmed.</w:t>
      </w:r>
    </w:p>
    <w:p>
      <w:pPr>
        <w:pStyle w:val="Heading1"/>
        <w:spacing w:after="160" w:before="360"/>
      </w:pPr>
      <w:r>
        <w:t xml:space="preserve">7. User Classes vs. Client’s Target Segments</w:t>
      </w:r>
    </w:p>
    <w:p>
      <w:pPr>
        <w:spacing w:after="160"/>
      </w:pPr>
      <w:r>
        <w:rPr>
          <w:sz w:val="22"/>
          <w:szCs w:val="22"/>
        </w:rPr>
        <w:t xml:space="preserve">The client's Executive Summary defines both B2C personas (health-conscious urban professionals, parents, allergy/asthma sufferers, eco-conscious buyers) and B2B personas (wellness centres, corporate HQs, malls, hotels, property developers). The current data model (User owns zero-or-more Devices, 1:1 ownership, no organization/team concept) fits the B2C case well and does not yet support the B2B case — there is no way for multiple staff at a hotel or mall to share visibility into the same device, and no facility-level rollup across many devices. This is an intentional MVP scope choice, not an oversight, but should be flagged before any B2B pilot is scheduled (the client's own document proposes an "Algae Decarbon Early Pilot Program" for Oct–Dec 2026).</w:t>
      </w:r>
    </w:p>
    <w:p>
      <w:pPr>
        <w:pStyle w:val="Heading1"/>
        <w:spacing w:after="160" w:before="360"/>
      </w:pPr>
      <w:r>
        <w:t xml:space="preserve">8. Requirements Traceability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73"/>
        <w:gridCol w:w="2727"/>
      </w:tblGrid>
      <w:tr>
        <w:trPr>
          <w:tblHeader/>
        </w:trPr>
        <w:tc>
          <w:tcPr>
            <w:tcW w:type="dxa" w:w="6273"/>
            <w:shd w:fill="1F3864" w:val="clear"/>
            <w:tcMar>
              <w:top w:type="dxa" w:w="60"/>
              <w:left w:type="dxa" w:w="100"/>
              <w:bottom w:type="dxa" w:w="60"/>
              <w:right w:type="dxa" w:w="100"/>
            </w:tcMar>
            <w:vAlign w:val="center"/>
          </w:tcPr>
          <w:p>
            <w:r>
              <w:rPr>
                <w:b/>
                <w:bCs/>
                <w:color w:val="FFFFFF"/>
                <w:sz w:val="19"/>
                <w:szCs w:val="19"/>
              </w:rPr>
              <w:t xml:space="preserve">Client spec requirement (Executive Summary 3.0, "App" section)</w:t>
            </w:r>
          </w:p>
        </w:tc>
        <w:tc>
          <w:tcPr>
            <w:tcW w:type="dxa" w:w="2727"/>
            <w:shd w:fill="1F3864" w:val="clear"/>
            <w:tcMar>
              <w:top w:type="dxa" w:w="60"/>
              <w:left w:type="dxa" w:w="100"/>
              <w:bottom w:type="dxa" w:w="60"/>
              <w:right w:type="dxa" w:w="100"/>
            </w:tcMar>
            <w:vAlign w:val="center"/>
          </w:tcPr>
          <w:p>
            <w:r>
              <w:rPr>
                <w:b/>
                <w:bCs/>
                <w:color w:val="FFFFFF"/>
                <w:sz w:val="19"/>
                <w:szCs w:val="19"/>
              </w:rPr>
              <w:t xml:space="preserve">Status</w:t>
            </w:r>
          </w:p>
        </w:tc>
      </w:tr>
      <w:tr>
        <w:tc>
          <w:tcPr>
            <w:tcW w:type="dxa" w:w="6273"/>
            <w:tcMar>
              <w:top w:type="dxa" w:w="60"/>
              <w:left w:type="dxa" w:w="100"/>
              <w:bottom w:type="dxa" w:w="60"/>
              <w:right w:type="dxa" w:w="100"/>
            </w:tcMar>
            <w:vAlign w:val="center"/>
          </w:tcPr>
          <w:p>
            <w:r>
              <w:rPr>
                <w:b w:val="false"/>
                <w:bCs w:val="false"/>
                <w:sz w:val="19"/>
                <w:szCs w:val="19"/>
              </w:rPr>
              <w:t xml:space="preserve">Dashboard: Impact Widget (CO2 removed, O2 released, biomass)</w:t>
            </w:r>
          </w:p>
        </w:tc>
        <w:tc>
          <w:tcPr>
            <w:tcW w:type="dxa" w:w="2727"/>
            <w:tcMar>
              <w:top w:type="dxa" w:w="60"/>
              <w:left w:type="dxa" w:w="100"/>
              <w:bottom w:type="dxa" w:w="60"/>
              <w:right w:type="dxa" w:w="100"/>
            </w:tcMar>
            <w:vAlign w:val="center"/>
          </w:tcPr>
          <w:p>
            <w:r>
              <w:rPr>
                <w:b w:val="false"/>
                <w:bCs w:val="false"/>
                <w:color w:val="BF8F00"/>
                <w:sz w:val="19"/>
                <w:szCs w:val="19"/>
              </w:rPr>
              <w:t xml:space="preserve">Implemented (current-biomass snapshot, not harvest-aware lifetime total)</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Dashboard: Photoperiod Ring with remaining-time label</w:t>
            </w:r>
          </w:p>
        </w:tc>
        <w:tc>
          <w:tcPr>
            <w:tcW w:type="dxa" w:w="2727"/>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tcMar>
              <w:top w:type="dxa" w:w="60"/>
              <w:left w:type="dxa" w:w="100"/>
              <w:bottom w:type="dxa" w:w="60"/>
              <w:right w:type="dxa" w:w="100"/>
            </w:tcMar>
            <w:vAlign w:val="center"/>
          </w:tcPr>
          <w:p>
            <w:r>
              <w:rPr>
                <w:b w:val="false"/>
                <w:bCs w:val="false"/>
                <w:sz w:val="19"/>
                <w:szCs w:val="19"/>
              </w:rPr>
              <w:t xml:space="preserve">Dashboard: allow client to control light schedule</w:t>
            </w:r>
          </w:p>
        </w:tc>
        <w:tc>
          <w:tcPr>
            <w:tcW w:type="dxa" w:w="2727"/>
            <w:tcMar>
              <w:top w:type="dxa" w:w="60"/>
              <w:left w:type="dxa" w:w="100"/>
              <w:bottom w:type="dxa" w:w="60"/>
              <w:right w:type="dxa" w:w="100"/>
            </w:tcMar>
            <w:vAlign w:val="center"/>
          </w:tcPr>
          <w:p>
            <w:r>
              <w:rPr>
                <w:b w:val="false"/>
                <w:bCs w:val="false"/>
                <w:color w:val="BF8F00"/>
                <w:sz w:val="19"/>
                <w:szCs w:val="19"/>
              </w:rPr>
              <w:t xml:space="preserve">Partial — on/off, color, intensity presets implemented; schedule (start hour/duration) still read-only, no backend endpoint</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Environment screen: 1h/1d/1w granularity toggle</w:t>
            </w:r>
          </w:p>
        </w:tc>
        <w:tc>
          <w:tcPr>
            <w:tcW w:type="dxa" w:w="2727"/>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tcMar>
              <w:top w:type="dxa" w:w="60"/>
              <w:left w:type="dxa" w:w="100"/>
              <w:bottom w:type="dxa" w:w="60"/>
              <w:right w:type="dxa" w:w="100"/>
            </w:tcMar>
            <w:vAlign w:val="center"/>
          </w:tcPr>
          <w:p>
            <w:r>
              <w:rPr>
                <w:b w:val="false"/>
                <w:bCs w:val="false"/>
                <w:sz w:val="19"/>
                <w:szCs w:val="19"/>
              </w:rPr>
              <w:t xml:space="preserve">Environment screen: scrubber chart</w:t>
            </w:r>
          </w:p>
        </w:tc>
        <w:tc>
          <w:tcPr>
            <w:tcW w:type="dxa" w:w="2727"/>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Environment screen: metric grid (temp/humidity/PM/VOC/CO2/CO)</w:t>
            </w:r>
          </w:p>
        </w:tc>
        <w:tc>
          <w:tcPr>
            <w:tcW w:type="dxa" w:w="2727"/>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tcMar>
              <w:top w:type="dxa" w:w="60"/>
              <w:left w:type="dxa" w:w="100"/>
              <w:bottom w:type="dxa" w:w="60"/>
              <w:right w:type="dxa" w:w="100"/>
            </w:tcMar>
            <w:vAlign w:val="center"/>
          </w:tcPr>
          <w:p>
            <w:r>
              <w:rPr>
                <w:b w:val="false"/>
                <w:bCs w:val="false"/>
                <w:sz w:val="19"/>
                <w:szCs w:val="19"/>
              </w:rPr>
              <w:t xml:space="preserve">Internal screen: radial "safe zone" gauges</w:t>
            </w:r>
          </w:p>
        </w:tc>
        <w:tc>
          <w:tcPr>
            <w:tcW w:type="dxa" w:w="2727"/>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Internal screen: color-swatch diagnostic</w:t>
            </w:r>
          </w:p>
        </w:tc>
        <w:tc>
          <w:tcPr>
            <w:tcW w:type="dxa" w:w="2727"/>
            <w:shd w:fill="F2F2F2" w:val="clear"/>
            <w:tcMar>
              <w:top w:type="dxa" w:w="60"/>
              <w:left w:type="dxa" w:w="100"/>
              <w:bottom w:type="dxa" w:w="60"/>
              <w:right w:type="dxa" w:w="100"/>
            </w:tcMar>
            <w:vAlign w:val="center"/>
          </w:tcPr>
          <w:p>
            <w:r>
              <w:rPr>
                <w:b w:val="false"/>
                <w:bCs w:val="false"/>
                <w:color w:val="BF8F00"/>
                <w:sz w:val="19"/>
                <w:szCs w:val="19"/>
              </w:rPr>
              <w:t xml:space="preserve">Implemented (rule-based, not the "AI anomaly detection" the spec aspires to)</w:t>
            </w:r>
          </w:p>
        </w:tc>
      </w:tr>
      <w:tr>
        <w:tc>
          <w:tcPr>
            <w:tcW w:type="dxa" w:w="6273"/>
            <w:tcMar>
              <w:top w:type="dxa" w:w="60"/>
              <w:left w:type="dxa" w:w="100"/>
              <w:bottom w:type="dxa" w:w="60"/>
              <w:right w:type="dxa" w:w="100"/>
            </w:tcMar>
            <w:vAlign w:val="center"/>
          </w:tcPr>
          <w:p>
            <w:r>
              <w:rPr>
                <w:b w:val="false"/>
                <w:bCs w:val="false"/>
                <w:sz w:val="19"/>
                <w:szCs w:val="19"/>
              </w:rPr>
              <w:t xml:space="preserve">Maintenance screen: countdown card</w:t>
            </w:r>
          </w:p>
        </w:tc>
        <w:tc>
          <w:tcPr>
            <w:tcW w:type="dxa" w:w="2727"/>
            <w:tcMar>
              <w:top w:type="dxa" w:w="60"/>
              <w:left w:type="dxa" w:w="100"/>
              <w:bottom w:type="dxa" w:w="60"/>
              <w:right w:type="dxa" w:w="100"/>
            </w:tcMar>
            <w:vAlign w:val="center"/>
          </w:tcPr>
          <w:p>
            <w:r>
              <w:rPr>
                <w:b w:val="false"/>
                <w:bCs w:val="false"/>
                <w:color w:val="2E7D32"/>
                <w:sz w:val="19"/>
                <w:szCs w:val="19"/>
              </w:rPr>
              <w:t xml:space="preserve">Implemented (turbidity-triggered for harvest; fixed interval for other types)</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Maintenance screen: log timeline</w:t>
            </w:r>
          </w:p>
        </w:tc>
        <w:tc>
          <w:tcPr>
            <w:tcW w:type="dxa" w:w="2727"/>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tcMar>
              <w:top w:type="dxa" w:w="60"/>
              <w:left w:type="dxa" w:w="100"/>
              <w:bottom w:type="dxa" w:w="60"/>
              <w:right w:type="dxa" w:w="100"/>
            </w:tcMar>
            <w:vAlign w:val="center"/>
          </w:tcPr>
          <w:p>
            <w:r>
              <w:rPr>
                <w:b w:val="false"/>
                <w:bCs w:val="false"/>
                <w:sz w:val="19"/>
                <w:szCs w:val="19"/>
              </w:rPr>
              <w:t xml:space="preserve">Maintenance screen: "Log Action" button</w:t>
            </w:r>
          </w:p>
        </w:tc>
        <w:tc>
          <w:tcPr>
            <w:tcW w:type="dxa" w:w="2727"/>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Color-coded alert states (green/amber/red)</w:t>
            </w:r>
          </w:p>
        </w:tc>
        <w:tc>
          <w:tcPr>
            <w:tcW w:type="dxa" w:w="2727"/>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tcMar>
              <w:top w:type="dxa" w:w="60"/>
              <w:left w:type="dxa" w:w="100"/>
              <w:bottom w:type="dxa" w:w="60"/>
              <w:right w:type="dxa" w:w="100"/>
            </w:tcMar>
            <w:vAlign w:val="center"/>
          </w:tcPr>
          <w:p>
            <w:r>
              <w:rPr>
                <w:b w:val="false"/>
                <w:bCs w:val="false"/>
                <w:sz w:val="19"/>
                <w:szCs w:val="19"/>
              </w:rPr>
              <w:t xml:space="preserve">Predictive "AURA Insight" text</w:t>
            </w:r>
          </w:p>
        </w:tc>
        <w:tc>
          <w:tcPr>
            <w:tcW w:type="dxa" w:w="2727"/>
            <w:tcMar>
              <w:top w:type="dxa" w:w="60"/>
              <w:left w:type="dxa" w:w="100"/>
              <w:bottom w:type="dxa" w:w="60"/>
              <w:right w:type="dxa" w:w="100"/>
            </w:tcMar>
            <w:vAlign w:val="center"/>
          </w:tcPr>
          <w:p>
            <w:r>
              <w:rPr>
                <w:b w:val="false"/>
                <w:bCs w:val="false"/>
                <w:color w:val="2E7D32"/>
                <w:sz w:val="19"/>
                <w:szCs w:val="19"/>
              </w:rPr>
              <w:t xml:space="preserve">Implemented (rule-based)</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Per-device alert threshold overrides</w:t>
            </w:r>
          </w:p>
        </w:tc>
        <w:tc>
          <w:tcPr>
            <w:tcW w:type="dxa" w:w="2727"/>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tcMar>
              <w:top w:type="dxa" w:w="60"/>
              <w:left w:type="dxa" w:w="100"/>
              <w:bottom w:type="dxa" w:w="60"/>
              <w:right w:type="dxa" w:w="100"/>
            </w:tcMar>
            <w:vAlign w:val="center"/>
          </w:tcPr>
          <w:p>
            <w:r>
              <w:rPr>
                <w:b w:val="false"/>
                <w:bCs w:val="false"/>
                <w:sz w:val="19"/>
                <w:szCs w:val="19"/>
              </w:rPr>
              <w:t xml:space="preserve">Lighting control (color, strength %, presets)</w:t>
            </w:r>
          </w:p>
        </w:tc>
        <w:tc>
          <w:tcPr>
            <w:tcW w:type="dxa" w:w="2727"/>
            <w:tcMar>
              <w:top w:type="dxa" w:w="60"/>
              <w:left w:type="dxa" w:w="100"/>
              <w:bottom w:type="dxa" w:w="60"/>
              <w:right w:type="dxa" w:w="100"/>
            </w:tcMar>
            <w:vAlign w:val="center"/>
          </w:tcPr>
          <w:p>
            <w:r>
              <w:rPr>
                <w:b w:val="false"/>
                <w:bCs w:val="false"/>
                <w:color w:val="2E7D32"/>
                <w:sz w:val="19"/>
                <w:szCs w:val="19"/>
              </w:rPr>
              <w:t xml:space="preserve">Implemented — on/off, white/mix color, intensity presets, via new MQTT command channel</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Bubbling control (speed presets)</w:t>
            </w:r>
          </w:p>
        </w:tc>
        <w:tc>
          <w:tcPr>
            <w:tcW w:type="dxa" w:w="2727"/>
            <w:shd w:fill="F2F2F2" w:val="clear"/>
            <w:tcMar>
              <w:top w:type="dxa" w:w="60"/>
              <w:left w:type="dxa" w:w="100"/>
              <w:bottom w:type="dxa" w:w="60"/>
              <w:right w:type="dxa" w:w="100"/>
            </w:tcMar>
            <w:vAlign w:val="center"/>
          </w:tcPr>
          <w:p>
            <w:r>
              <w:rPr>
                <w:b w:val="false"/>
                <w:bCs w:val="false"/>
                <w:color w:val="2E7D32"/>
                <w:sz w:val="19"/>
                <w:szCs w:val="19"/>
              </w:rPr>
              <w:t xml:space="preserve">Implemented — same command channel</w:t>
            </w:r>
          </w:p>
        </w:tc>
      </w:tr>
      <w:tr>
        <w:tc>
          <w:tcPr>
            <w:tcW w:type="dxa" w:w="6273"/>
            <w:tcMar>
              <w:top w:type="dxa" w:w="60"/>
              <w:left w:type="dxa" w:w="100"/>
              <w:bottom w:type="dxa" w:w="60"/>
              <w:right w:type="dxa" w:w="100"/>
            </w:tcMar>
            <w:vAlign w:val="center"/>
          </w:tcPr>
          <w:p>
            <w:r>
              <w:rPr>
                <w:b w:val="false"/>
                <w:bCs w:val="false"/>
                <w:sz w:val="19"/>
                <w:szCs w:val="19"/>
              </w:rPr>
              <w:t xml:space="preserve">Push notifications on alert</w:t>
            </w:r>
          </w:p>
        </w:tc>
        <w:tc>
          <w:tcPr>
            <w:tcW w:type="dxa" w:w="2727"/>
            <w:tcMar>
              <w:top w:type="dxa" w:w="60"/>
              <w:left w:type="dxa" w:w="100"/>
              <w:bottom w:type="dxa" w:w="60"/>
              <w:right w:type="dxa" w:w="100"/>
            </w:tcMar>
            <w:vAlign w:val="center"/>
          </w:tcPr>
          <w:p>
            <w:r>
              <w:rPr>
                <w:b w:val="false"/>
                <w:bCs w:val="false"/>
                <w:color w:val="2E7D32"/>
                <w:sz w:val="19"/>
                <w:szCs w:val="19"/>
              </w:rPr>
              <w:t xml:space="preserve">Implemented — real Expo push delivery, cooldown-limited; verified end-to-end on a physical device</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Onboarding: signup + device pairing screens</w:t>
            </w:r>
          </w:p>
        </w:tc>
        <w:tc>
          <w:tcPr>
            <w:tcW w:type="dxa" w:w="2727"/>
            <w:shd w:fill="F2F2F2" w:val="clear"/>
            <w:tcMar>
              <w:top w:type="dxa" w:w="60"/>
              <w:left w:type="dxa" w:w="100"/>
              <w:bottom w:type="dxa" w:w="60"/>
              <w:right w:type="dxa" w:w="100"/>
            </w:tcMar>
            <w:vAlign w:val="center"/>
          </w:tcPr>
          <w:p>
            <w:r>
              <w:rPr>
                <w:b w:val="false"/>
                <w:bCs w:val="false"/>
                <w:color w:val="2E7D32"/>
                <w:sz w:val="19"/>
                <w:szCs w:val="19"/>
              </w:rPr>
              <w:t xml:space="preserve">Implemented</w:t>
            </w:r>
          </w:p>
        </w:tc>
      </w:tr>
      <w:tr>
        <w:tc>
          <w:tcPr>
            <w:tcW w:type="dxa" w:w="6273"/>
            <w:tcMar>
              <w:top w:type="dxa" w:w="60"/>
              <w:left w:type="dxa" w:w="100"/>
              <w:bottom w:type="dxa" w:w="60"/>
              <w:right w:type="dxa" w:w="100"/>
            </w:tcMar>
            <w:vAlign w:val="center"/>
          </w:tcPr>
          <w:p>
            <w:r>
              <w:rPr>
                <w:b w:val="false"/>
                <w:bCs w:val="false"/>
                <w:sz w:val="19"/>
                <w:szCs w:val="19"/>
              </w:rPr>
              <w:t xml:space="preserve">"Grow your algae" community/social features</w:t>
            </w:r>
          </w:p>
        </w:tc>
        <w:tc>
          <w:tcPr>
            <w:tcW w:type="dxa" w:w="2727"/>
            <w:tcMar>
              <w:top w:type="dxa" w:w="60"/>
              <w:left w:type="dxa" w:w="100"/>
              <w:bottom w:type="dxa" w:w="60"/>
              <w:right w:type="dxa" w:w="100"/>
            </w:tcMar>
            <w:vAlign w:val="center"/>
          </w:tcPr>
          <w:p>
            <w:r>
              <w:rPr>
                <w:b w:val="false"/>
                <w:bCs w:val="false"/>
                <w:color w:val="C00000"/>
                <w:sz w:val="19"/>
                <w:szCs w:val="19"/>
              </w:rPr>
              <w:t xml:space="preserve">Not implemented</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ESG dashboard / cumulative sustainability reporting</w:t>
            </w:r>
          </w:p>
        </w:tc>
        <w:tc>
          <w:tcPr>
            <w:tcW w:type="dxa" w:w="2727"/>
            <w:shd w:fill="F2F2F2" w:val="clear"/>
            <w:tcMar>
              <w:top w:type="dxa" w:w="60"/>
              <w:left w:type="dxa" w:w="100"/>
              <w:bottom w:type="dxa" w:w="60"/>
              <w:right w:type="dxa" w:w="100"/>
            </w:tcMar>
            <w:vAlign w:val="center"/>
          </w:tcPr>
          <w:p>
            <w:r>
              <w:rPr>
                <w:b w:val="false"/>
                <w:bCs w:val="false"/>
                <w:color w:val="C00000"/>
                <w:sz w:val="19"/>
                <w:szCs w:val="19"/>
              </w:rPr>
              <w:t xml:space="preserve">Not implemented</w:t>
            </w:r>
          </w:p>
        </w:tc>
      </w:tr>
      <w:tr>
        <w:tc>
          <w:tcPr>
            <w:tcW w:type="dxa" w:w="6273"/>
            <w:tcMar>
              <w:top w:type="dxa" w:w="60"/>
              <w:left w:type="dxa" w:w="100"/>
              <w:bottom w:type="dxa" w:w="60"/>
              <w:right w:type="dxa" w:w="100"/>
            </w:tcMar>
            <w:vAlign w:val="center"/>
          </w:tcPr>
          <w:p>
            <w:r>
              <w:rPr>
                <w:b w:val="false"/>
                <w:bCs w:val="false"/>
                <w:sz w:val="19"/>
                <w:szCs w:val="19"/>
              </w:rPr>
              <w:t xml:space="preserve">B2B multi-user / organization accounts</w:t>
            </w:r>
          </w:p>
        </w:tc>
        <w:tc>
          <w:tcPr>
            <w:tcW w:type="dxa" w:w="2727"/>
            <w:tcMar>
              <w:top w:type="dxa" w:w="60"/>
              <w:left w:type="dxa" w:w="100"/>
              <w:bottom w:type="dxa" w:w="60"/>
              <w:right w:type="dxa" w:w="100"/>
            </w:tcMar>
            <w:vAlign w:val="center"/>
          </w:tcPr>
          <w:p>
            <w:r>
              <w:rPr>
                <w:b w:val="false"/>
                <w:bCs w:val="false"/>
                <w:color w:val="C00000"/>
                <w:sz w:val="19"/>
                <w:szCs w:val="19"/>
              </w:rPr>
              <w:t xml:space="preserve">Not implemented</w:t>
            </w:r>
          </w:p>
        </w:tc>
      </w:tr>
      <w:tr>
        <w:tc>
          <w:tcPr>
            <w:tcW w:type="dxa" w:w="6273"/>
            <w:shd w:fill="F2F2F2" w:val="clear"/>
            <w:tcMar>
              <w:top w:type="dxa" w:w="60"/>
              <w:left w:type="dxa" w:w="100"/>
              <w:bottom w:type="dxa" w:w="60"/>
              <w:right w:type="dxa" w:w="100"/>
            </w:tcMar>
            <w:vAlign w:val="center"/>
          </w:tcPr>
          <w:p>
            <w:r>
              <w:rPr>
                <w:b w:val="false"/>
                <w:bCs w:val="false"/>
                <w:sz w:val="19"/>
                <w:szCs w:val="19"/>
              </w:rPr>
              <w:t xml:space="preserve">ACCU product line</w:t>
            </w:r>
          </w:p>
        </w:tc>
        <w:tc>
          <w:tcPr>
            <w:tcW w:type="dxa" w:w="2727"/>
            <w:shd w:fill="F2F2F2" w:val="clear"/>
            <w:tcMar>
              <w:top w:type="dxa" w:w="60"/>
              <w:left w:type="dxa" w:w="100"/>
              <w:bottom w:type="dxa" w:w="60"/>
              <w:right w:type="dxa" w:w="100"/>
            </w:tcMar>
            <w:vAlign w:val="center"/>
          </w:tcPr>
          <w:p>
            <w:r>
              <w:rPr>
                <w:b w:val="false"/>
                <w:bCs w:val="false"/>
                <w:color w:val="C00000"/>
                <w:sz w:val="19"/>
                <w:szCs w:val="19"/>
              </w:rPr>
              <w:t xml:space="preserve">Not modeled — this codebase is AURA-only</w:t>
            </w:r>
          </w:p>
        </w:tc>
      </w:tr>
    </w:tbl>
    <w:p>
      <w:pPr>
        <w:spacing w:after="120"/>
      </w:pPr>
    </w:p>
    <w:p>
      <w:pPr>
        <w:pStyle w:val="Heading1"/>
        <w:spacing w:after="160" w:before="360"/>
      </w:pPr>
      <w:r>
        <w:t xml:space="preserve">9. Recommended Next Steps</w:t>
      </w:r>
    </w:p>
    <w:p>
      <w:pPr>
        <w:spacing w:after="160"/>
      </w:pPr>
      <w:r>
        <w:rPr>
          <w:sz w:val="22"/>
          <w:szCs w:val="22"/>
        </w:rPr>
        <w:t xml:space="preserve">v1.0 (2026-09-18) recommended six items in this section. A focused follow-up push (2026-09-18 to 2026-09-19) closed four of them outright — onboarding (was §9.1), the biomass/impact pipeline (was §9.2), actuator control scope (was §9.4), and push notifications (folded into the alerting gap noted alongside §9.3) — plus per-device alert threshold editing and turbidity-aware harvest, neither of which had its own numbered item in v1.0 but were flagged as gaps in §3. What remains is listed below, ordered the same way as before: "blocks basic usability" → "closes the gap to the client’s product vision," not by effort.</w:t>
      </w:r>
    </w:p>
    <w:p>
      <w:pPr>
        <w:pStyle w:val="Heading2"/>
        <w:spacing w:after="120" w:before="280"/>
      </w:pPr>
      <w:r>
        <w:t xml:space="preserve">9.1 Confirm the unconfirmed contracts</w:t>
      </w:r>
    </w:p>
    <w:p>
      <w:pPr>
        <w:spacing w:after="160"/>
      </w:pPr>
      <w:r>
        <w:rPr>
          <w:sz w:val="22"/>
          <w:szCs w:val="22"/>
        </w:rPr>
        <w:t xml:space="preserve">PAYLOAD_CONTRACT.md, ALERT_THRESHOLDS.md, MAINTENANCE_INTERVALS.md, and now ACTUATOR_CONTROL.md all still explicitly flag themselves as placeholder/assumed — none of this version’s new features change that; a new actuator command channel just means a fourth contract to confirm, not fewer open ones. These are called out in-repo as pre-demo blockers — resolving them doesn’t require new code, just a conversation with whoever owns the firmware and biology.</w:t>
      </w:r>
    </w:p>
    <w:p>
      <w:pPr>
        <w:pStyle w:val="Heading2"/>
        <w:spacing w:after="120" w:before="280"/>
      </w:pPr>
      <w:r>
        <w:t xml:space="preserve">9.2 Decide whether a true lifetime-cumulative Impact figure is worth building</w:t>
      </w:r>
    </w:p>
    <w:p>
      <w:pPr>
        <w:spacing w:after="160"/>
      </w:pPr>
      <w:r>
        <w:rPr>
          <w:sz w:val="22"/>
          <w:szCs w:val="22"/>
        </w:rPr>
        <w:t xml:space="preserve">The Impact Widget (§3.6, §6.1) now shows CO2 absorbed / O2 released tied to the CURRENT biomass level. The client’s original framing implies a running lifetime total that should keep growing even across a harvest (which removes biomass and would otherwise make the figure drop). Building this needs a design decision first: does "harvested" biomass get credited permanently to a cumulative total, and if so, is that tracked per-harvest-event or as a simple running accumulator? No code should be written here until that’s settled, since it changes the data model (a new ledger-style table, not just a computed field).</w:t>
      </w:r>
    </w:p>
    <w:p>
      <w:pPr>
        <w:pStyle w:val="Heading2"/>
        <w:spacing w:after="120" w:before="280"/>
      </w:pPr>
      <w:r>
        <w:t xml:space="preserve">9.3 Housekeeping</w:t>
      </w:r>
    </w:p>
    <w:p>
      <w:pPr>
        <w:pStyle w:val="ListParagraph"/>
        <w:numPr>
          <w:ilvl w:val="0"/>
          <w:numId w:val="1"/>
        </w:numPr>
        <w:spacing w:after="80"/>
      </w:pPr>
      <w:r>
        <w:rPr>
          <w:sz w:val="22"/>
          <w:szCs w:val="22"/>
        </w:rPr>
        <w:t xml:space="preserve">Fix backend/README.md's claim of an existing CI workflow (either add .github/workflows/ci.yml or remove the claim) — still outstanding from v1.0.</w:t>
      </w:r>
    </w:p>
    <w:p>
      <w:pPr>
        <w:pStyle w:val="ListParagraph"/>
        <w:numPr>
          <w:ilvl w:val="0"/>
          <w:numId w:val="1"/>
        </w:numPr>
        <w:spacing w:after="80"/>
      </w:pPr>
      <w:r>
        <w:rPr>
          <w:sz w:val="22"/>
          <w:szCs w:val="22"/>
        </w:rPr>
        <w:t xml:space="preserve">Stale-token cleanup for push notifications: NotificationsService.sendToUser logs a DeviceNotRegistered-style error from Expo but doesn’t yet delete the offending token row, so a token that goes stale keeps being attempted (and keeps failing harmlessly) indefinitely — see PUSH_NOTIFICATIONS.md.</w:t>
      </w:r>
    </w:p>
    <w:p>
      <w:pPr>
        <w:pStyle w:val="ListParagraph"/>
        <w:numPr>
          <w:ilvl w:val="0"/>
          <w:numId w:val="1"/>
        </w:numPr>
        <w:spacing w:after="80"/>
      </w:pPr>
      <w:r>
        <w:rPr>
          <w:sz w:val="22"/>
          <w:szCs w:val="22"/>
        </w:rPr>
        <w:t xml:space="preserve">Deep-linking a tapped push notification to the relevant device/alert screen is not built — the notification-permission/token flow exists, but there is no notification-response listener yet.</w:t>
      </w:r>
    </w:p>
    <w:p>
      <w:pPr>
        <w:pStyle w:val="ListParagraph"/>
        <w:numPr>
          <w:ilvl w:val="0"/>
          <w:numId w:val="1"/>
        </w:numPr>
        <w:spacing w:after="80"/>
      </w:pPr>
      <w:r>
        <w:rPr>
          <w:sz w:val="22"/>
          <w:szCs w:val="22"/>
        </w:rPr>
        <w:t xml:space="preserve">Per-user notification preferences (e.g. "red only," quiet hours) do not exist — every registered token currently gets every amber/red transition for every device the user owns.</w:t>
      </w:r>
    </w:p>
    <w:p>
      <w:pPr>
        <w:pStyle w:val="Heading2"/>
        <w:spacing w:after="120" w:before="280"/>
      </w:pPr>
      <w:r>
        <w:t xml:space="preserve">9.4 Address the B2B gap before any commercial pilot</w:t>
      </w:r>
    </w:p>
    <w:p>
      <w:pPr>
        <w:spacing w:after="160"/>
      </w:pPr>
      <w:r>
        <w:rPr>
          <w:sz w:val="22"/>
          <w:szCs w:val="22"/>
        </w:rPr>
        <w:t xml:space="preserve">Still the largest structural gap. If the "Algae Decarbon Early Pilot Program" (client doc: Oct–Dec 2026) includes any B2B placement (wellness centre, corporate HQ, etc.), the single-owner device model needs at least a "shared access" concept before that pilot can use this app as-is — nothing in this version’s work has changed the User↔Device 1:1 model.</w:t>
      </w:r>
    </w:p>
    <w:sectPr>
      <w:headerReference w:type="default" r:id="rId7"/>
      <w:footerReference w:type="default" r:id="rId8"/>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AURA — Software Requirements Specification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lvl w:ilvl="1" w15:tentative="1">
      <w:start w:val="1"/>
      <w:numFmt w:val="lowerLetter"/>
      <w:lvlText w:val="%2."/>
      <w:lvlJc w:val="star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F3864"/>
      <w:sz w:val="44"/>
      <w:szCs w:val="44"/>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7D32"/>
      <w:sz w:val="25"/>
      <w:szCs w:val="25"/>
    </w:rPr>
  </w:style>
  <w:style w:type="paragraph" w:styleId="Heading3">
    <w:name w:val="Heading 3"/>
    <w:basedOn w:val="Normal"/>
    <w:next w:val="Normal"/>
    <w:qFormat/>
    <w:pPr>
      <w:spacing w:after="100" w:before="200"/>
    </w:pPr>
    <w:rPr>
      <w:rFonts w:ascii="Calibri" w:cs="Calibri" w:eastAsia="Calibri" w:hAnsi="Calibri"/>
      <w:b/>
      <w:bCs/>
      <w:i/>
      <w:iCs/>
      <w:color w:val="59595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 Software Requirements Specification v1.1</dc:title>
  <dc:creator>Claude Code</dc:creator>
  <dc:description>Software Requirements Specification for the AURA companion dashboard (Algae Decarbon)</dc:description>
  <cp:lastModifiedBy>Un-named</cp:lastModifiedBy>
  <cp:revision>1</cp:revision>
  <dcterms:created xsi:type="dcterms:W3CDTF">2026-09-18T16:35:09.458Z</dcterms:created>
  <dcterms:modified xsi:type="dcterms:W3CDTF">2026-09-18T16:35:09.459Z</dcterms:modified>
</cp:coreProperties>
</file>

<file path=docProps/custom.xml><?xml version="1.0" encoding="utf-8"?>
<Properties xmlns="http://schemas.openxmlformats.org/officeDocument/2006/custom-properties" xmlns:vt="http://schemas.openxmlformats.org/officeDocument/2006/docPropsVTypes"/>
</file>