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V100-MODE — Code de Mutation Dynamique</w:t>
      </w:r>
    </w:p>
    <w:p>
      <w:pPr>
        <w:pStyle w:val="Heading2"/>
      </w:pPr>
      <w:r>
        <w:t>🔹 Fonction</w:t>
      </w:r>
    </w:p>
    <w:p>
      <w:r>
        <w:t>Passer consciemment d’un mode mental à un autre selon les besoins (création, attaque, écoute, intuition, etc.).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Conscientise les "modes mentaux" actifs (MODE 4, 6, etc.)</w:t>
      </w:r>
    </w:p>
    <w:p>
      <w:pPr>
        <w:pStyle w:val="ListBullet"/>
      </w:pPr>
      <w:r>
        <w:t>• Active/désactive à volonté</w:t>
      </w:r>
    </w:p>
    <w:p>
      <w:pPr>
        <w:pStyle w:val="ListBullet"/>
      </w:pPr>
      <w:r>
        <w:t>• Évite les interférences mentales non désirées</w:t>
      </w:r>
    </w:p>
    <w:p>
      <w:pPr>
        <w:pStyle w:val="Heading2"/>
      </w:pPr>
      <w:r>
        <w:t>🔹 Formule</w:t>
      </w:r>
    </w:p>
    <w:p>
      <w:r>
        <w:t>« Je choisis mon mode mental comme un guerrier choisit son arme.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