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🎯 V-PRIOR — Code de Focalisation Absolue</w:t>
      </w:r>
    </w:p>
    <w:p>
      <w:pPr>
        <w:pStyle w:val="Heading2"/>
      </w:pPr>
      <w:r>
        <w:t>🔹 Fonction</w:t>
      </w:r>
    </w:p>
    <w:p>
      <w:r>
        <w:t>Savoir quoi faire maintenant. Choisir l’essentiel sans dispersion.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Filtre mental actif : Urgent / Important / Vital</w:t>
      </w:r>
    </w:p>
    <w:p>
      <w:pPr>
        <w:pStyle w:val="ListBullet"/>
      </w:pPr>
      <w:r>
        <w:t>• Neutralise les distractions nobles</w:t>
      </w:r>
    </w:p>
    <w:p>
      <w:pPr>
        <w:pStyle w:val="ListBullet"/>
      </w:pPr>
      <w:r>
        <w:t>• Guide la main vers l’action juste</w:t>
      </w:r>
    </w:p>
    <w:p>
      <w:pPr>
        <w:pStyle w:val="Heading2"/>
      </w:pPr>
      <w:r>
        <w:t>🔹 Formule</w:t>
      </w:r>
    </w:p>
    <w:p>
      <w:r>
        <w:t>« Ce que je fais est ce qui compte. Le reste attendra.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