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🌫️ V-FOG — Code de Clarté dans le Brouillard</w:t>
      </w:r>
    </w:p>
    <w:p>
      <w:pPr>
        <w:pStyle w:val="Heading2"/>
      </w:pPr>
      <w:r>
        <w:t>🔹 Fonction</w:t>
      </w:r>
    </w:p>
    <w:p>
      <w:r>
        <w:t>Agir sans visibilité. Trouver des solutions même dans la confusion ou l’instabilité.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Active la navigation intuitive + tactique dans les zones floues</w:t>
      </w:r>
    </w:p>
    <w:p>
      <w:pPr>
        <w:pStyle w:val="ListBullet"/>
      </w:pPr>
      <w:r>
        <w:t>• Permet d’avancer sans plan parfait, sans attendre la clarté</w:t>
      </w:r>
    </w:p>
    <w:p>
      <w:pPr>
        <w:pStyle w:val="ListBullet"/>
      </w:pPr>
      <w:r>
        <w:t>• Transforme l’incertitude en terrain d’action</w:t>
      </w:r>
    </w:p>
    <w:p>
      <w:pPr>
        <w:pStyle w:val="Heading2"/>
      </w:pPr>
      <w:r>
        <w:t>🔹 Formule</w:t>
      </w:r>
    </w:p>
    <w:p>
      <w:r>
        <w:t>« Je marche même dans le flou. Je n’attends pas la lumière. Je suis le mouvement.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